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6E1D" w14:textId="30F05726" w:rsidR="00296425" w:rsidRPr="005A7C0B" w:rsidRDefault="0083295D" w:rsidP="00296425">
      <w:pPr>
        <w:pStyle w:val="PartHeading"/>
      </w:pPr>
      <w:r>
        <w:t>National Competition Council</w:t>
      </w:r>
    </w:p>
    <w:p w14:paraId="17660E87" w14:textId="77777777" w:rsidR="00296425" w:rsidRDefault="00296425" w:rsidP="00296425">
      <w:pPr>
        <w:pStyle w:val="PartHeading"/>
      </w:pPr>
    </w:p>
    <w:p w14:paraId="5CFCFB46" w14:textId="77777777" w:rsidR="0083295D" w:rsidRDefault="00296425" w:rsidP="008D15BB">
      <w:pPr>
        <w:pStyle w:val="PartHeading-TOC"/>
      </w:pPr>
      <w:bookmarkStart w:id="0" w:name="_Toc65243501"/>
      <w:r>
        <w:t>Entity resources and planned performance</w:t>
      </w:r>
      <w:bookmarkEnd w:id="0"/>
    </w:p>
    <w:p w14:paraId="77184DAA" w14:textId="77777777" w:rsidR="007C2CDC" w:rsidRDefault="007C2CDC" w:rsidP="00F31DD2"/>
    <w:p w14:paraId="10AEAA92" w14:textId="10084EA6" w:rsidR="007C2CDC" w:rsidRDefault="007C2CDC" w:rsidP="00F31DD2">
      <w:pPr>
        <w:sectPr w:rsidR="007C2CDC" w:rsidSect="003F7A01">
          <w:footerReference w:type="even" r:id="rId8"/>
          <w:type w:val="nextColumn"/>
          <w:pgSz w:w="11906" w:h="16838" w:code="9"/>
          <w:pgMar w:top="2835" w:right="2098" w:bottom="2466" w:left="2098" w:header="1814" w:footer="1814" w:gutter="0"/>
          <w:pgNumType w:start="309"/>
          <w:cols w:space="708"/>
          <w:vAlign w:val="center"/>
          <w:titlePg/>
          <w:docGrid w:linePitch="360"/>
        </w:sectPr>
      </w:pPr>
    </w:p>
    <w:p w14:paraId="23AD33FB" w14:textId="77777777" w:rsidR="005D6FD0" w:rsidRPr="00E36F77" w:rsidRDefault="005D6FD0" w:rsidP="00863618">
      <w:pPr>
        <w:pStyle w:val="ContentsHeading"/>
      </w:pPr>
      <w:r w:rsidRPr="00863618">
        <w:lastRenderedPageBreak/>
        <w:t>National</w:t>
      </w:r>
      <w:r>
        <w:t xml:space="preserve"> Competition Council</w:t>
      </w:r>
    </w:p>
    <w:p w14:paraId="294E1774" w14:textId="19F8B9F0" w:rsidR="00A970F0" w:rsidRDefault="005C7EAE">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134036975" w:history="1">
        <w:r w:rsidR="00A970F0" w:rsidRPr="000F6996">
          <w:rPr>
            <w:rStyle w:val="Hyperlink"/>
            <w:noProof/>
          </w:rPr>
          <w:t>Section</w:t>
        </w:r>
        <w:r w:rsidR="00A970F0" w:rsidRPr="000F6996">
          <w:rPr>
            <w:rStyle w:val="Hyperlink"/>
            <w:noProof/>
            <w:spacing w:val="-7"/>
          </w:rPr>
          <w:t xml:space="preserve"> </w:t>
        </w:r>
        <w:r w:rsidR="00A970F0" w:rsidRPr="000F6996">
          <w:rPr>
            <w:rStyle w:val="Hyperlink"/>
            <w:noProof/>
          </w:rPr>
          <w:t>1:</w:t>
        </w:r>
        <w:r w:rsidR="00A970F0" w:rsidRPr="000F6996">
          <w:rPr>
            <w:rStyle w:val="Hyperlink"/>
            <w:noProof/>
            <w:spacing w:val="-8"/>
          </w:rPr>
          <w:t xml:space="preserve"> </w:t>
        </w:r>
        <w:r w:rsidR="00A970F0" w:rsidRPr="000F6996">
          <w:rPr>
            <w:rStyle w:val="Hyperlink"/>
            <w:noProof/>
          </w:rPr>
          <w:t>Entity</w:t>
        </w:r>
        <w:r w:rsidR="00A970F0" w:rsidRPr="000F6996">
          <w:rPr>
            <w:rStyle w:val="Hyperlink"/>
            <w:noProof/>
            <w:spacing w:val="-9"/>
          </w:rPr>
          <w:t xml:space="preserve"> </w:t>
        </w:r>
        <w:r w:rsidR="00A970F0" w:rsidRPr="000F6996">
          <w:rPr>
            <w:rStyle w:val="Hyperlink"/>
            <w:noProof/>
          </w:rPr>
          <w:t>overview</w:t>
        </w:r>
        <w:r w:rsidR="00A970F0" w:rsidRPr="000F6996">
          <w:rPr>
            <w:rStyle w:val="Hyperlink"/>
            <w:noProof/>
            <w:spacing w:val="-6"/>
          </w:rPr>
          <w:t xml:space="preserve"> </w:t>
        </w:r>
        <w:r w:rsidR="00A970F0" w:rsidRPr="000F6996">
          <w:rPr>
            <w:rStyle w:val="Hyperlink"/>
            <w:noProof/>
          </w:rPr>
          <w:t>and</w:t>
        </w:r>
        <w:r w:rsidR="00A970F0" w:rsidRPr="000F6996">
          <w:rPr>
            <w:rStyle w:val="Hyperlink"/>
            <w:noProof/>
            <w:spacing w:val="-9"/>
          </w:rPr>
          <w:t xml:space="preserve"> </w:t>
        </w:r>
        <w:r w:rsidR="00A970F0" w:rsidRPr="000F6996">
          <w:rPr>
            <w:rStyle w:val="Hyperlink"/>
            <w:noProof/>
            <w:spacing w:val="-2"/>
          </w:rPr>
          <w:t>resources</w:t>
        </w:r>
        <w:r w:rsidR="00A970F0">
          <w:rPr>
            <w:noProof/>
            <w:webHidden/>
          </w:rPr>
          <w:tab/>
        </w:r>
        <w:r w:rsidR="00A970F0">
          <w:rPr>
            <w:noProof/>
            <w:webHidden/>
          </w:rPr>
          <w:fldChar w:fldCharType="begin"/>
        </w:r>
        <w:r w:rsidR="00A970F0">
          <w:rPr>
            <w:noProof/>
            <w:webHidden/>
          </w:rPr>
          <w:instrText xml:space="preserve"> PAGEREF _Toc134036975 \h </w:instrText>
        </w:r>
        <w:r w:rsidR="00A970F0">
          <w:rPr>
            <w:noProof/>
            <w:webHidden/>
          </w:rPr>
        </w:r>
        <w:r w:rsidR="00A970F0">
          <w:rPr>
            <w:noProof/>
            <w:webHidden/>
          </w:rPr>
          <w:fldChar w:fldCharType="separate"/>
        </w:r>
        <w:r w:rsidR="00DF170E">
          <w:rPr>
            <w:noProof/>
            <w:webHidden/>
          </w:rPr>
          <w:t>313</w:t>
        </w:r>
        <w:r w:rsidR="00A970F0">
          <w:rPr>
            <w:noProof/>
            <w:webHidden/>
          </w:rPr>
          <w:fldChar w:fldCharType="end"/>
        </w:r>
      </w:hyperlink>
    </w:p>
    <w:p w14:paraId="33E68A2B" w14:textId="083DBD30" w:rsidR="00A970F0" w:rsidRDefault="00000000">
      <w:pPr>
        <w:pStyle w:val="TOC2"/>
        <w:rPr>
          <w:rFonts w:asciiTheme="minorHAnsi" w:eastAsiaTheme="minorEastAsia" w:hAnsiTheme="minorHAnsi" w:cstheme="minorBidi"/>
          <w:noProof/>
          <w:sz w:val="22"/>
          <w:szCs w:val="22"/>
        </w:rPr>
      </w:pPr>
      <w:hyperlink w:anchor="_Toc134036976" w:history="1">
        <w:r w:rsidR="00A970F0" w:rsidRPr="000F6996">
          <w:rPr>
            <w:rStyle w:val="Hyperlink"/>
            <w:noProof/>
          </w:rPr>
          <w:t>1.1</w:t>
        </w:r>
        <w:r w:rsidR="00A970F0">
          <w:rPr>
            <w:rFonts w:asciiTheme="minorHAnsi" w:eastAsiaTheme="minorEastAsia" w:hAnsiTheme="minorHAnsi" w:cstheme="minorBidi"/>
            <w:noProof/>
            <w:sz w:val="22"/>
            <w:szCs w:val="22"/>
          </w:rPr>
          <w:tab/>
        </w:r>
        <w:r w:rsidR="00A970F0" w:rsidRPr="000F6996">
          <w:rPr>
            <w:rStyle w:val="Hyperlink"/>
            <w:noProof/>
          </w:rPr>
          <w:t>Strategic direction statement</w:t>
        </w:r>
        <w:r w:rsidR="00A970F0">
          <w:rPr>
            <w:noProof/>
            <w:webHidden/>
          </w:rPr>
          <w:tab/>
        </w:r>
        <w:r w:rsidR="00A970F0">
          <w:rPr>
            <w:noProof/>
            <w:webHidden/>
          </w:rPr>
          <w:fldChar w:fldCharType="begin"/>
        </w:r>
        <w:r w:rsidR="00A970F0">
          <w:rPr>
            <w:noProof/>
            <w:webHidden/>
          </w:rPr>
          <w:instrText xml:space="preserve"> PAGEREF _Toc134036976 \h </w:instrText>
        </w:r>
        <w:r w:rsidR="00A970F0">
          <w:rPr>
            <w:noProof/>
            <w:webHidden/>
          </w:rPr>
        </w:r>
        <w:r w:rsidR="00A970F0">
          <w:rPr>
            <w:noProof/>
            <w:webHidden/>
          </w:rPr>
          <w:fldChar w:fldCharType="separate"/>
        </w:r>
        <w:r w:rsidR="00DF170E">
          <w:rPr>
            <w:noProof/>
            <w:webHidden/>
          </w:rPr>
          <w:t>313</w:t>
        </w:r>
        <w:r w:rsidR="00A970F0">
          <w:rPr>
            <w:noProof/>
            <w:webHidden/>
          </w:rPr>
          <w:fldChar w:fldCharType="end"/>
        </w:r>
      </w:hyperlink>
    </w:p>
    <w:p w14:paraId="2E4F6E79" w14:textId="76974C6B" w:rsidR="00A970F0" w:rsidRDefault="00000000">
      <w:pPr>
        <w:pStyle w:val="TOC2"/>
        <w:rPr>
          <w:rFonts w:asciiTheme="minorHAnsi" w:eastAsiaTheme="minorEastAsia" w:hAnsiTheme="minorHAnsi" w:cstheme="minorBidi"/>
          <w:noProof/>
          <w:sz w:val="22"/>
          <w:szCs w:val="22"/>
        </w:rPr>
      </w:pPr>
      <w:hyperlink w:anchor="_Toc134036977" w:history="1">
        <w:r w:rsidR="00A970F0" w:rsidRPr="000F6996">
          <w:rPr>
            <w:rStyle w:val="Hyperlink"/>
            <w:noProof/>
          </w:rPr>
          <w:t>1.2</w:t>
        </w:r>
        <w:r w:rsidR="00A970F0">
          <w:rPr>
            <w:rFonts w:asciiTheme="minorHAnsi" w:eastAsiaTheme="minorEastAsia" w:hAnsiTheme="minorHAnsi" w:cstheme="minorBidi"/>
            <w:noProof/>
            <w:sz w:val="22"/>
            <w:szCs w:val="22"/>
          </w:rPr>
          <w:tab/>
        </w:r>
        <w:r w:rsidR="00A970F0" w:rsidRPr="000F6996">
          <w:rPr>
            <w:rStyle w:val="Hyperlink"/>
            <w:noProof/>
          </w:rPr>
          <w:t>Entity resource statement</w:t>
        </w:r>
        <w:r w:rsidR="00A970F0">
          <w:rPr>
            <w:noProof/>
            <w:webHidden/>
          </w:rPr>
          <w:tab/>
        </w:r>
        <w:r w:rsidR="00A970F0">
          <w:rPr>
            <w:noProof/>
            <w:webHidden/>
          </w:rPr>
          <w:fldChar w:fldCharType="begin"/>
        </w:r>
        <w:r w:rsidR="00A970F0">
          <w:rPr>
            <w:noProof/>
            <w:webHidden/>
          </w:rPr>
          <w:instrText xml:space="preserve"> PAGEREF _Toc134036977 \h </w:instrText>
        </w:r>
        <w:r w:rsidR="00A970F0">
          <w:rPr>
            <w:noProof/>
            <w:webHidden/>
          </w:rPr>
        </w:r>
        <w:r w:rsidR="00A970F0">
          <w:rPr>
            <w:noProof/>
            <w:webHidden/>
          </w:rPr>
          <w:fldChar w:fldCharType="separate"/>
        </w:r>
        <w:r w:rsidR="00DF170E">
          <w:rPr>
            <w:noProof/>
            <w:webHidden/>
          </w:rPr>
          <w:t>314</w:t>
        </w:r>
        <w:r w:rsidR="00A970F0">
          <w:rPr>
            <w:noProof/>
            <w:webHidden/>
          </w:rPr>
          <w:fldChar w:fldCharType="end"/>
        </w:r>
      </w:hyperlink>
    </w:p>
    <w:p w14:paraId="384DE7CB" w14:textId="43E4C92C" w:rsidR="00A970F0" w:rsidRDefault="00000000">
      <w:pPr>
        <w:pStyle w:val="TOC2"/>
        <w:rPr>
          <w:rFonts w:asciiTheme="minorHAnsi" w:eastAsiaTheme="minorEastAsia" w:hAnsiTheme="minorHAnsi" w:cstheme="minorBidi"/>
          <w:noProof/>
          <w:sz w:val="22"/>
          <w:szCs w:val="22"/>
        </w:rPr>
      </w:pPr>
      <w:hyperlink w:anchor="_Toc134036978" w:history="1">
        <w:r w:rsidR="00A970F0" w:rsidRPr="000F6996">
          <w:rPr>
            <w:rStyle w:val="Hyperlink"/>
            <w:noProof/>
          </w:rPr>
          <w:t>1.3</w:t>
        </w:r>
        <w:r w:rsidR="00A970F0">
          <w:rPr>
            <w:rFonts w:asciiTheme="minorHAnsi" w:eastAsiaTheme="minorEastAsia" w:hAnsiTheme="minorHAnsi" w:cstheme="minorBidi"/>
            <w:noProof/>
            <w:sz w:val="22"/>
            <w:szCs w:val="22"/>
          </w:rPr>
          <w:tab/>
        </w:r>
        <w:r w:rsidR="00A970F0" w:rsidRPr="000F6996">
          <w:rPr>
            <w:rStyle w:val="Hyperlink"/>
            <w:noProof/>
          </w:rPr>
          <w:t>Budget measures</w:t>
        </w:r>
        <w:r w:rsidR="00A970F0">
          <w:rPr>
            <w:noProof/>
            <w:webHidden/>
          </w:rPr>
          <w:tab/>
        </w:r>
        <w:r w:rsidR="00A970F0">
          <w:rPr>
            <w:noProof/>
            <w:webHidden/>
          </w:rPr>
          <w:fldChar w:fldCharType="begin"/>
        </w:r>
        <w:r w:rsidR="00A970F0">
          <w:rPr>
            <w:noProof/>
            <w:webHidden/>
          </w:rPr>
          <w:instrText xml:space="preserve"> PAGEREF _Toc134036978 \h </w:instrText>
        </w:r>
        <w:r w:rsidR="00A970F0">
          <w:rPr>
            <w:noProof/>
            <w:webHidden/>
          </w:rPr>
        </w:r>
        <w:r w:rsidR="00A970F0">
          <w:rPr>
            <w:noProof/>
            <w:webHidden/>
          </w:rPr>
          <w:fldChar w:fldCharType="separate"/>
        </w:r>
        <w:r w:rsidR="00DF170E">
          <w:rPr>
            <w:noProof/>
            <w:webHidden/>
          </w:rPr>
          <w:t>315</w:t>
        </w:r>
        <w:r w:rsidR="00A970F0">
          <w:rPr>
            <w:noProof/>
            <w:webHidden/>
          </w:rPr>
          <w:fldChar w:fldCharType="end"/>
        </w:r>
      </w:hyperlink>
    </w:p>
    <w:p w14:paraId="1FC2320C" w14:textId="01EF6F7E" w:rsidR="00A970F0" w:rsidRDefault="00000000">
      <w:pPr>
        <w:pStyle w:val="TOC1"/>
        <w:rPr>
          <w:rFonts w:asciiTheme="minorHAnsi" w:eastAsiaTheme="minorEastAsia" w:hAnsiTheme="minorHAnsi" w:cstheme="minorBidi"/>
          <w:b w:val="0"/>
          <w:noProof/>
          <w:sz w:val="22"/>
          <w:szCs w:val="22"/>
        </w:rPr>
      </w:pPr>
      <w:hyperlink w:anchor="_Toc134036979" w:history="1">
        <w:r w:rsidR="00A970F0" w:rsidRPr="000F6996">
          <w:rPr>
            <w:rStyle w:val="Hyperlink"/>
            <w:noProof/>
          </w:rPr>
          <w:t>Section</w:t>
        </w:r>
        <w:r w:rsidR="00A970F0" w:rsidRPr="000F6996">
          <w:rPr>
            <w:rStyle w:val="Hyperlink"/>
            <w:noProof/>
            <w:spacing w:val="-10"/>
          </w:rPr>
          <w:t xml:space="preserve"> </w:t>
        </w:r>
        <w:r w:rsidR="00A970F0" w:rsidRPr="000F6996">
          <w:rPr>
            <w:rStyle w:val="Hyperlink"/>
            <w:noProof/>
          </w:rPr>
          <w:t>2:</w:t>
        </w:r>
        <w:r w:rsidR="00A970F0" w:rsidRPr="000F6996">
          <w:rPr>
            <w:rStyle w:val="Hyperlink"/>
            <w:noProof/>
            <w:spacing w:val="-10"/>
          </w:rPr>
          <w:t xml:space="preserve"> </w:t>
        </w:r>
        <w:r w:rsidR="00A970F0" w:rsidRPr="000F6996">
          <w:rPr>
            <w:rStyle w:val="Hyperlink"/>
            <w:noProof/>
          </w:rPr>
          <w:t>Outcomes</w:t>
        </w:r>
        <w:r w:rsidR="00A970F0" w:rsidRPr="000F6996">
          <w:rPr>
            <w:rStyle w:val="Hyperlink"/>
            <w:noProof/>
            <w:spacing w:val="-10"/>
          </w:rPr>
          <w:t xml:space="preserve"> </w:t>
        </w:r>
        <w:r w:rsidR="00A970F0" w:rsidRPr="000F6996">
          <w:rPr>
            <w:rStyle w:val="Hyperlink"/>
            <w:noProof/>
          </w:rPr>
          <w:t>and</w:t>
        </w:r>
        <w:r w:rsidR="00A970F0" w:rsidRPr="000F6996">
          <w:rPr>
            <w:rStyle w:val="Hyperlink"/>
            <w:noProof/>
            <w:spacing w:val="-10"/>
          </w:rPr>
          <w:t xml:space="preserve"> </w:t>
        </w:r>
        <w:r w:rsidR="00A970F0" w:rsidRPr="000F6996">
          <w:rPr>
            <w:rStyle w:val="Hyperlink"/>
            <w:noProof/>
          </w:rPr>
          <w:t>planned</w:t>
        </w:r>
        <w:r w:rsidR="00A970F0" w:rsidRPr="000F6996">
          <w:rPr>
            <w:rStyle w:val="Hyperlink"/>
            <w:noProof/>
            <w:spacing w:val="-7"/>
          </w:rPr>
          <w:t xml:space="preserve"> </w:t>
        </w:r>
        <w:r w:rsidR="00A970F0" w:rsidRPr="000F6996">
          <w:rPr>
            <w:rStyle w:val="Hyperlink"/>
            <w:noProof/>
            <w:spacing w:val="-2"/>
          </w:rPr>
          <w:t>performance</w:t>
        </w:r>
        <w:r w:rsidR="00A970F0">
          <w:rPr>
            <w:noProof/>
            <w:webHidden/>
          </w:rPr>
          <w:tab/>
        </w:r>
        <w:r w:rsidR="00A970F0">
          <w:rPr>
            <w:noProof/>
            <w:webHidden/>
          </w:rPr>
          <w:fldChar w:fldCharType="begin"/>
        </w:r>
        <w:r w:rsidR="00A970F0">
          <w:rPr>
            <w:noProof/>
            <w:webHidden/>
          </w:rPr>
          <w:instrText xml:space="preserve"> PAGEREF _Toc134036979 \h </w:instrText>
        </w:r>
        <w:r w:rsidR="00A970F0">
          <w:rPr>
            <w:noProof/>
            <w:webHidden/>
          </w:rPr>
        </w:r>
        <w:r w:rsidR="00A970F0">
          <w:rPr>
            <w:noProof/>
            <w:webHidden/>
          </w:rPr>
          <w:fldChar w:fldCharType="separate"/>
        </w:r>
        <w:r w:rsidR="00DF170E">
          <w:rPr>
            <w:noProof/>
            <w:webHidden/>
          </w:rPr>
          <w:t>316</w:t>
        </w:r>
        <w:r w:rsidR="00A970F0">
          <w:rPr>
            <w:noProof/>
            <w:webHidden/>
          </w:rPr>
          <w:fldChar w:fldCharType="end"/>
        </w:r>
      </w:hyperlink>
    </w:p>
    <w:p w14:paraId="7806C9AD" w14:textId="405C93E6" w:rsidR="00A970F0" w:rsidRDefault="00000000">
      <w:pPr>
        <w:pStyle w:val="TOC2"/>
        <w:rPr>
          <w:rFonts w:asciiTheme="minorHAnsi" w:eastAsiaTheme="minorEastAsia" w:hAnsiTheme="minorHAnsi" w:cstheme="minorBidi"/>
          <w:noProof/>
          <w:sz w:val="22"/>
          <w:szCs w:val="22"/>
        </w:rPr>
      </w:pPr>
      <w:hyperlink w:anchor="_Toc134036980" w:history="1">
        <w:r w:rsidR="00A970F0" w:rsidRPr="000F6996">
          <w:rPr>
            <w:rStyle w:val="Hyperlink"/>
            <w:noProof/>
          </w:rPr>
          <w:t>2.1</w:t>
        </w:r>
        <w:r w:rsidR="00A970F0">
          <w:rPr>
            <w:rFonts w:asciiTheme="minorHAnsi" w:eastAsiaTheme="minorEastAsia" w:hAnsiTheme="minorHAnsi" w:cstheme="minorBidi"/>
            <w:noProof/>
            <w:sz w:val="22"/>
            <w:szCs w:val="22"/>
          </w:rPr>
          <w:tab/>
        </w:r>
        <w:r w:rsidR="00A970F0" w:rsidRPr="000F6996">
          <w:rPr>
            <w:rStyle w:val="Hyperlink"/>
            <w:noProof/>
          </w:rPr>
          <w:t>Budgeted expenses and performance for Outcome 1</w:t>
        </w:r>
        <w:r w:rsidR="00A970F0">
          <w:rPr>
            <w:noProof/>
            <w:webHidden/>
          </w:rPr>
          <w:tab/>
        </w:r>
        <w:r w:rsidR="00A970F0">
          <w:rPr>
            <w:noProof/>
            <w:webHidden/>
          </w:rPr>
          <w:fldChar w:fldCharType="begin"/>
        </w:r>
        <w:r w:rsidR="00A970F0">
          <w:rPr>
            <w:noProof/>
            <w:webHidden/>
          </w:rPr>
          <w:instrText xml:space="preserve"> PAGEREF _Toc134036980 \h </w:instrText>
        </w:r>
        <w:r w:rsidR="00A970F0">
          <w:rPr>
            <w:noProof/>
            <w:webHidden/>
          </w:rPr>
        </w:r>
        <w:r w:rsidR="00A970F0">
          <w:rPr>
            <w:noProof/>
            <w:webHidden/>
          </w:rPr>
          <w:fldChar w:fldCharType="separate"/>
        </w:r>
        <w:r w:rsidR="00DF170E">
          <w:rPr>
            <w:noProof/>
            <w:webHidden/>
          </w:rPr>
          <w:t>317</w:t>
        </w:r>
        <w:r w:rsidR="00A970F0">
          <w:rPr>
            <w:noProof/>
            <w:webHidden/>
          </w:rPr>
          <w:fldChar w:fldCharType="end"/>
        </w:r>
      </w:hyperlink>
    </w:p>
    <w:p w14:paraId="3773F174" w14:textId="0FDF087D" w:rsidR="00A970F0" w:rsidRDefault="00000000">
      <w:pPr>
        <w:pStyle w:val="TOC1"/>
        <w:rPr>
          <w:rFonts w:asciiTheme="minorHAnsi" w:eastAsiaTheme="minorEastAsia" w:hAnsiTheme="minorHAnsi" w:cstheme="minorBidi"/>
          <w:b w:val="0"/>
          <w:noProof/>
          <w:sz w:val="22"/>
          <w:szCs w:val="22"/>
        </w:rPr>
      </w:pPr>
      <w:hyperlink w:anchor="_Toc134036981" w:history="1">
        <w:r w:rsidR="00A970F0" w:rsidRPr="000F6996">
          <w:rPr>
            <w:rStyle w:val="Hyperlink"/>
            <w:noProof/>
          </w:rPr>
          <w:t>Section</w:t>
        </w:r>
        <w:r w:rsidR="00A970F0" w:rsidRPr="000F6996">
          <w:rPr>
            <w:rStyle w:val="Hyperlink"/>
            <w:noProof/>
            <w:spacing w:val="-8"/>
          </w:rPr>
          <w:t xml:space="preserve"> </w:t>
        </w:r>
        <w:r w:rsidR="00A970F0" w:rsidRPr="000F6996">
          <w:rPr>
            <w:rStyle w:val="Hyperlink"/>
            <w:noProof/>
          </w:rPr>
          <w:t>3:</w:t>
        </w:r>
        <w:r w:rsidR="00A970F0" w:rsidRPr="000F6996">
          <w:rPr>
            <w:rStyle w:val="Hyperlink"/>
            <w:noProof/>
            <w:spacing w:val="-10"/>
          </w:rPr>
          <w:t xml:space="preserve"> </w:t>
        </w:r>
        <w:r w:rsidR="00A970F0" w:rsidRPr="000F6996">
          <w:rPr>
            <w:rStyle w:val="Hyperlink"/>
            <w:noProof/>
          </w:rPr>
          <w:t>Budgeted</w:t>
        </w:r>
        <w:r w:rsidR="00A970F0" w:rsidRPr="000F6996">
          <w:rPr>
            <w:rStyle w:val="Hyperlink"/>
            <w:noProof/>
            <w:spacing w:val="-11"/>
          </w:rPr>
          <w:t xml:space="preserve"> </w:t>
        </w:r>
        <w:r w:rsidR="00A970F0" w:rsidRPr="000F6996">
          <w:rPr>
            <w:rStyle w:val="Hyperlink"/>
            <w:noProof/>
          </w:rPr>
          <w:t>financial</w:t>
        </w:r>
        <w:r w:rsidR="00A970F0" w:rsidRPr="000F6996">
          <w:rPr>
            <w:rStyle w:val="Hyperlink"/>
            <w:noProof/>
            <w:spacing w:val="-10"/>
          </w:rPr>
          <w:t xml:space="preserve"> </w:t>
        </w:r>
        <w:r w:rsidR="00A970F0" w:rsidRPr="000F6996">
          <w:rPr>
            <w:rStyle w:val="Hyperlink"/>
            <w:noProof/>
            <w:spacing w:val="-2"/>
          </w:rPr>
          <w:t>statements</w:t>
        </w:r>
        <w:r w:rsidR="00A970F0">
          <w:rPr>
            <w:noProof/>
            <w:webHidden/>
          </w:rPr>
          <w:tab/>
        </w:r>
        <w:r w:rsidR="00A970F0">
          <w:rPr>
            <w:noProof/>
            <w:webHidden/>
          </w:rPr>
          <w:fldChar w:fldCharType="begin"/>
        </w:r>
        <w:r w:rsidR="00A970F0">
          <w:rPr>
            <w:noProof/>
            <w:webHidden/>
          </w:rPr>
          <w:instrText xml:space="preserve"> PAGEREF _Toc134036981 \h </w:instrText>
        </w:r>
        <w:r w:rsidR="00A970F0">
          <w:rPr>
            <w:noProof/>
            <w:webHidden/>
          </w:rPr>
        </w:r>
        <w:r w:rsidR="00A970F0">
          <w:rPr>
            <w:noProof/>
            <w:webHidden/>
          </w:rPr>
          <w:fldChar w:fldCharType="separate"/>
        </w:r>
        <w:r w:rsidR="00DF170E">
          <w:rPr>
            <w:noProof/>
            <w:webHidden/>
          </w:rPr>
          <w:t>320</w:t>
        </w:r>
        <w:r w:rsidR="00A970F0">
          <w:rPr>
            <w:noProof/>
            <w:webHidden/>
          </w:rPr>
          <w:fldChar w:fldCharType="end"/>
        </w:r>
      </w:hyperlink>
    </w:p>
    <w:p w14:paraId="7602AF80" w14:textId="359A23A8" w:rsidR="00A970F0" w:rsidRDefault="00000000">
      <w:pPr>
        <w:pStyle w:val="TOC2"/>
        <w:rPr>
          <w:rFonts w:asciiTheme="minorHAnsi" w:eastAsiaTheme="minorEastAsia" w:hAnsiTheme="minorHAnsi" w:cstheme="minorBidi"/>
          <w:noProof/>
          <w:sz w:val="22"/>
          <w:szCs w:val="22"/>
        </w:rPr>
      </w:pPr>
      <w:hyperlink w:anchor="_Toc134036982" w:history="1">
        <w:r w:rsidR="00A970F0" w:rsidRPr="000F6996">
          <w:rPr>
            <w:rStyle w:val="Hyperlink"/>
            <w:noProof/>
          </w:rPr>
          <w:t>3.1</w:t>
        </w:r>
        <w:r w:rsidR="00A970F0">
          <w:rPr>
            <w:rFonts w:asciiTheme="minorHAnsi" w:eastAsiaTheme="minorEastAsia" w:hAnsiTheme="minorHAnsi" w:cstheme="minorBidi"/>
            <w:noProof/>
            <w:sz w:val="22"/>
            <w:szCs w:val="22"/>
          </w:rPr>
          <w:tab/>
        </w:r>
        <w:r w:rsidR="00A970F0" w:rsidRPr="000F6996">
          <w:rPr>
            <w:rStyle w:val="Hyperlink"/>
            <w:noProof/>
          </w:rPr>
          <w:t>Budgeted financial statements</w:t>
        </w:r>
        <w:r w:rsidR="00A970F0">
          <w:rPr>
            <w:noProof/>
            <w:webHidden/>
          </w:rPr>
          <w:tab/>
        </w:r>
        <w:r w:rsidR="00A970F0">
          <w:rPr>
            <w:noProof/>
            <w:webHidden/>
          </w:rPr>
          <w:fldChar w:fldCharType="begin"/>
        </w:r>
        <w:r w:rsidR="00A970F0">
          <w:rPr>
            <w:noProof/>
            <w:webHidden/>
          </w:rPr>
          <w:instrText xml:space="preserve"> PAGEREF _Toc134036982 \h </w:instrText>
        </w:r>
        <w:r w:rsidR="00A970F0">
          <w:rPr>
            <w:noProof/>
            <w:webHidden/>
          </w:rPr>
        </w:r>
        <w:r w:rsidR="00A970F0">
          <w:rPr>
            <w:noProof/>
            <w:webHidden/>
          </w:rPr>
          <w:fldChar w:fldCharType="separate"/>
        </w:r>
        <w:r w:rsidR="00DF170E">
          <w:rPr>
            <w:noProof/>
            <w:webHidden/>
          </w:rPr>
          <w:t>320</w:t>
        </w:r>
        <w:r w:rsidR="00A970F0">
          <w:rPr>
            <w:noProof/>
            <w:webHidden/>
          </w:rPr>
          <w:fldChar w:fldCharType="end"/>
        </w:r>
      </w:hyperlink>
    </w:p>
    <w:p w14:paraId="6013C2D3" w14:textId="1B126D72" w:rsidR="00A970F0" w:rsidRDefault="00000000">
      <w:pPr>
        <w:pStyle w:val="TOC2"/>
        <w:rPr>
          <w:rFonts w:asciiTheme="minorHAnsi" w:eastAsiaTheme="minorEastAsia" w:hAnsiTheme="minorHAnsi" w:cstheme="minorBidi"/>
          <w:noProof/>
          <w:sz w:val="22"/>
          <w:szCs w:val="22"/>
        </w:rPr>
      </w:pPr>
      <w:hyperlink w:anchor="_Toc134036983" w:history="1">
        <w:r w:rsidR="00A970F0" w:rsidRPr="000F6996">
          <w:rPr>
            <w:rStyle w:val="Hyperlink"/>
            <w:noProof/>
          </w:rPr>
          <w:t>3.2</w:t>
        </w:r>
        <w:r w:rsidR="00A970F0">
          <w:rPr>
            <w:rFonts w:asciiTheme="minorHAnsi" w:eastAsiaTheme="minorEastAsia" w:hAnsiTheme="minorHAnsi" w:cstheme="minorBidi"/>
            <w:noProof/>
            <w:sz w:val="22"/>
            <w:szCs w:val="22"/>
          </w:rPr>
          <w:tab/>
        </w:r>
        <w:r w:rsidR="00A970F0" w:rsidRPr="000F6996">
          <w:rPr>
            <w:rStyle w:val="Hyperlink"/>
            <w:noProof/>
          </w:rPr>
          <w:t>Budgeted financial statements tables</w:t>
        </w:r>
        <w:r w:rsidR="00A970F0">
          <w:rPr>
            <w:noProof/>
            <w:webHidden/>
          </w:rPr>
          <w:tab/>
        </w:r>
        <w:r w:rsidR="00A970F0">
          <w:rPr>
            <w:noProof/>
            <w:webHidden/>
          </w:rPr>
          <w:fldChar w:fldCharType="begin"/>
        </w:r>
        <w:r w:rsidR="00A970F0">
          <w:rPr>
            <w:noProof/>
            <w:webHidden/>
          </w:rPr>
          <w:instrText xml:space="preserve"> PAGEREF _Toc134036983 \h </w:instrText>
        </w:r>
        <w:r w:rsidR="00A970F0">
          <w:rPr>
            <w:noProof/>
            <w:webHidden/>
          </w:rPr>
        </w:r>
        <w:r w:rsidR="00A970F0">
          <w:rPr>
            <w:noProof/>
            <w:webHidden/>
          </w:rPr>
          <w:fldChar w:fldCharType="separate"/>
        </w:r>
        <w:r w:rsidR="00DF170E">
          <w:rPr>
            <w:noProof/>
            <w:webHidden/>
          </w:rPr>
          <w:t>321</w:t>
        </w:r>
        <w:r w:rsidR="00A970F0">
          <w:rPr>
            <w:noProof/>
            <w:webHidden/>
          </w:rPr>
          <w:fldChar w:fldCharType="end"/>
        </w:r>
      </w:hyperlink>
    </w:p>
    <w:p w14:paraId="247130C0" w14:textId="71260645" w:rsidR="00F31DD2" w:rsidRDefault="005C7EAE" w:rsidP="005C7EAE">
      <w:pPr>
        <w:tabs>
          <w:tab w:val="center" w:pos="4275"/>
        </w:tabs>
        <w:rPr>
          <w:rFonts w:ascii="Arial" w:hAnsi="Arial"/>
          <w:b/>
          <w:bCs/>
          <w:sz w:val="36"/>
        </w:rPr>
      </w:pPr>
      <w:r>
        <w:fldChar w:fldCharType="end"/>
      </w:r>
    </w:p>
    <w:p w14:paraId="06C3242A" w14:textId="77777777" w:rsidR="005C7EAE" w:rsidRDefault="005C7EAE" w:rsidP="005C7EAE">
      <w:pPr>
        <w:rPr>
          <w:rFonts w:ascii="Arial" w:hAnsi="Arial"/>
          <w:b/>
          <w:bCs/>
          <w:sz w:val="36"/>
        </w:rPr>
      </w:pPr>
    </w:p>
    <w:p w14:paraId="6A4311BE" w14:textId="4D7E7108" w:rsidR="005C7EAE" w:rsidRPr="005C7EAE" w:rsidRDefault="005C7EAE" w:rsidP="005C7EAE">
      <w:pPr>
        <w:sectPr w:rsidR="005C7EAE" w:rsidRPr="005C7EAE" w:rsidSect="003F7A01">
          <w:headerReference w:type="default" r:id="rId9"/>
          <w:footerReference w:type="even" r:id="rId10"/>
          <w:footerReference w:type="default" r:id="rId11"/>
          <w:type w:val="oddPage"/>
          <w:pgSz w:w="11910" w:h="16840" w:code="9"/>
          <w:pgMar w:top="2835" w:right="2098" w:bottom="2466" w:left="2098" w:header="1814" w:footer="1814" w:gutter="0"/>
          <w:pgNumType w:start="311"/>
          <w:cols w:space="720"/>
          <w:docGrid w:linePitch="299"/>
        </w:sectPr>
      </w:pPr>
    </w:p>
    <w:p w14:paraId="56D1A74C" w14:textId="178279B8" w:rsidR="00AF5CD1" w:rsidRPr="00D107A5" w:rsidRDefault="00AF5CD1" w:rsidP="00142E86">
      <w:pPr>
        <w:pStyle w:val="Heading1"/>
        <w:rPr>
          <w:szCs w:val="36"/>
        </w:rPr>
      </w:pPr>
      <w:bookmarkStart w:id="1" w:name="Department_of"/>
      <w:bookmarkStart w:id="2" w:name="Section_1:_Entity_overview_and_resources"/>
      <w:bookmarkStart w:id="3" w:name="_bookmark3"/>
      <w:bookmarkStart w:id="4" w:name="_Toc65243502"/>
      <w:bookmarkStart w:id="5" w:name="_Toc133933898"/>
      <w:bookmarkEnd w:id="1"/>
      <w:bookmarkEnd w:id="2"/>
      <w:bookmarkEnd w:id="3"/>
      <w:r w:rsidRPr="00D107A5">
        <w:rPr>
          <w:szCs w:val="36"/>
        </w:rPr>
        <w:lastRenderedPageBreak/>
        <w:t>National Competition Council</w:t>
      </w:r>
      <w:bookmarkEnd w:id="4"/>
      <w:bookmarkEnd w:id="5"/>
    </w:p>
    <w:p w14:paraId="16540372" w14:textId="0BFF28EC" w:rsidR="008E1FF5" w:rsidRDefault="00465A87" w:rsidP="00543F88">
      <w:pPr>
        <w:pStyle w:val="Heading2"/>
      </w:pPr>
      <w:bookmarkStart w:id="6" w:name="_Toc133933899"/>
      <w:bookmarkStart w:id="7" w:name="_Toc134036975"/>
      <w:r>
        <w:t>Section</w:t>
      </w:r>
      <w:r>
        <w:rPr>
          <w:spacing w:val="-7"/>
        </w:rPr>
        <w:t xml:space="preserve"> </w:t>
      </w:r>
      <w:r>
        <w:t>1:</w:t>
      </w:r>
      <w:r>
        <w:rPr>
          <w:spacing w:val="-8"/>
        </w:rPr>
        <w:t xml:space="preserve"> </w:t>
      </w:r>
      <w:r>
        <w:t>Entity</w:t>
      </w:r>
      <w:r>
        <w:rPr>
          <w:spacing w:val="-9"/>
        </w:rPr>
        <w:t xml:space="preserve"> </w:t>
      </w:r>
      <w:r>
        <w:t>overview</w:t>
      </w:r>
      <w:r>
        <w:rPr>
          <w:spacing w:val="-6"/>
        </w:rPr>
        <w:t xml:space="preserve"> </w:t>
      </w:r>
      <w:r>
        <w:t>and</w:t>
      </w:r>
      <w:r>
        <w:rPr>
          <w:spacing w:val="-9"/>
        </w:rPr>
        <w:t xml:space="preserve"> </w:t>
      </w:r>
      <w:r>
        <w:rPr>
          <w:spacing w:val="-2"/>
        </w:rPr>
        <w:t>resources</w:t>
      </w:r>
      <w:bookmarkEnd w:id="6"/>
      <w:bookmarkEnd w:id="7"/>
    </w:p>
    <w:p w14:paraId="2E988013" w14:textId="77F7525A" w:rsidR="008E1FF5" w:rsidRPr="00570AE9" w:rsidRDefault="00B70467" w:rsidP="00543F88">
      <w:pPr>
        <w:pStyle w:val="Heading3"/>
        <w:rPr>
          <w:rFonts w:ascii="Arial" w:hAnsi="Arial"/>
        </w:rPr>
      </w:pPr>
      <w:bookmarkStart w:id="8" w:name="1.1_Strategic_direction_statement"/>
      <w:bookmarkStart w:id="9" w:name="_Toc134036976"/>
      <w:bookmarkEnd w:id="8"/>
      <w:r w:rsidRPr="00570AE9">
        <w:rPr>
          <w:rFonts w:ascii="Arial" w:hAnsi="Arial"/>
        </w:rPr>
        <w:t>1.1</w:t>
      </w:r>
      <w:r w:rsidRPr="00570AE9">
        <w:rPr>
          <w:rFonts w:ascii="Arial" w:hAnsi="Arial"/>
        </w:rPr>
        <w:tab/>
      </w:r>
      <w:r w:rsidR="00465A87" w:rsidRPr="00570AE9">
        <w:rPr>
          <w:rFonts w:ascii="Arial" w:hAnsi="Arial"/>
        </w:rPr>
        <w:t>Strategic direction statement</w:t>
      </w:r>
      <w:bookmarkEnd w:id="9"/>
    </w:p>
    <w:p w14:paraId="3A04DC25" w14:textId="3DD49CEA" w:rsidR="00E36121" w:rsidRPr="00CB594E" w:rsidRDefault="00E36121" w:rsidP="006A37A5">
      <w:pPr>
        <w:rPr>
          <w:i/>
          <w:iCs/>
        </w:rPr>
      </w:pPr>
      <w:r w:rsidRPr="00E36121">
        <w:t>The National</w:t>
      </w:r>
      <w:r w:rsidR="008D43AC">
        <w:t> </w:t>
      </w:r>
      <w:r w:rsidRPr="00E36121">
        <w:t>Competition</w:t>
      </w:r>
      <w:r w:rsidR="008D43AC">
        <w:t> </w:t>
      </w:r>
      <w:r w:rsidRPr="00E36121">
        <w:t>Council</w:t>
      </w:r>
      <w:r w:rsidR="008D43AC">
        <w:t> </w:t>
      </w:r>
      <w:r w:rsidRPr="00E36121">
        <w:t>(NCC) makes recommendations under the National</w:t>
      </w:r>
      <w:r w:rsidR="00283C16">
        <w:t> </w:t>
      </w:r>
      <w:r w:rsidRPr="00E36121">
        <w:t>Access</w:t>
      </w:r>
      <w:r w:rsidR="00283C16">
        <w:t> </w:t>
      </w:r>
      <w:r w:rsidRPr="00E36121">
        <w:t xml:space="preserve">Regime in Part IIIA of the </w:t>
      </w:r>
      <w:r w:rsidRPr="000B3BC5">
        <w:rPr>
          <w:i/>
          <w:iCs/>
        </w:rPr>
        <w:t>Competition and Consumer Act 2010</w:t>
      </w:r>
      <w:r w:rsidR="00712F6F">
        <w:t>.</w:t>
      </w:r>
    </w:p>
    <w:p w14:paraId="216172B4" w14:textId="5C799458" w:rsidR="00E36121" w:rsidRPr="00CB594E" w:rsidRDefault="00E36121" w:rsidP="006A37A5">
      <w:pPr>
        <w:rPr>
          <w:i/>
          <w:iCs/>
        </w:rPr>
      </w:pPr>
      <w:r w:rsidRPr="00E36121">
        <w:t>The National</w:t>
      </w:r>
      <w:r w:rsidR="00283C16">
        <w:t> </w:t>
      </w:r>
      <w:r w:rsidRPr="00E36121">
        <w:t>Access</w:t>
      </w:r>
      <w:r w:rsidR="00283C16">
        <w:t> </w:t>
      </w:r>
      <w:r w:rsidRPr="00E36121">
        <w:t xml:space="preserve">Regime promotes competition, efficiency and productivity in markets that depend on the use of services provided by monopoly infrastructure facilities. Within this regime the NCC may recommend the declaration of a service provided by a monopoly facility but only if </w:t>
      </w:r>
      <w:proofErr w:type="gramStart"/>
      <w:r w:rsidRPr="00E36121">
        <w:t>all of</w:t>
      </w:r>
      <w:proofErr w:type="gramEnd"/>
      <w:r w:rsidRPr="00E36121">
        <w:t xml:space="preserve"> the </w:t>
      </w:r>
      <w:r w:rsidR="009E2237">
        <w:t>‘</w:t>
      </w:r>
      <w:r w:rsidRPr="00E36121">
        <w:t>declaration criteria</w:t>
      </w:r>
      <w:r w:rsidR="009E2237">
        <w:t>’</w:t>
      </w:r>
      <w:r w:rsidRPr="00E36121">
        <w:t xml:space="preserve"> specified in the </w:t>
      </w:r>
      <w:r w:rsidR="00D26AEA" w:rsidRPr="000B3BC5">
        <w:rPr>
          <w:i/>
          <w:iCs/>
        </w:rPr>
        <w:t>Competition and Consumer Act 2010</w:t>
      </w:r>
      <w:r w:rsidR="00992D8B">
        <w:rPr>
          <w:i/>
          <w:iCs/>
        </w:rPr>
        <w:t xml:space="preserve"> </w:t>
      </w:r>
      <w:r w:rsidRPr="00E36121">
        <w:t xml:space="preserve">are met. Where a service is declared, the Australian Competition and Consumer Commission (ACCC) is empowered to arbitrate access disputes if the parties seeking access and the facility owner are unable to agree on access arrangements including prices. </w:t>
      </w:r>
    </w:p>
    <w:p w14:paraId="1560DF8F" w14:textId="28BE217B" w:rsidR="00E36121" w:rsidRPr="00CB594E" w:rsidRDefault="00E36121" w:rsidP="006A37A5">
      <w:pPr>
        <w:rPr>
          <w:i/>
          <w:iCs/>
        </w:rPr>
      </w:pPr>
      <w:r w:rsidRPr="00E36121">
        <w:t>As an alternative to the National</w:t>
      </w:r>
      <w:r w:rsidR="006762A7">
        <w:t> </w:t>
      </w:r>
      <w:r w:rsidRPr="00E36121">
        <w:t>Access</w:t>
      </w:r>
      <w:r w:rsidR="006762A7">
        <w:t> </w:t>
      </w:r>
      <w:r w:rsidRPr="00E36121">
        <w:t xml:space="preserve">Regime, state and territory governments may implement access regimes specific to their circumstances or implement (cooperatively) parallel regulation in each jurisdiction (as has occurred for the gas and electricity industries). The NCC is responsible for recommending whether a state or territory access regime should be certified as effective, with the result that services covered by that access regime are exempt from declaration under the </w:t>
      </w:r>
      <w:r w:rsidR="00D26AEA" w:rsidRPr="000B3BC5">
        <w:rPr>
          <w:i/>
          <w:iCs/>
        </w:rPr>
        <w:t>Competition and Consumer Act 2010</w:t>
      </w:r>
      <w:r w:rsidRPr="00E36121">
        <w:t xml:space="preserve">. </w:t>
      </w:r>
    </w:p>
    <w:p w14:paraId="0570E684" w14:textId="76E26D4C" w:rsidR="00BF60DA" w:rsidRDefault="00E36121">
      <w:r w:rsidRPr="00E36121">
        <w:t xml:space="preserve">On 1 July 2014, the NCC </w:t>
      </w:r>
      <w:proofErr w:type="gramStart"/>
      <w:r w:rsidRPr="00E36121">
        <w:t>entered into</w:t>
      </w:r>
      <w:proofErr w:type="gramEnd"/>
      <w:r w:rsidRPr="00E36121">
        <w:t xml:space="preserve"> a Memorandum</w:t>
      </w:r>
      <w:r w:rsidR="006762A7">
        <w:t> </w:t>
      </w:r>
      <w:r w:rsidRPr="00E36121">
        <w:t>of</w:t>
      </w:r>
      <w:r w:rsidR="006762A7">
        <w:t> </w:t>
      </w:r>
      <w:r w:rsidRPr="00E36121">
        <w:t>Understanding with the ACCC under which staff and other support for the NCC</w:t>
      </w:r>
      <w:r w:rsidR="009E2237">
        <w:t>’</w:t>
      </w:r>
      <w:r w:rsidRPr="00E36121">
        <w:t xml:space="preserve">s operations are provided by the ACCC. The NCC remains an independent entity, however, under this arrangement, it does not employ staff directly. The NCC maintains responsibility for its recommendations, decisions and other functions under the </w:t>
      </w:r>
      <w:r w:rsidR="00287D8F" w:rsidRPr="000B3BC5">
        <w:rPr>
          <w:i/>
          <w:iCs/>
        </w:rPr>
        <w:t>Competition and Consumer Act 2010</w:t>
      </w:r>
      <w:r w:rsidR="00C44F62">
        <w:rPr>
          <w:i/>
          <w:iCs/>
        </w:rPr>
        <w:t xml:space="preserve"> </w:t>
      </w:r>
      <w:r w:rsidRPr="00E36121">
        <w:t>and ensures that its websites, guidelines</w:t>
      </w:r>
      <w:r w:rsidR="005C62A0">
        <w:t>,</w:t>
      </w:r>
      <w:r w:rsidRPr="00E36121">
        <w:t xml:space="preserve"> and other information resources remain relevant and available to all stakeholders.</w:t>
      </w:r>
    </w:p>
    <w:p w14:paraId="36B5FDEF" w14:textId="77777777" w:rsidR="008E1FF5" w:rsidRDefault="008E1FF5"/>
    <w:p w14:paraId="60540FA4" w14:textId="50ED3278" w:rsidR="00850ADA" w:rsidRDefault="00850ADA">
      <w:pPr>
        <w:sectPr w:rsidR="00850ADA" w:rsidSect="00BF60DA">
          <w:headerReference w:type="even" r:id="rId12"/>
          <w:headerReference w:type="default" r:id="rId13"/>
          <w:footerReference w:type="even" r:id="rId14"/>
          <w:footerReference w:type="default" r:id="rId15"/>
          <w:type w:val="oddPage"/>
          <w:pgSz w:w="11910" w:h="16840"/>
          <w:pgMar w:top="2835" w:right="2098" w:bottom="2466" w:left="2098" w:header="1814" w:footer="1814" w:gutter="0"/>
          <w:cols w:space="720"/>
          <w:docGrid w:linePitch="299"/>
        </w:sectPr>
      </w:pPr>
    </w:p>
    <w:p w14:paraId="198883BE" w14:textId="15A370F4" w:rsidR="008E1FF5" w:rsidRPr="00151F7B" w:rsidRDefault="00B70467" w:rsidP="00B70467">
      <w:pPr>
        <w:pStyle w:val="Heading3"/>
        <w:rPr>
          <w:rFonts w:ascii="Arial" w:hAnsi="Arial"/>
        </w:rPr>
      </w:pPr>
      <w:bookmarkStart w:id="10" w:name="1.2_Entity_resource_statement"/>
      <w:bookmarkStart w:id="11" w:name="_Toc134036977"/>
      <w:bookmarkEnd w:id="10"/>
      <w:r w:rsidRPr="00151F7B">
        <w:rPr>
          <w:rFonts w:ascii="Arial" w:hAnsi="Arial"/>
        </w:rPr>
        <w:lastRenderedPageBreak/>
        <w:t>1.2</w:t>
      </w:r>
      <w:r w:rsidRPr="00151F7B">
        <w:rPr>
          <w:rFonts w:ascii="Arial" w:hAnsi="Arial"/>
        </w:rPr>
        <w:tab/>
      </w:r>
      <w:r w:rsidR="00465A87" w:rsidRPr="00151F7B">
        <w:rPr>
          <w:rFonts w:ascii="Arial" w:hAnsi="Arial"/>
        </w:rPr>
        <w:t>Entity resource statement</w:t>
      </w:r>
      <w:bookmarkEnd w:id="11"/>
    </w:p>
    <w:p w14:paraId="2A6B55AE" w14:textId="34616384" w:rsidR="008E1FF5" w:rsidRDefault="00465A87" w:rsidP="006A37A5">
      <w:r w:rsidRPr="00462B2F">
        <w:t>Table</w:t>
      </w:r>
      <w:r w:rsidRPr="00462B2F">
        <w:rPr>
          <w:spacing w:val="-3"/>
        </w:rPr>
        <w:t xml:space="preserve"> </w:t>
      </w:r>
      <w:r w:rsidRPr="00462B2F">
        <w:t>1.1</w:t>
      </w:r>
      <w:r w:rsidRPr="00462B2F">
        <w:rPr>
          <w:spacing w:val="-4"/>
        </w:rPr>
        <w:t xml:space="preserve"> </w:t>
      </w:r>
      <w:r w:rsidRPr="00462B2F">
        <w:t>shows</w:t>
      </w:r>
      <w:r w:rsidRPr="00462B2F">
        <w:rPr>
          <w:spacing w:val="-4"/>
        </w:rPr>
        <w:t xml:space="preserve"> </w:t>
      </w:r>
      <w:r w:rsidRPr="00462B2F">
        <w:t>the</w:t>
      </w:r>
      <w:r w:rsidRPr="00462B2F">
        <w:rPr>
          <w:spacing w:val="-3"/>
        </w:rPr>
        <w:t xml:space="preserve"> </w:t>
      </w:r>
      <w:r w:rsidRPr="00462B2F">
        <w:t>total</w:t>
      </w:r>
      <w:r w:rsidRPr="00462B2F">
        <w:rPr>
          <w:spacing w:val="-3"/>
        </w:rPr>
        <w:t xml:space="preserve"> </w:t>
      </w:r>
      <w:r w:rsidRPr="00462B2F">
        <w:t>funding</w:t>
      </w:r>
      <w:r w:rsidRPr="00462B2F">
        <w:rPr>
          <w:spacing w:val="-2"/>
        </w:rPr>
        <w:t xml:space="preserve"> </w:t>
      </w:r>
      <w:r w:rsidRPr="00462B2F">
        <w:t>from</w:t>
      </w:r>
      <w:r w:rsidRPr="00462B2F">
        <w:rPr>
          <w:spacing w:val="-2"/>
        </w:rPr>
        <w:t xml:space="preserve"> </w:t>
      </w:r>
      <w:r w:rsidRPr="00462B2F">
        <w:t>all</w:t>
      </w:r>
      <w:r w:rsidRPr="00462B2F">
        <w:rPr>
          <w:spacing w:val="-3"/>
        </w:rPr>
        <w:t xml:space="preserve"> </w:t>
      </w:r>
      <w:r w:rsidRPr="00462B2F">
        <w:t>sources</w:t>
      </w:r>
      <w:r w:rsidRPr="00462B2F">
        <w:rPr>
          <w:spacing w:val="-2"/>
        </w:rPr>
        <w:t xml:space="preserve"> </w:t>
      </w:r>
      <w:r w:rsidRPr="00462B2F">
        <w:t>available</w:t>
      </w:r>
      <w:r w:rsidRPr="00462B2F">
        <w:rPr>
          <w:spacing w:val="-2"/>
        </w:rPr>
        <w:t xml:space="preserve"> </w:t>
      </w:r>
      <w:r w:rsidRPr="00462B2F">
        <w:t>to</w:t>
      </w:r>
      <w:r w:rsidRPr="00462B2F">
        <w:rPr>
          <w:spacing w:val="-3"/>
        </w:rPr>
        <w:t xml:space="preserve"> </w:t>
      </w:r>
      <w:r w:rsidRPr="00462B2F">
        <w:t>the</w:t>
      </w:r>
      <w:r w:rsidRPr="00462B2F">
        <w:rPr>
          <w:spacing w:val="-3"/>
        </w:rPr>
        <w:t xml:space="preserve"> </w:t>
      </w:r>
      <w:r w:rsidRPr="00462B2F">
        <w:t>entity</w:t>
      </w:r>
      <w:r w:rsidRPr="00462B2F">
        <w:rPr>
          <w:spacing w:val="-3"/>
        </w:rPr>
        <w:t xml:space="preserve"> </w:t>
      </w:r>
      <w:r w:rsidRPr="00462B2F">
        <w:t>for</w:t>
      </w:r>
      <w:r w:rsidRPr="00462B2F">
        <w:rPr>
          <w:spacing w:val="-4"/>
        </w:rPr>
        <w:t xml:space="preserve"> </w:t>
      </w:r>
      <w:r w:rsidRPr="00462B2F">
        <w:t>its</w:t>
      </w:r>
      <w:r w:rsidRPr="00462B2F">
        <w:rPr>
          <w:spacing w:val="-2"/>
        </w:rPr>
        <w:t xml:space="preserve"> </w:t>
      </w:r>
      <w:r w:rsidRPr="00462B2F">
        <w:t>operations and to deliver programs and services on behalf of the Government.</w:t>
      </w:r>
    </w:p>
    <w:p w14:paraId="319C319E" w14:textId="18F943B7" w:rsidR="008E1FF5" w:rsidRPr="00462B2F" w:rsidRDefault="00465A87" w:rsidP="006A37A5">
      <w:r w:rsidRPr="00462B2F">
        <w:t>The</w:t>
      </w:r>
      <w:r w:rsidRPr="00462B2F">
        <w:rPr>
          <w:spacing w:val="-3"/>
        </w:rPr>
        <w:t xml:space="preserve"> </w:t>
      </w:r>
      <w:r w:rsidRPr="00462B2F">
        <w:t>table</w:t>
      </w:r>
      <w:r w:rsidRPr="00462B2F">
        <w:rPr>
          <w:spacing w:val="-3"/>
        </w:rPr>
        <w:t xml:space="preserve"> </w:t>
      </w:r>
      <w:r w:rsidRPr="00462B2F">
        <w:t>summarises</w:t>
      </w:r>
      <w:r w:rsidRPr="00462B2F">
        <w:rPr>
          <w:spacing w:val="-3"/>
        </w:rPr>
        <w:t xml:space="preserve"> </w:t>
      </w:r>
      <w:r w:rsidRPr="00462B2F">
        <w:t>how</w:t>
      </w:r>
      <w:r w:rsidRPr="00462B2F">
        <w:rPr>
          <w:spacing w:val="-3"/>
        </w:rPr>
        <w:t xml:space="preserve"> </w:t>
      </w:r>
      <w:r w:rsidRPr="00462B2F">
        <w:t>resources</w:t>
      </w:r>
      <w:r w:rsidRPr="00462B2F">
        <w:rPr>
          <w:spacing w:val="-3"/>
        </w:rPr>
        <w:t xml:space="preserve"> </w:t>
      </w:r>
      <w:r w:rsidRPr="00462B2F">
        <w:t>will</w:t>
      </w:r>
      <w:r w:rsidRPr="00462B2F">
        <w:rPr>
          <w:spacing w:val="-3"/>
        </w:rPr>
        <w:t xml:space="preserve"> </w:t>
      </w:r>
      <w:r w:rsidRPr="00462B2F">
        <w:t>be</w:t>
      </w:r>
      <w:r w:rsidRPr="00462B2F">
        <w:rPr>
          <w:spacing w:val="-5"/>
        </w:rPr>
        <w:t xml:space="preserve"> </w:t>
      </w:r>
      <w:r w:rsidRPr="00462B2F">
        <w:t>applied</w:t>
      </w:r>
      <w:r w:rsidRPr="00462B2F">
        <w:rPr>
          <w:spacing w:val="-4"/>
        </w:rPr>
        <w:t xml:space="preserve"> </w:t>
      </w:r>
      <w:r w:rsidRPr="00462B2F">
        <w:t>by</w:t>
      </w:r>
      <w:r w:rsidRPr="00462B2F">
        <w:rPr>
          <w:spacing w:val="-3"/>
        </w:rPr>
        <w:t xml:space="preserve"> </w:t>
      </w:r>
      <w:r w:rsidRPr="00462B2F">
        <w:t>outcome</w:t>
      </w:r>
      <w:r w:rsidRPr="00462B2F">
        <w:rPr>
          <w:spacing w:val="-3"/>
        </w:rPr>
        <w:t xml:space="preserve"> </w:t>
      </w:r>
      <w:r w:rsidRPr="00462B2F">
        <w:t>(government</w:t>
      </w:r>
      <w:r w:rsidRPr="00462B2F">
        <w:rPr>
          <w:spacing w:val="-3"/>
        </w:rPr>
        <w:t xml:space="preserve"> </w:t>
      </w:r>
      <w:r w:rsidRPr="00462B2F">
        <w:t>strategic policy</w:t>
      </w:r>
      <w:r w:rsidRPr="00462B2F">
        <w:rPr>
          <w:spacing w:val="-2"/>
        </w:rPr>
        <w:t xml:space="preserve"> </w:t>
      </w:r>
      <w:r w:rsidRPr="00462B2F">
        <w:t>objectives)</w:t>
      </w:r>
      <w:r w:rsidRPr="00462B2F">
        <w:rPr>
          <w:spacing w:val="-5"/>
        </w:rPr>
        <w:t xml:space="preserve"> </w:t>
      </w:r>
      <w:r w:rsidRPr="00462B2F">
        <w:t>and</w:t>
      </w:r>
      <w:r w:rsidRPr="00462B2F">
        <w:rPr>
          <w:spacing w:val="-3"/>
        </w:rPr>
        <w:t xml:space="preserve"> </w:t>
      </w:r>
      <w:r w:rsidRPr="00462B2F">
        <w:t>by</w:t>
      </w:r>
      <w:r w:rsidRPr="00462B2F">
        <w:rPr>
          <w:spacing w:val="-2"/>
        </w:rPr>
        <w:t xml:space="preserve"> </w:t>
      </w:r>
      <w:r w:rsidRPr="00462B2F">
        <w:t>administered</w:t>
      </w:r>
      <w:r w:rsidRPr="00462B2F">
        <w:rPr>
          <w:spacing w:val="-3"/>
        </w:rPr>
        <w:t xml:space="preserve"> </w:t>
      </w:r>
      <w:r w:rsidRPr="00462B2F">
        <w:t>(on</w:t>
      </w:r>
      <w:r w:rsidRPr="00462B2F">
        <w:rPr>
          <w:spacing w:val="-2"/>
        </w:rPr>
        <w:t xml:space="preserve"> </w:t>
      </w:r>
      <w:r w:rsidRPr="00462B2F">
        <w:t>behalf</w:t>
      </w:r>
      <w:r w:rsidRPr="00462B2F">
        <w:rPr>
          <w:spacing w:val="-3"/>
        </w:rPr>
        <w:t xml:space="preserve"> </w:t>
      </w:r>
      <w:r w:rsidRPr="00462B2F">
        <w:t>of</w:t>
      </w:r>
      <w:r w:rsidRPr="00462B2F">
        <w:rPr>
          <w:spacing w:val="-3"/>
        </w:rPr>
        <w:t xml:space="preserve"> </w:t>
      </w:r>
      <w:r w:rsidRPr="00462B2F">
        <w:t>the</w:t>
      </w:r>
      <w:r w:rsidRPr="00462B2F">
        <w:rPr>
          <w:spacing w:val="-2"/>
        </w:rPr>
        <w:t xml:space="preserve"> </w:t>
      </w:r>
      <w:r w:rsidRPr="00462B2F">
        <w:t>Government</w:t>
      </w:r>
      <w:r w:rsidRPr="00462B2F">
        <w:rPr>
          <w:spacing w:val="-1"/>
        </w:rPr>
        <w:t xml:space="preserve"> </w:t>
      </w:r>
      <w:r w:rsidRPr="00462B2F">
        <w:t>or</w:t>
      </w:r>
      <w:r w:rsidRPr="00462B2F">
        <w:rPr>
          <w:spacing w:val="-2"/>
        </w:rPr>
        <w:t xml:space="preserve"> </w:t>
      </w:r>
      <w:r w:rsidRPr="00462B2F">
        <w:t>the</w:t>
      </w:r>
      <w:r w:rsidRPr="00462B2F">
        <w:rPr>
          <w:spacing w:val="-2"/>
        </w:rPr>
        <w:t xml:space="preserve"> </w:t>
      </w:r>
      <w:r w:rsidRPr="00462B2F">
        <w:t>public)</w:t>
      </w:r>
      <w:r w:rsidRPr="00462B2F">
        <w:rPr>
          <w:spacing w:val="-3"/>
        </w:rPr>
        <w:t xml:space="preserve"> </w:t>
      </w:r>
      <w:r w:rsidRPr="00462B2F">
        <w:t>and departmental (for the entity</w:t>
      </w:r>
      <w:r w:rsidR="009E2237">
        <w:t>’</w:t>
      </w:r>
      <w:r w:rsidRPr="00462B2F">
        <w:t>s operations) classification.</w:t>
      </w:r>
    </w:p>
    <w:p w14:paraId="35658325" w14:textId="42FA2A6D" w:rsidR="008E1FF5" w:rsidRPr="00462B2F" w:rsidRDefault="00465A87" w:rsidP="006A37A5">
      <w:r w:rsidRPr="00462B2F">
        <w:t>For</w:t>
      </w:r>
      <w:r w:rsidRPr="00462B2F">
        <w:rPr>
          <w:spacing w:val="-4"/>
        </w:rPr>
        <w:t xml:space="preserve"> </w:t>
      </w:r>
      <w:r w:rsidRPr="00462B2F">
        <w:t>more</w:t>
      </w:r>
      <w:r w:rsidRPr="00462B2F">
        <w:rPr>
          <w:spacing w:val="-3"/>
        </w:rPr>
        <w:t xml:space="preserve"> </w:t>
      </w:r>
      <w:r w:rsidRPr="00462B2F">
        <w:t>detailed</w:t>
      </w:r>
      <w:r w:rsidRPr="00462B2F">
        <w:rPr>
          <w:spacing w:val="-4"/>
        </w:rPr>
        <w:t xml:space="preserve"> </w:t>
      </w:r>
      <w:r w:rsidRPr="00462B2F">
        <w:t>information</w:t>
      </w:r>
      <w:r w:rsidRPr="00462B2F">
        <w:rPr>
          <w:spacing w:val="-3"/>
        </w:rPr>
        <w:t xml:space="preserve"> </w:t>
      </w:r>
      <w:r w:rsidRPr="00462B2F">
        <w:t>on</w:t>
      </w:r>
      <w:r w:rsidRPr="00462B2F">
        <w:rPr>
          <w:spacing w:val="-3"/>
        </w:rPr>
        <w:t xml:space="preserve"> </w:t>
      </w:r>
      <w:r w:rsidRPr="00462B2F">
        <w:t>special</w:t>
      </w:r>
      <w:r w:rsidRPr="00462B2F">
        <w:rPr>
          <w:spacing w:val="-5"/>
        </w:rPr>
        <w:t xml:space="preserve"> </w:t>
      </w:r>
      <w:r w:rsidRPr="00462B2F">
        <w:t>accounts</w:t>
      </w:r>
      <w:r w:rsidRPr="00462B2F">
        <w:rPr>
          <w:spacing w:val="-4"/>
        </w:rPr>
        <w:t xml:space="preserve"> </w:t>
      </w:r>
      <w:r w:rsidRPr="00462B2F">
        <w:t>and</w:t>
      </w:r>
      <w:r w:rsidRPr="00462B2F">
        <w:rPr>
          <w:spacing w:val="-4"/>
        </w:rPr>
        <w:t xml:space="preserve"> </w:t>
      </w:r>
      <w:r w:rsidRPr="00462B2F">
        <w:t>special</w:t>
      </w:r>
      <w:r w:rsidRPr="00462B2F">
        <w:rPr>
          <w:spacing w:val="-3"/>
        </w:rPr>
        <w:t xml:space="preserve"> </w:t>
      </w:r>
      <w:r w:rsidRPr="00462B2F">
        <w:t>appropriations,</w:t>
      </w:r>
      <w:r w:rsidRPr="00462B2F">
        <w:rPr>
          <w:spacing w:val="-5"/>
        </w:rPr>
        <w:t xml:space="preserve"> </w:t>
      </w:r>
      <w:r w:rsidRPr="00462B2F">
        <w:t>please</w:t>
      </w:r>
      <w:r w:rsidRPr="00462B2F">
        <w:rPr>
          <w:spacing w:val="-3"/>
        </w:rPr>
        <w:t xml:space="preserve"> </w:t>
      </w:r>
      <w:r w:rsidRPr="00462B2F">
        <w:t>refer to the Budget Paper No. 4 – Agency Resourcing.</w:t>
      </w:r>
    </w:p>
    <w:p w14:paraId="7DA7B39C" w14:textId="2C300EC2" w:rsidR="00E96644" w:rsidRPr="00462B2F" w:rsidRDefault="00465A87" w:rsidP="006A37A5">
      <w:r w:rsidRPr="00462B2F">
        <w:t>Information in this table is presented on a resourcing (that is, appropriations/cash available)</w:t>
      </w:r>
      <w:r w:rsidRPr="00462B2F">
        <w:rPr>
          <w:spacing w:val="-4"/>
        </w:rPr>
        <w:t xml:space="preserve"> </w:t>
      </w:r>
      <w:r w:rsidRPr="00462B2F">
        <w:t>basis,</w:t>
      </w:r>
      <w:r w:rsidRPr="00462B2F">
        <w:rPr>
          <w:spacing w:val="-2"/>
        </w:rPr>
        <w:t xml:space="preserve"> </w:t>
      </w:r>
      <w:r w:rsidRPr="00462B2F">
        <w:t>whilst</w:t>
      </w:r>
      <w:r w:rsidRPr="00462B2F">
        <w:rPr>
          <w:spacing w:val="-2"/>
        </w:rPr>
        <w:t xml:space="preserve"> </w:t>
      </w:r>
      <w:r w:rsidRPr="00462B2F">
        <w:t>the</w:t>
      </w:r>
      <w:r w:rsidRPr="00462B2F">
        <w:rPr>
          <w:spacing w:val="-3"/>
        </w:rPr>
        <w:t xml:space="preserve"> </w:t>
      </w:r>
      <w:r w:rsidR="009E2237">
        <w:t>‘</w:t>
      </w:r>
      <w:r w:rsidRPr="00462B2F">
        <w:t>Budgeted</w:t>
      </w:r>
      <w:r w:rsidRPr="00462B2F">
        <w:rPr>
          <w:spacing w:val="-4"/>
        </w:rPr>
        <w:t xml:space="preserve"> </w:t>
      </w:r>
      <w:r w:rsidRPr="00462B2F">
        <w:t>expenses</w:t>
      </w:r>
      <w:r w:rsidRPr="00462B2F">
        <w:rPr>
          <w:spacing w:val="-2"/>
        </w:rPr>
        <w:t xml:space="preserve"> </w:t>
      </w:r>
      <w:r w:rsidRPr="00462B2F">
        <w:t>by</w:t>
      </w:r>
      <w:r w:rsidRPr="00462B2F">
        <w:rPr>
          <w:spacing w:val="-3"/>
        </w:rPr>
        <w:t xml:space="preserve"> </w:t>
      </w:r>
      <w:r w:rsidRPr="00462B2F">
        <w:t>Outcome</w:t>
      </w:r>
      <w:r w:rsidRPr="00462B2F">
        <w:rPr>
          <w:spacing w:val="-3"/>
        </w:rPr>
        <w:t xml:space="preserve"> </w:t>
      </w:r>
      <w:r w:rsidR="004C28D8" w:rsidRPr="00462B2F">
        <w:t>1</w:t>
      </w:r>
      <w:r w:rsidR="009E2237">
        <w:t>’</w:t>
      </w:r>
      <w:r w:rsidRPr="00462B2F">
        <w:rPr>
          <w:spacing w:val="-3"/>
        </w:rPr>
        <w:t xml:space="preserve"> </w:t>
      </w:r>
      <w:r w:rsidRPr="00462B2F">
        <w:t>tables</w:t>
      </w:r>
      <w:r w:rsidRPr="00462B2F">
        <w:rPr>
          <w:spacing w:val="-2"/>
        </w:rPr>
        <w:t xml:space="preserve"> </w:t>
      </w:r>
      <w:r w:rsidRPr="00462B2F">
        <w:t>in</w:t>
      </w:r>
      <w:r w:rsidRPr="00462B2F">
        <w:rPr>
          <w:spacing w:val="-5"/>
        </w:rPr>
        <w:t xml:space="preserve"> </w:t>
      </w:r>
      <w:r w:rsidRPr="00462B2F">
        <w:t>Section</w:t>
      </w:r>
      <w:r w:rsidRPr="00462B2F">
        <w:rPr>
          <w:spacing w:val="-3"/>
        </w:rPr>
        <w:t xml:space="preserve"> </w:t>
      </w:r>
      <w:r w:rsidRPr="00462B2F">
        <w:t>2</w:t>
      </w:r>
      <w:r w:rsidRPr="00462B2F">
        <w:rPr>
          <w:spacing w:val="-4"/>
        </w:rPr>
        <w:t xml:space="preserve"> </w:t>
      </w:r>
      <w:r w:rsidRPr="00462B2F">
        <w:t>and</w:t>
      </w:r>
      <w:r w:rsidRPr="00462B2F">
        <w:rPr>
          <w:spacing w:val="-6"/>
        </w:rPr>
        <w:t xml:space="preserve"> </w:t>
      </w:r>
      <w:r w:rsidRPr="00462B2F">
        <w:t>the financial statements in Section 3 are presented on an accrual basis.</w:t>
      </w:r>
    </w:p>
    <w:p w14:paraId="33BE01F4" w14:textId="0411A050" w:rsidR="002706D2" w:rsidRDefault="00E96644" w:rsidP="005E71C1">
      <w:pPr>
        <w:pStyle w:val="TableHeading"/>
        <w:rPr>
          <w:rFonts w:asciiTheme="minorHAnsi" w:eastAsiaTheme="minorHAnsi" w:hAnsiTheme="minorHAnsi" w:cstheme="minorBidi"/>
          <w:sz w:val="22"/>
          <w:szCs w:val="22"/>
          <w:lang w:val="en-US" w:eastAsia="en-US"/>
        </w:rPr>
      </w:pPr>
      <w:r w:rsidRPr="00540D22">
        <w:t>Table 1.1: National Competition Council resource statement</w:t>
      </w:r>
      <w:r w:rsidR="00BF6CCE">
        <w:t xml:space="preserve"> – </w:t>
      </w:r>
      <w:r w:rsidRPr="00540D22">
        <w:t>Budget estimates for 2023</w:t>
      </w:r>
      <w:r w:rsidR="00E83E1E">
        <w:t>–</w:t>
      </w:r>
      <w:r w:rsidRPr="00540D22">
        <w:t xml:space="preserve">24 as at Budget </w:t>
      </w:r>
      <w:r w:rsidR="004B1519" w:rsidRPr="00540D22">
        <w:t xml:space="preserve">May </w:t>
      </w:r>
      <w:r w:rsidRPr="00540D22">
        <w:t>2023</w:t>
      </w:r>
    </w:p>
    <w:tbl>
      <w:tblPr>
        <w:tblW w:w="5000" w:type="pct"/>
        <w:tblCellMar>
          <w:left w:w="0" w:type="dxa"/>
          <w:right w:w="28" w:type="dxa"/>
        </w:tblCellMar>
        <w:tblLook w:val="04A0" w:firstRow="1" w:lastRow="0" w:firstColumn="1" w:lastColumn="0" w:noHBand="0" w:noVBand="1"/>
      </w:tblPr>
      <w:tblGrid>
        <w:gridCol w:w="5344"/>
        <w:gridCol w:w="1185"/>
        <w:gridCol w:w="1185"/>
      </w:tblGrid>
      <w:tr w:rsidR="002706D2" w:rsidRPr="002706D2" w14:paraId="5C70AF45" w14:textId="77777777" w:rsidTr="0001469F">
        <w:trPr>
          <w:trHeight w:hRule="exact" w:val="900"/>
        </w:trPr>
        <w:tc>
          <w:tcPr>
            <w:tcW w:w="3464" w:type="pct"/>
            <w:tcBorders>
              <w:top w:val="single" w:sz="4" w:space="0" w:color="auto"/>
              <w:left w:val="nil"/>
              <w:bottom w:val="nil"/>
              <w:right w:val="nil"/>
            </w:tcBorders>
            <w:shd w:val="clear" w:color="000000" w:fill="FFFFFF"/>
            <w:vAlign w:val="bottom"/>
            <w:hideMark/>
          </w:tcPr>
          <w:p w14:paraId="06324A0F" w14:textId="0CD3C876" w:rsidR="002706D2" w:rsidRPr="002706D2" w:rsidRDefault="002706D2">
            <w:pPr>
              <w:rPr>
                <w:rFonts w:ascii="Arial" w:hAnsi="Arial" w:cs="Arial"/>
                <w:color w:val="000000"/>
                <w:sz w:val="16"/>
                <w:szCs w:val="16"/>
              </w:rPr>
            </w:pPr>
            <w:r w:rsidRPr="002706D2">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24FDD9E"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2022–23 Estimated actual</w:t>
            </w:r>
            <w:r w:rsidRPr="002706D2">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5CF5CAC4"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2023–24 Estimate</w:t>
            </w:r>
            <w:r w:rsidRPr="002706D2">
              <w:rPr>
                <w:rFonts w:ascii="Arial" w:hAnsi="Arial" w:cs="Arial"/>
                <w:color w:val="000000"/>
                <w:sz w:val="16"/>
                <w:szCs w:val="16"/>
              </w:rPr>
              <w:br/>
            </w:r>
            <w:r w:rsidRPr="002706D2">
              <w:rPr>
                <w:rFonts w:ascii="Arial" w:hAnsi="Arial" w:cs="Arial"/>
                <w:color w:val="000000"/>
                <w:sz w:val="16"/>
                <w:szCs w:val="16"/>
              </w:rPr>
              <w:br/>
              <w:t>$'000</w:t>
            </w:r>
          </w:p>
        </w:tc>
      </w:tr>
      <w:tr w:rsidR="002706D2" w:rsidRPr="002706D2" w14:paraId="5327754E" w14:textId="77777777" w:rsidTr="0001469F">
        <w:trPr>
          <w:trHeight w:hRule="exact" w:val="240"/>
        </w:trPr>
        <w:tc>
          <w:tcPr>
            <w:tcW w:w="3464" w:type="pct"/>
            <w:tcBorders>
              <w:top w:val="nil"/>
              <w:left w:val="nil"/>
              <w:bottom w:val="nil"/>
              <w:right w:val="nil"/>
            </w:tcBorders>
            <w:shd w:val="clear" w:color="000000" w:fill="FFFFFF"/>
            <w:vAlign w:val="bottom"/>
            <w:hideMark/>
          </w:tcPr>
          <w:p w14:paraId="6A00E3BF"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3F2E15FD" w14:textId="77777777" w:rsidR="002706D2" w:rsidRPr="002706D2" w:rsidRDefault="002706D2" w:rsidP="002706D2">
            <w:pPr>
              <w:spacing w:after="0" w:line="240" w:lineRule="auto"/>
              <w:rPr>
                <w:rFonts w:ascii="Arial" w:hAnsi="Arial" w:cs="Arial"/>
                <w:i/>
                <w:iCs/>
                <w:color w:val="000000"/>
                <w:sz w:val="16"/>
                <w:szCs w:val="16"/>
              </w:rPr>
            </w:pPr>
            <w:r w:rsidRPr="002706D2">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60E718F"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r>
      <w:tr w:rsidR="002706D2" w:rsidRPr="002706D2" w14:paraId="017AEBC3" w14:textId="77777777" w:rsidTr="0001469F">
        <w:trPr>
          <w:trHeight w:hRule="exact" w:val="240"/>
        </w:trPr>
        <w:tc>
          <w:tcPr>
            <w:tcW w:w="3464" w:type="pct"/>
            <w:tcBorders>
              <w:top w:val="nil"/>
              <w:left w:val="nil"/>
              <w:bottom w:val="nil"/>
              <w:right w:val="nil"/>
            </w:tcBorders>
            <w:shd w:val="clear" w:color="000000" w:fill="FFFFFF"/>
            <w:vAlign w:val="bottom"/>
            <w:hideMark/>
          </w:tcPr>
          <w:p w14:paraId="2BCC22EE"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5164C606" w14:textId="77777777" w:rsidR="002706D2" w:rsidRPr="002706D2" w:rsidRDefault="002706D2" w:rsidP="002706D2">
            <w:pPr>
              <w:spacing w:after="0" w:line="240" w:lineRule="auto"/>
              <w:rPr>
                <w:rFonts w:ascii="Arial" w:hAnsi="Arial" w:cs="Arial"/>
                <w:i/>
                <w:iCs/>
                <w:color w:val="000000"/>
                <w:sz w:val="16"/>
                <w:szCs w:val="16"/>
              </w:rPr>
            </w:pPr>
            <w:r w:rsidRPr="002706D2">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20DAB8C"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r>
      <w:tr w:rsidR="002706D2" w:rsidRPr="002706D2" w14:paraId="28C0E803" w14:textId="77777777" w:rsidTr="0001469F">
        <w:trPr>
          <w:trHeight w:hRule="exact" w:val="240"/>
        </w:trPr>
        <w:tc>
          <w:tcPr>
            <w:tcW w:w="3464" w:type="pct"/>
            <w:tcBorders>
              <w:top w:val="nil"/>
              <w:left w:val="nil"/>
              <w:bottom w:val="nil"/>
              <w:right w:val="nil"/>
            </w:tcBorders>
            <w:shd w:val="clear" w:color="000000" w:fill="FFFFFF"/>
            <w:vAlign w:val="bottom"/>
            <w:hideMark/>
          </w:tcPr>
          <w:p w14:paraId="63B33968"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6DAE3301"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xml:space="preserve">3,382 </w:t>
            </w:r>
          </w:p>
        </w:tc>
        <w:tc>
          <w:tcPr>
            <w:tcW w:w="768" w:type="pct"/>
            <w:tcBorders>
              <w:top w:val="nil"/>
              <w:left w:val="nil"/>
              <w:bottom w:val="nil"/>
              <w:right w:val="nil"/>
            </w:tcBorders>
            <w:shd w:val="clear" w:color="000000" w:fill="E6E6E6"/>
            <w:vAlign w:val="bottom"/>
            <w:hideMark/>
          </w:tcPr>
          <w:p w14:paraId="4EE7AC11"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2,783 </w:t>
            </w:r>
          </w:p>
        </w:tc>
      </w:tr>
      <w:tr w:rsidR="002706D2" w:rsidRPr="002706D2" w14:paraId="357FBD7C" w14:textId="77777777" w:rsidTr="0001469F">
        <w:trPr>
          <w:trHeight w:hRule="exact" w:val="240"/>
        </w:trPr>
        <w:tc>
          <w:tcPr>
            <w:tcW w:w="3464" w:type="pct"/>
            <w:tcBorders>
              <w:top w:val="nil"/>
              <w:left w:val="nil"/>
              <w:bottom w:val="nil"/>
              <w:right w:val="nil"/>
            </w:tcBorders>
            <w:shd w:val="clear" w:color="000000" w:fill="FFFFFF"/>
            <w:vAlign w:val="bottom"/>
            <w:hideMark/>
          </w:tcPr>
          <w:p w14:paraId="0B917AC8"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xml:space="preserve">    Departmental appropriation (b)(c)</w:t>
            </w:r>
          </w:p>
        </w:tc>
        <w:tc>
          <w:tcPr>
            <w:tcW w:w="768" w:type="pct"/>
            <w:tcBorders>
              <w:top w:val="nil"/>
              <w:left w:val="nil"/>
              <w:bottom w:val="nil"/>
              <w:right w:val="nil"/>
            </w:tcBorders>
            <w:shd w:val="clear" w:color="000000" w:fill="FFFFFF"/>
            <w:vAlign w:val="bottom"/>
            <w:hideMark/>
          </w:tcPr>
          <w:p w14:paraId="67200D44"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xml:space="preserve">1,683 </w:t>
            </w:r>
          </w:p>
        </w:tc>
        <w:tc>
          <w:tcPr>
            <w:tcW w:w="768" w:type="pct"/>
            <w:tcBorders>
              <w:top w:val="nil"/>
              <w:left w:val="nil"/>
              <w:bottom w:val="nil"/>
              <w:right w:val="nil"/>
            </w:tcBorders>
            <w:shd w:val="clear" w:color="000000" w:fill="E6E6E6"/>
            <w:vAlign w:val="bottom"/>
            <w:hideMark/>
          </w:tcPr>
          <w:p w14:paraId="53A9D5E6"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1,727 </w:t>
            </w:r>
          </w:p>
        </w:tc>
      </w:tr>
      <w:tr w:rsidR="002706D2" w:rsidRPr="002706D2" w14:paraId="7A78244D" w14:textId="77777777" w:rsidTr="0001469F">
        <w:trPr>
          <w:trHeight w:hRule="exact" w:val="240"/>
        </w:trPr>
        <w:tc>
          <w:tcPr>
            <w:tcW w:w="3464" w:type="pct"/>
            <w:tcBorders>
              <w:top w:val="nil"/>
              <w:left w:val="nil"/>
              <w:bottom w:val="nil"/>
              <w:right w:val="nil"/>
            </w:tcBorders>
            <w:shd w:val="clear" w:color="000000" w:fill="FFFFFF"/>
            <w:vAlign w:val="bottom"/>
            <w:hideMark/>
          </w:tcPr>
          <w:p w14:paraId="00950B3A"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70DC66FD"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5,065 </w:t>
            </w:r>
          </w:p>
        </w:tc>
        <w:tc>
          <w:tcPr>
            <w:tcW w:w="768" w:type="pct"/>
            <w:tcBorders>
              <w:top w:val="single" w:sz="4" w:space="0" w:color="auto"/>
              <w:left w:val="nil"/>
              <w:bottom w:val="single" w:sz="4" w:space="0" w:color="auto"/>
              <w:right w:val="nil"/>
            </w:tcBorders>
            <w:shd w:val="clear" w:color="000000" w:fill="E6E6E6"/>
            <w:vAlign w:val="bottom"/>
            <w:hideMark/>
          </w:tcPr>
          <w:p w14:paraId="5267FD95"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4,510 </w:t>
            </w:r>
          </w:p>
        </w:tc>
      </w:tr>
      <w:tr w:rsidR="002706D2" w:rsidRPr="002706D2" w14:paraId="247576B8" w14:textId="77777777" w:rsidTr="0001469F">
        <w:trPr>
          <w:trHeight w:hRule="exact" w:val="240"/>
        </w:trPr>
        <w:tc>
          <w:tcPr>
            <w:tcW w:w="3464" w:type="pct"/>
            <w:tcBorders>
              <w:top w:val="nil"/>
              <w:left w:val="nil"/>
              <w:bottom w:val="nil"/>
              <w:right w:val="nil"/>
            </w:tcBorders>
            <w:shd w:val="clear" w:color="000000" w:fill="FFFFFF"/>
            <w:vAlign w:val="bottom"/>
            <w:hideMark/>
          </w:tcPr>
          <w:p w14:paraId="6E15A2BE" w14:textId="77777777" w:rsidR="002706D2" w:rsidRPr="002706D2" w:rsidRDefault="002706D2" w:rsidP="002706D2">
            <w:pPr>
              <w:spacing w:after="0" w:line="240" w:lineRule="auto"/>
              <w:rPr>
                <w:rFonts w:ascii="Arial" w:hAnsi="Arial" w:cs="Arial"/>
                <w:b/>
                <w:bCs/>
                <w:i/>
                <w:iCs/>
                <w:color w:val="000000"/>
                <w:sz w:val="16"/>
                <w:szCs w:val="16"/>
              </w:rPr>
            </w:pPr>
            <w:r w:rsidRPr="002706D2">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4F114E21"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5,065 </w:t>
            </w:r>
          </w:p>
        </w:tc>
        <w:tc>
          <w:tcPr>
            <w:tcW w:w="768" w:type="pct"/>
            <w:tcBorders>
              <w:top w:val="nil"/>
              <w:left w:val="nil"/>
              <w:bottom w:val="single" w:sz="4" w:space="0" w:color="auto"/>
              <w:right w:val="nil"/>
            </w:tcBorders>
            <w:shd w:val="clear" w:color="000000" w:fill="E6E6E6"/>
            <w:vAlign w:val="bottom"/>
            <w:hideMark/>
          </w:tcPr>
          <w:p w14:paraId="65EF329C"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4,510 </w:t>
            </w:r>
          </w:p>
        </w:tc>
      </w:tr>
      <w:tr w:rsidR="002706D2" w:rsidRPr="002706D2" w14:paraId="04288151" w14:textId="77777777" w:rsidTr="0001469F">
        <w:trPr>
          <w:trHeight w:hRule="exact" w:val="225"/>
        </w:trPr>
        <w:tc>
          <w:tcPr>
            <w:tcW w:w="3464" w:type="pct"/>
            <w:tcBorders>
              <w:top w:val="nil"/>
              <w:left w:val="nil"/>
              <w:bottom w:val="single" w:sz="4" w:space="0" w:color="auto"/>
              <w:right w:val="nil"/>
            </w:tcBorders>
            <w:shd w:val="clear" w:color="000000" w:fill="FFFFFF"/>
            <w:vAlign w:val="bottom"/>
            <w:hideMark/>
          </w:tcPr>
          <w:p w14:paraId="495847D6"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Total resourcing for National Competition Council</w:t>
            </w:r>
          </w:p>
        </w:tc>
        <w:tc>
          <w:tcPr>
            <w:tcW w:w="768" w:type="pct"/>
            <w:tcBorders>
              <w:top w:val="nil"/>
              <w:left w:val="nil"/>
              <w:bottom w:val="single" w:sz="4" w:space="0" w:color="auto"/>
              <w:right w:val="nil"/>
            </w:tcBorders>
            <w:shd w:val="clear" w:color="000000" w:fill="FFFFFF"/>
            <w:vAlign w:val="bottom"/>
            <w:hideMark/>
          </w:tcPr>
          <w:p w14:paraId="5AC8B229"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5,065 </w:t>
            </w:r>
          </w:p>
        </w:tc>
        <w:tc>
          <w:tcPr>
            <w:tcW w:w="768" w:type="pct"/>
            <w:tcBorders>
              <w:top w:val="nil"/>
              <w:left w:val="nil"/>
              <w:bottom w:val="single" w:sz="4" w:space="0" w:color="auto"/>
              <w:right w:val="nil"/>
            </w:tcBorders>
            <w:shd w:val="clear" w:color="000000" w:fill="E6E6E6"/>
            <w:vAlign w:val="bottom"/>
            <w:hideMark/>
          </w:tcPr>
          <w:p w14:paraId="6067AB6E"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4,510 </w:t>
            </w:r>
          </w:p>
        </w:tc>
      </w:tr>
      <w:tr w:rsidR="002706D2" w:rsidRPr="002706D2" w14:paraId="5766A3AF" w14:textId="77777777" w:rsidTr="0001469F">
        <w:trPr>
          <w:trHeight w:hRule="exact" w:val="70"/>
        </w:trPr>
        <w:tc>
          <w:tcPr>
            <w:tcW w:w="3464" w:type="pct"/>
            <w:tcBorders>
              <w:top w:val="nil"/>
              <w:left w:val="nil"/>
              <w:bottom w:val="nil"/>
              <w:right w:val="nil"/>
            </w:tcBorders>
            <w:shd w:val="clear" w:color="000000" w:fill="FFFFFF"/>
            <w:vAlign w:val="bottom"/>
            <w:hideMark/>
          </w:tcPr>
          <w:p w14:paraId="20F5B88D"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0DB5AE93" w14:textId="77777777" w:rsidR="002706D2" w:rsidRPr="002706D2" w:rsidRDefault="002706D2" w:rsidP="002706D2">
            <w:pPr>
              <w:spacing w:after="0" w:line="240" w:lineRule="auto"/>
              <w:rPr>
                <w:rFonts w:ascii="Arial" w:hAnsi="Arial" w:cs="Arial"/>
                <w:i/>
                <w:iCs/>
                <w:color w:val="000000"/>
                <w:sz w:val="16"/>
                <w:szCs w:val="16"/>
              </w:rPr>
            </w:pPr>
            <w:r w:rsidRPr="002706D2">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0DF6FD78"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r>
      <w:tr w:rsidR="002706D2" w:rsidRPr="002706D2" w14:paraId="00E81997" w14:textId="77777777" w:rsidTr="0001469F">
        <w:trPr>
          <w:trHeight w:hRule="exact" w:val="225"/>
        </w:trPr>
        <w:tc>
          <w:tcPr>
            <w:tcW w:w="3464" w:type="pct"/>
            <w:tcBorders>
              <w:top w:val="single" w:sz="4" w:space="0" w:color="auto"/>
              <w:left w:val="nil"/>
              <w:bottom w:val="nil"/>
              <w:right w:val="nil"/>
            </w:tcBorders>
            <w:shd w:val="clear" w:color="000000" w:fill="FFFFFF"/>
            <w:vAlign w:val="bottom"/>
            <w:hideMark/>
          </w:tcPr>
          <w:p w14:paraId="17A2482B"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47B75A0F"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2022-23</w:t>
            </w:r>
          </w:p>
        </w:tc>
        <w:tc>
          <w:tcPr>
            <w:tcW w:w="768" w:type="pct"/>
            <w:tcBorders>
              <w:top w:val="single" w:sz="4" w:space="0" w:color="auto"/>
              <w:left w:val="nil"/>
              <w:bottom w:val="single" w:sz="4" w:space="0" w:color="auto"/>
              <w:right w:val="nil"/>
            </w:tcBorders>
            <w:shd w:val="clear" w:color="000000" w:fill="E6E6E6"/>
            <w:vAlign w:val="bottom"/>
            <w:hideMark/>
          </w:tcPr>
          <w:p w14:paraId="6006D361"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2023-24</w:t>
            </w:r>
          </w:p>
        </w:tc>
      </w:tr>
      <w:tr w:rsidR="002706D2" w:rsidRPr="002706D2" w14:paraId="4418869F" w14:textId="77777777" w:rsidTr="0001469F">
        <w:trPr>
          <w:trHeight w:hRule="exact" w:val="225"/>
        </w:trPr>
        <w:tc>
          <w:tcPr>
            <w:tcW w:w="3464" w:type="pct"/>
            <w:tcBorders>
              <w:top w:val="nil"/>
              <w:left w:val="nil"/>
              <w:bottom w:val="single" w:sz="4" w:space="0" w:color="auto"/>
              <w:right w:val="nil"/>
            </w:tcBorders>
            <w:shd w:val="clear" w:color="000000" w:fill="FFFFFF"/>
            <w:vAlign w:val="bottom"/>
            <w:hideMark/>
          </w:tcPr>
          <w:p w14:paraId="632A782A"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6F50D9F1"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xml:space="preserve">1 </w:t>
            </w:r>
          </w:p>
        </w:tc>
        <w:tc>
          <w:tcPr>
            <w:tcW w:w="768" w:type="pct"/>
            <w:tcBorders>
              <w:top w:val="nil"/>
              <w:left w:val="nil"/>
              <w:bottom w:val="single" w:sz="4" w:space="0" w:color="auto"/>
              <w:right w:val="nil"/>
            </w:tcBorders>
            <w:shd w:val="clear" w:color="000000" w:fill="E6E6E6"/>
            <w:vAlign w:val="bottom"/>
            <w:hideMark/>
          </w:tcPr>
          <w:p w14:paraId="0BC5F36E"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 </w:t>
            </w:r>
          </w:p>
        </w:tc>
      </w:tr>
      <w:tr w:rsidR="002706D2" w:rsidRPr="002706D2" w14:paraId="2DACA7C9" w14:textId="77777777" w:rsidTr="0001469F">
        <w:trPr>
          <w:trHeight w:hRule="exact" w:val="210"/>
        </w:trPr>
        <w:tc>
          <w:tcPr>
            <w:tcW w:w="3464" w:type="pct"/>
            <w:tcBorders>
              <w:top w:val="nil"/>
              <w:left w:val="nil"/>
              <w:bottom w:val="nil"/>
              <w:right w:val="nil"/>
            </w:tcBorders>
            <w:shd w:val="clear" w:color="000000" w:fill="FFFFFF"/>
            <w:vAlign w:val="bottom"/>
            <w:hideMark/>
          </w:tcPr>
          <w:p w14:paraId="7BF15C6C"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 </w:t>
            </w:r>
          </w:p>
        </w:tc>
        <w:tc>
          <w:tcPr>
            <w:tcW w:w="768" w:type="pct"/>
            <w:tcBorders>
              <w:top w:val="nil"/>
              <w:left w:val="nil"/>
              <w:bottom w:val="nil"/>
              <w:right w:val="nil"/>
            </w:tcBorders>
            <w:shd w:val="clear" w:color="000000" w:fill="FFFFFF"/>
            <w:vAlign w:val="bottom"/>
            <w:hideMark/>
          </w:tcPr>
          <w:p w14:paraId="75739331"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w:t>
            </w:r>
          </w:p>
        </w:tc>
        <w:tc>
          <w:tcPr>
            <w:tcW w:w="768" w:type="pct"/>
            <w:tcBorders>
              <w:top w:val="nil"/>
              <w:left w:val="nil"/>
              <w:bottom w:val="nil"/>
              <w:right w:val="nil"/>
            </w:tcBorders>
            <w:shd w:val="clear" w:color="auto" w:fill="auto"/>
            <w:vAlign w:val="bottom"/>
            <w:hideMark/>
          </w:tcPr>
          <w:p w14:paraId="6DE2B7A8"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w:t>
            </w:r>
          </w:p>
        </w:tc>
      </w:tr>
      <w:tr w:rsidR="002706D2" w:rsidRPr="002706D2" w14:paraId="03010FAD" w14:textId="77777777" w:rsidTr="0001469F">
        <w:trPr>
          <w:trHeight w:hRule="exact" w:val="225"/>
        </w:trPr>
        <w:tc>
          <w:tcPr>
            <w:tcW w:w="3464" w:type="pct"/>
            <w:tcBorders>
              <w:top w:val="nil"/>
              <w:left w:val="nil"/>
              <w:bottom w:val="single" w:sz="4" w:space="0" w:color="auto"/>
              <w:right w:val="nil"/>
            </w:tcBorders>
            <w:shd w:val="clear" w:color="000000" w:fill="FFFFFF"/>
            <w:vAlign w:val="bottom"/>
            <w:hideMark/>
          </w:tcPr>
          <w:p w14:paraId="53AD9852"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Third party payments from and on behalf of other entities</w:t>
            </w:r>
          </w:p>
        </w:tc>
        <w:tc>
          <w:tcPr>
            <w:tcW w:w="768" w:type="pct"/>
            <w:tcBorders>
              <w:top w:val="nil"/>
              <w:left w:val="nil"/>
              <w:bottom w:val="single" w:sz="4" w:space="0" w:color="auto"/>
              <w:right w:val="nil"/>
            </w:tcBorders>
            <w:shd w:val="clear" w:color="000000" w:fill="FFFFFF"/>
            <w:vAlign w:val="bottom"/>
            <w:hideMark/>
          </w:tcPr>
          <w:p w14:paraId="45B95483"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768" w:type="pct"/>
            <w:tcBorders>
              <w:top w:val="nil"/>
              <w:left w:val="nil"/>
              <w:bottom w:val="single" w:sz="4" w:space="0" w:color="auto"/>
              <w:right w:val="nil"/>
            </w:tcBorders>
            <w:shd w:val="clear" w:color="000000" w:fill="FFFFFF"/>
            <w:vAlign w:val="bottom"/>
            <w:hideMark/>
          </w:tcPr>
          <w:p w14:paraId="71EBED71"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r>
      <w:tr w:rsidR="002706D2" w:rsidRPr="002706D2" w14:paraId="595C94FF" w14:textId="77777777" w:rsidTr="0001469F">
        <w:trPr>
          <w:trHeight w:hRule="exact" w:val="900"/>
        </w:trPr>
        <w:tc>
          <w:tcPr>
            <w:tcW w:w="3464" w:type="pct"/>
            <w:tcBorders>
              <w:top w:val="nil"/>
              <w:left w:val="nil"/>
              <w:bottom w:val="nil"/>
              <w:right w:val="nil"/>
            </w:tcBorders>
            <w:shd w:val="clear" w:color="000000" w:fill="FFFFFF"/>
            <w:vAlign w:val="bottom"/>
            <w:hideMark/>
          </w:tcPr>
          <w:p w14:paraId="5AC30AA1"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768" w:type="pct"/>
            <w:tcBorders>
              <w:top w:val="nil"/>
              <w:left w:val="nil"/>
              <w:bottom w:val="single" w:sz="4" w:space="0" w:color="auto"/>
              <w:right w:val="nil"/>
            </w:tcBorders>
            <w:shd w:val="clear" w:color="000000" w:fill="FFFFFF"/>
            <w:hideMark/>
          </w:tcPr>
          <w:p w14:paraId="077BB7D5"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2022-23 Estimated actual</w:t>
            </w:r>
            <w:r w:rsidRPr="002706D2">
              <w:rPr>
                <w:rFonts w:ascii="Arial" w:hAnsi="Arial" w:cs="Arial"/>
                <w:i/>
                <w:iCs/>
                <w:color w:val="000000"/>
                <w:sz w:val="16"/>
                <w:szCs w:val="16"/>
              </w:rPr>
              <w:br/>
              <w:t>$'000</w:t>
            </w:r>
          </w:p>
        </w:tc>
        <w:tc>
          <w:tcPr>
            <w:tcW w:w="768" w:type="pct"/>
            <w:tcBorders>
              <w:top w:val="nil"/>
              <w:left w:val="nil"/>
              <w:bottom w:val="single" w:sz="4" w:space="0" w:color="auto"/>
              <w:right w:val="nil"/>
            </w:tcBorders>
            <w:shd w:val="clear" w:color="000000" w:fill="E6E6E6"/>
            <w:hideMark/>
          </w:tcPr>
          <w:p w14:paraId="30481BB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2023-24 Estimate</w:t>
            </w:r>
            <w:r w:rsidRPr="002706D2">
              <w:rPr>
                <w:rFonts w:ascii="Arial" w:hAnsi="Arial" w:cs="Arial"/>
                <w:color w:val="000000"/>
                <w:sz w:val="16"/>
                <w:szCs w:val="16"/>
              </w:rPr>
              <w:br/>
            </w:r>
            <w:r w:rsidRPr="002706D2">
              <w:rPr>
                <w:rFonts w:ascii="Arial" w:hAnsi="Arial" w:cs="Arial"/>
                <w:color w:val="000000"/>
                <w:sz w:val="16"/>
                <w:szCs w:val="16"/>
              </w:rPr>
              <w:br/>
              <w:t>$'000</w:t>
            </w:r>
          </w:p>
        </w:tc>
      </w:tr>
      <w:tr w:rsidR="002706D2" w:rsidRPr="002706D2" w14:paraId="42EF416A" w14:textId="77777777" w:rsidTr="0001469F">
        <w:trPr>
          <w:trHeight w:hRule="exact" w:val="225"/>
        </w:trPr>
        <w:tc>
          <w:tcPr>
            <w:tcW w:w="3464" w:type="pct"/>
            <w:tcBorders>
              <w:top w:val="nil"/>
              <w:left w:val="nil"/>
              <w:bottom w:val="nil"/>
              <w:right w:val="nil"/>
            </w:tcBorders>
            <w:shd w:val="clear" w:color="000000" w:fill="FFFFFF"/>
            <w:vAlign w:val="bottom"/>
            <w:hideMark/>
          </w:tcPr>
          <w:p w14:paraId="4FCCE017"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Payments made by the ACCC on behalf of the NCC</w:t>
            </w:r>
          </w:p>
        </w:tc>
        <w:tc>
          <w:tcPr>
            <w:tcW w:w="768" w:type="pct"/>
            <w:tcBorders>
              <w:top w:val="nil"/>
              <w:left w:val="nil"/>
              <w:bottom w:val="nil"/>
              <w:right w:val="nil"/>
            </w:tcBorders>
            <w:shd w:val="clear" w:color="000000" w:fill="FFFFFF"/>
            <w:vAlign w:val="bottom"/>
            <w:hideMark/>
          </w:tcPr>
          <w:p w14:paraId="01BDA9F3"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xml:space="preserve">1,683 </w:t>
            </w:r>
          </w:p>
        </w:tc>
        <w:tc>
          <w:tcPr>
            <w:tcW w:w="768" w:type="pct"/>
            <w:tcBorders>
              <w:top w:val="nil"/>
              <w:left w:val="nil"/>
              <w:bottom w:val="nil"/>
              <w:right w:val="nil"/>
            </w:tcBorders>
            <w:shd w:val="clear" w:color="000000" w:fill="E6E6E6"/>
            <w:vAlign w:val="bottom"/>
            <w:hideMark/>
          </w:tcPr>
          <w:p w14:paraId="642D8FB7"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1,727 </w:t>
            </w:r>
          </w:p>
        </w:tc>
      </w:tr>
      <w:tr w:rsidR="002706D2" w:rsidRPr="002706D2" w14:paraId="495122BE" w14:textId="77777777" w:rsidTr="0001469F">
        <w:trPr>
          <w:trHeight w:hRule="exact" w:val="455"/>
        </w:trPr>
        <w:tc>
          <w:tcPr>
            <w:tcW w:w="3464" w:type="pct"/>
            <w:tcBorders>
              <w:top w:val="nil"/>
              <w:left w:val="nil"/>
              <w:bottom w:val="single" w:sz="4" w:space="0" w:color="auto"/>
              <w:right w:val="nil"/>
            </w:tcBorders>
            <w:shd w:val="clear" w:color="000000" w:fill="FFFFFF"/>
            <w:vAlign w:val="bottom"/>
            <w:hideMark/>
          </w:tcPr>
          <w:p w14:paraId="6FAD597E"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xml:space="preserve">Payments made to the ACCC for the provision of corporate and </w:t>
            </w:r>
            <w:r w:rsidRPr="002706D2">
              <w:rPr>
                <w:rFonts w:ascii="Arial" w:hAnsi="Arial" w:cs="Arial"/>
                <w:color w:val="000000"/>
                <w:sz w:val="16"/>
                <w:szCs w:val="16"/>
              </w:rPr>
              <w:br/>
              <w:t>professional services</w:t>
            </w:r>
          </w:p>
        </w:tc>
        <w:tc>
          <w:tcPr>
            <w:tcW w:w="768" w:type="pct"/>
            <w:tcBorders>
              <w:top w:val="nil"/>
              <w:left w:val="nil"/>
              <w:bottom w:val="single" w:sz="4" w:space="0" w:color="auto"/>
              <w:right w:val="nil"/>
            </w:tcBorders>
            <w:shd w:val="clear" w:color="000000" w:fill="FFFFFF"/>
            <w:vAlign w:val="bottom"/>
            <w:hideMark/>
          </w:tcPr>
          <w:p w14:paraId="684F3CBE" w14:textId="77777777" w:rsidR="002706D2" w:rsidRPr="002706D2" w:rsidRDefault="002706D2" w:rsidP="002706D2">
            <w:pPr>
              <w:spacing w:after="0" w:line="240" w:lineRule="auto"/>
              <w:jc w:val="right"/>
              <w:rPr>
                <w:rFonts w:ascii="Arial" w:hAnsi="Arial" w:cs="Arial"/>
                <w:i/>
                <w:iCs/>
                <w:color w:val="000000"/>
                <w:sz w:val="16"/>
                <w:szCs w:val="16"/>
              </w:rPr>
            </w:pPr>
            <w:r w:rsidRPr="002706D2">
              <w:rPr>
                <w:rFonts w:ascii="Arial" w:hAnsi="Arial" w:cs="Arial"/>
                <w:i/>
                <w:iCs/>
                <w:color w:val="000000"/>
                <w:sz w:val="16"/>
                <w:szCs w:val="16"/>
              </w:rPr>
              <w:t xml:space="preserve">850 </w:t>
            </w:r>
          </w:p>
        </w:tc>
        <w:tc>
          <w:tcPr>
            <w:tcW w:w="768" w:type="pct"/>
            <w:tcBorders>
              <w:top w:val="nil"/>
              <w:left w:val="nil"/>
              <w:bottom w:val="single" w:sz="4" w:space="0" w:color="auto"/>
              <w:right w:val="nil"/>
            </w:tcBorders>
            <w:shd w:val="clear" w:color="000000" w:fill="E6E6E6"/>
            <w:vAlign w:val="bottom"/>
            <w:hideMark/>
          </w:tcPr>
          <w:p w14:paraId="42DA3C89"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850 </w:t>
            </w:r>
          </w:p>
        </w:tc>
      </w:tr>
    </w:tbl>
    <w:p w14:paraId="17AFD3A8" w14:textId="7AFE2D02" w:rsidR="004A221A" w:rsidRPr="004A221A" w:rsidRDefault="004A221A" w:rsidP="00CB1DE9">
      <w:pPr>
        <w:pStyle w:val="ChartandTableFootnote"/>
      </w:pPr>
      <w:r w:rsidRPr="004A221A">
        <w:t>All figures shown above are GST exclusive</w:t>
      </w:r>
      <w:r w:rsidR="00BF6CCE">
        <w:t xml:space="preserve"> – </w:t>
      </w:r>
      <w:r w:rsidRPr="004A221A">
        <w:t>these may not match figures in the cash flow statement.</w:t>
      </w:r>
    </w:p>
    <w:p w14:paraId="6EB69836" w14:textId="40382C7D" w:rsidR="004A221A" w:rsidRPr="004A221A" w:rsidRDefault="004A221A" w:rsidP="00CB1DE9">
      <w:pPr>
        <w:pStyle w:val="ChartandTableFootnote"/>
      </w:pPr>
      <w:r w:rsidRPr="004A221A">
        <w:t>Prepared on a resourcing (</w:t>
      </w:r>
      <w:r w:rsidR="00E04F82">
        <w:t>for example</w:t>
      </w:r>
      <w:r w:rsidRPr="004A221A">
        <w:t>. appropriations available) basis.</w:t>
      </w:r>
    </w:p>
    <w:p w14:paraId="6DFA4327" w14:textId="7FBD353A" w:rsidR="004A221A" w:rsidRPr="00E374D9" w:rsidRDefault="004A221A" w:rsidP="00B77AD2">
      <w:pPr>
        <w:pStyle w:val="ChartandTableFootnoteAlpha"/>
        <w:numPr>
          <w:ilvl w:val="0"/>
          <w:numId w:val="29"/>
        </w:numPr>
      </w:pPr>
      <w:r w:rsidRPr="00DC4D0B">
        <w:t>Appropriation</w:t>
      </w:r>
      <w:r w:rsidRPr="00E374D9">
        <w:t xml:space="preserve"> Bill (No. 1) 2023</w:t>
      </w:r>
      <w:r w:rsidR="008572DC">
        <w:rPr>
          <w:rFonts w:cs="Arial"/>
        </w:rPr>
        <w:t>–</w:t>
      </w:r>
      <w:r w:rsidRPr="00E374D9">
        <w:t>24.</w:t>
      </w:r>
    </w:p>
    <w:p w14:paraId="34EF32F8" w14:textId="3D1DC7E1" w:rsidR="004A221A" w:rsidRPr="00E374D9" w:rsidRDefault="004A221A" w:rsidP="00B77AD2">
      <w:pPr>
        <w:pStyle w:val="ChartandTableFootnoteAlpha"/>
        <w:numPr>
          <w:ilvl w:val="0"/>
          <w:numId w:val="29"/>
        </w:numPr>
      </w:pPr>
      <w:r w:rsidRPr="00DC4D0B">
        <w:t>Excludes</w:t>
      </w:r>
      <w:r w:rsidRPr="00E374D9">
        <w:t xml:space="preserve"> $0.08m subject to administrative quarantine by Finance or withheld under section 51 of the </w:t>
      </w:r>
      <w:r w:rsidRPr="007D65BB">
        <w:rPr>
          <w:i/>
          <w:iCs/>
        </w:rPr>
        <w:t>Public</w:t>
      </w:r>
      <w:r w:rsidR="004E3C4E" w:rsidRPr="007D65BB">
        <w:rPr>
          <w:i/>
          <w:iCs/>
        </w:rPr>
        <w:t xml:space="preserve"> </w:t>
      </w:r>
      <w:r w:rsidRPr="007D65BB">
        <w:rPr>
          <w:i/>
          <w:iCs/>
        </w:rPr>
        <w:t>Governance, Performance and Accountability Act 2013</w:t>
      </w:r>
      <w:r w:rsidRPr="00E374D9">
        <w:t xml:space="preserve"> (PGPA Act).</w:t>
      </w:r>
    </w:p>
    <w:p w14:paraId="1B59E553" w14:textId="18079FF0" w:rsidR="000A2767" w:rsidRDefault="004A221A" w:rsidP="00B77AD2">
      <w:pPr>
        <w:pStyle w:val="ChartandTableFootnoteAlpha"/>
        <w:numPr>
          <w:ilvl w:val="0"/>
          <w:numId w:val="29"/>
        </w:numPr>
      </w:pPr>
      <w:r w:rsidRPr="004A221A">
        <w:t xml:space="preserve">Excludes </w:t>
      </w:r>
      <w:r w:rsidR="002F0704">
        <w:t>D</w:t>
      </w:r>
      <w:r w:rsidRPr="004A221A">
        <w:t xml:space="preserve">epartmental </w:t>
      </w:r>
      <w:r w:rsidR="002F0704">
        <w:t>C</w:t>
      </w:r>
      <w:r w:rsidRPr="00DC4D0B">
        <w:t>apital</w:t>
      </w:r>
      <w:r w:rsidRPr="004A221A">
        <w:t xml:space="preserve"> </w:t>
      </w:r>
      <w:r w:rsidR="002F0704">
        <w:t>B</w:t>
      </w:r>
      <w:r w:rsidRPr="004A221A">
        <w:t>u</w:t>
      </w:r>
      <w:r w:rsidR="009B3EC9">
        <w:t>d</w:t>
      </w:r>
      <w:r w:rsidRPr="004A221A">
        <w:t>get (DCB).</w:t>
      </w:r>
      <w:r w:rsidRPr="004A221A">
        <w:tab/>
      </w:r>
    </w:p>
    <w:p w14:paraId="152283AD" w14:textId="77777777" w:rsidR="00CA11CD" w:rsidRPr="00CA11CD" w:rsidRDefault="00CA11CD" w:rsidP="00F9685E">
      <w:pPr>
        <w:pStyle w:val="TableLine"/>
      </w:pPr>
    </w:p>
    <w:p w14:paraId="18E37E93" w14:textId="02445341" w:rsidR="00AF5CD1" w:rsidRPr="00585704" w:rsidRDefault="00B70467" w:rsidP="00B70467">
      <w:pPr>
        <w:pStyle w:val="Heading3"/>
        <w:rPr>
          <w:rFonts w:ascii="Arial" w:hAnsi="Arial"/>
        </w:rPr>
      </w:pPr>
      <w:bookmarkStart w:id="12" w:name="_Toc134036978"/>
      <w:r w:rsidRPr="00585704">
        <w:rPr>
          <w:rFonts w:ascii="Arial" w:hAnsi="Arial"/>
        </w:rPr>
        <w:lastRenderedPageBreak/>
        <w:t>1.3</w:t>
      </w:r>
      <w:r w:rsidRPr="00585704">
        <w:rPr>
          <w:rFonts w:ascii="Arial" w:hAnsi="Arial"/>
        </w:rPr>
        <w:tab/>
      </w:r>
      <w:r w:rsidR="00AF5CD1" w:rsidRPr="00585704">
        <w:rPr>
          <w:rFonts w:ascii="Arial" w:hAnsi="Arial"/>
        </w:rPr>
        <w:t>Budget measures</w:t>
      </w:r>
      <w:bookmarkEnd w:id="12"/>
    </w:p>
    <w:p w14:paraId="14CF0E21" w14:textId="696FBCC4" w:rsidR="00C92E8C" w:rsidRDefault="00C92E8C" w:rsidP="006A37A5">
      <w:r>
        <w:t>The National Competition Council has no new budget measures.</w:t>
      </w:r>
    </w:p>
    <w:p w14:paraId="3F24C63C" w14:textId="7B093A00" w:rsidR="00AF5CD1" w:rsidRDefault="00AF5CD1" w:rsidP="00CA11CD">
      <w:pPr>
        <w:tabs>
          <w:tab w:val="left" w:pos="284"/>
        </w:tabs>
      </w:pPr>
      <w:r>
        <w:br w:type="page"/>
      </w:r>
    </w:p>
    <w:p w14:paraId="7865A252" w14:textId="7ACDAAF7" w:rsidR="008E1FF5" w:rsidRDefault="00465A87" w:rsidP="00543F88">
      <w:pPr>
        <w:pStyle w:val="Heading2"/>
      </w:pPr>
      <w:bookmarkStart w:id="13" w:name="_Toc133933900"/>
      <w:bookmarkStart w:id="14" w:name="_Toc134036979"/>
      <w:r>
        <w:lastRenderedPageBreak/>
        <w:t>Section</w:t>
      </w:r>
      <w:r>
        <w:rPr>
          <w:spacing w:val="-10"/>
        </w:rPr>
        <w:t xml:space="preserve"> </w:t>
      </w:r>
      <w:r>
        <w:t>2:</w:t>
      </w:r>
      <w:r>
        <w:rPr>
          <w:spacing w:val="-10"/>
        </w:rPr>
        <w:t xml:space="preserve"> </w:t>
      </w:r>
      <w:r>
        <w:t>Outcomes</w:t>
      </w:r>
      <w:r>
        <w:rPr>
          <w:spacing w:val="-10"/>
        </w:rPr>
        <w:t xml:space="preserve"> </w:t>
      </w:r>
      <w:r>
        <w:t>and</w:t>
      </w:r>
      <w:r>
        <w:rPr>
          <w:spacing w:val="-10"/>
        </w:rPr>
        <w:t xml:space="preserve"> </w:t>
      </w:r>
      <w:r>
        <w:t>planned</w:t>
      </w:r>
      <w:r>
        <w:rPr>
          <w:spacing w:val="-7"/>
        </w:rPr>
        <w:t xml:space="preserve"> </w:t>
      </w:r>
      <w:r>
        <w:rPr>
          <w:spacing w:val="-2"/>
        </w:rPr>
        <w:t>performance</w:t>
      </w:r>
      <w:bookmarkEnd w:id="13"/>
      <w:bookmarkEnd w:id="14"/>
    </w:p>
    <w:p w14:paraId="2000D73B" w14:textId="5C36F696" w:rsidR="008E1FF5" w:rsidRDefault="00465A87" w:rsidP="006A37A5">
      <w:r w:rsidRPr="0096219C">
        <w:t>Government outcomes are</w:t>
      </w:r>
      <w:r w:rsidRPr="0096219C">
        <w:rPr>
          <w:spacing w:val="-1"/>
        </w:rPr>
        <w:t xml:space="preserve"> </w:t>
      </w:r>
      <w:r w:rsidRPr="0096219C">
        <w:t>the</w:t>
      </w:r>
      <w:r w:rsidRPr="0096219C">
        <w:rPr>
          <w:spacing w:val="-1"/>
        </w:rPr>
        <w:t xml:space="preserve"> </w:t>
      </w:r>
      <w:r w:rsidRPr="0096219C">
        <w:t>intended</w:t>
      </w:r>
      <w:r w:rsidRPr="0096219C">
        <w:rPr>
          <w:spacing w:val="-2"/>
        </w:rPr>
        <w:t xml:space="preserve"> </w:t>
      </w:r>
      <w:r w:rsidRPr="0096219C">
        <w:t>results, impacts or</w:t>
      </w:r>
      <w:r w:rsidRPr="0096219C">
        <w:rPr>
          <w:spacing w:val="-2"/>
        </w:rPr>
        <w:t xml:space="preserve"> </w:t>
      </w:r>
      <w:r w:rsidRPr="0096219C">
        <w:t>consequences of</w:t>
      </w:r>
      <w:r w:rsidRPr="0096219C">
        <w:rPr>
          <w:spacing w:val="-2"/>
        </w:rPr>
        <w:t xml:space="preserve"> </w:t>
      </w:r>
      <w:r w:rsidRPr="0096219C">
        <w:t>actions by</w:t>
      </w:r>
      <w:r w:rsidRPr="0096219C">
        <w:rPr>
          <w:spacing w:val="-3"/>
        </w:rPr>
        <w:t xml:space="preserve"> </w:t>
      </w:r>
      <w:r w:rsidRPr="0096219C">
        <w:t>the Government on the Australian community. Commonwealth programs are the primary vehicle by which government entities achieve the intended results of their outcome statements.</w:t>
      </w:r>
      <w:r w:rsidRPr="0096219C">
        <w:rPr>
          <w:spacing w:val="-3"/>
        </w:rPr>
        <w:t xml:space="preserve"> </w:t>
      </w:r>
      <w:r w:rsidRPr="0096219C">
        <w:t>Entities</w:t>
      </w:r>
      <w:r w:rsidRPr="0096219C">
        <w:rPr>
          <w:spacing w:val="-3"/>
        </w:rPr>
        <w:t xml:space="preserve"> </w:t>
      </w:r>
      <w:r w:rsidRPr="0096219C">
        <w:t>are</w:t>
      </w:r>
      <w:r w:rsidRPr="0096219C">
        <w:rPr>
          <w:spacing w:val="-4"/>
        </w:rPr>
        <w:t xml:space="preserve"> </w:t>
      </w:r>
      <w:r w:rsidRPr="0096219C">
        <w:t>required</w:t>
      </w:r>
      <w:r w:rsidRPr="0096219C">
        <w:rPr>
          <w:spacing w:val="-5"/>
        </w:rPr>
        <w:t xml:space="preserve"> </w:t>
      </w:r>
      <w:r w:rsidRPr="0096219C">
        <w:t>to</w:t>
      </w:r>
      <w:r w:rsidRPr="0096219C">
        <w:rPr>
          <w:spacing w:val="-4"/>
        </w:rPr>
        <w:t xml:space="preserve"> </w:t>
      </w:r>
      <w:r w:rsidRPr="0096219C">
        <w:t>identify</w:t>
      </w:r>
      <w:r w:rsidRPr="0096219C">
        <w:rPr>
          <w:spacing w:val="-4"/>
        </w:rPr>
        <w:t xml:space="preserve"> </w:t>
      </w:r>
      <w:r w:rsidRPr="0096219C">
        <w:t>the</w:t>
      </w:r>
      <w:r w:rsidRPr="0096219C">
        <w:rPr>
          <w:spacing w:val="-4"/>
        </w:rPr>
        <w:t xml:space="preserve"> </w:t>
      </w:r>
      <w:r w:rsidRPr="0096219C">
        <w:t>programs</w:t>
      </w:r>
      <w:r w:rsidRPr="0096219C">
        <w:rPr>
          <w:spacing w:val="-5"/>
        </w:rPr>
        <w:t xml:space="preserve"> </w:t>
      </w:r>
      <w:r w:rsidRPr="0096219C">
        <w:t>which</w:t>
      </w:r>
      <w:r w:rsidRPr="0096219C">
        <w:rPr>
          <w:spacing w:val="-4"/>
        </w:rPr>
        <w:t xml:space="preserve"> </w:t>
      </w:r>
      <w:r w:rsidRPr="0096219C">
        <w:t>contribute</w:t>
      </w:r>
      <w:r w:rsidRPr="0096219C">
        <w:rPr>
          <w:spacing w:val="-4"/>
        </w:rPr>
        <w:t xml:space="preserve"> </w:t>
      </w:r>
      <w:r w:rsidRPr="0096219C">
        <w:t>to</w:t>
      </w:r>
      <w:r w:rsidRPr="0096219C">
        <w:rPr>
          <w:spacing w:val="-4"/>
        </w:rPr>
        <w:t xml:space="preserve"> </w:t>
      </w:r>
      <w:r w:rsidRPr="0096219C">
        <w:t>government outcomes over the Budget and forward years.</w:t>
      </w:r>
    </w:p>
    <w:p w14:paraId="5B4DB498" w14:textId="714D2BEE" w:rsidR="008E1FF5" w:rsidRDefault="00465A87" w:rsidP="000B57B3">
      <w:pPr>
        <w:spacing w:line="244" w:lineRule="auto"/>
        <w:ind w:right="495"/>
      </w:pPr>
      <w:r>
        <w:t>Each outcome is described below together with its related programs. The following provides</w:t>
      </w:r>
      <w:r>
        <w:rPr>
          <w:spacing w:val="-3"/>
        </w:rPr>
        <w:t xml:space="preserve"> </w:t>
      </w:r>
      <w:r>
        <w:t>detailed</w:t>
      </w:r>
      <w:r>
        <w:rPr>
          <w:spacing w:val="-4"/>
        </w:rPr>
        <w:t xml:space="preserve"> </w:t>
      </w:r>
      <w:r>
        <w:t>information</w:t>
      </w:r>
      <w:r>
        <w:rPr>
          <w:spacing w:val="-3"/>
        </w:rPr>
        <w:t xml:space="preserve"> </w:t>
      </w:r>
      <w:r>
        <w:t>on</w:t>
      </w:r>
      <w:r>
        <w:rPr>
          <w:spacing w:val="-3"/>
        </w:rPr>
        <w:t xml:space="preserve"> </w:t>
      </w:r>
      <w:r>
        <w:t>expenses</w:t>
      </w:r>
      <w:r>
        <w:rPr>
          <w:spacing w:val="-3"/>
        </w:rPr>
        <w:t xml:space="preserve"> </w:t>
      </w:r>
      <w:r>
        <w:t>for</w:t>
      </w:r>
      <w:r>
        <w:rPr>
          <w:spacing w:val="-4"/>
        </w:rPr>
        <w:t xml:space="preserve"> </w:t>
      </w:r>
      <w:r>
        <w:t>each</w:t>
      </w:r>
      <w:r>
        <w:rPr>
          <w:spacing w:val="-3"/>
        </w:rPr>
        <w:t xml:space="preserve"> </w:t>
      </w:r>
      <w:r>
        <w:t>outcome</w:t>
      </w:r>
      <w:r>
        <w:rPr>
          <w:spacing w:val="-3"/>
        </w:rPr>
        <w:t xml:space="preserve"> </w:t>
      </w:r>
      <w:r>
        <w:t>and</w:t>
      </w:r>
      <w:r>
        <w:rPr>
          <w:spacing w:val="-4"/>
        </w:rPr>
        <w:t xml:space="preserve"> </w:t>
      </w:r>
      <w:r>
        <w:t>program,</w:t>
      </w:r>
      <w:r>
        <w:rPr>
          <w:spacing w:val="-3"/>
        </w:rPr>
        <w:t xml:space="preserve"> </w:t>
      </w:r>
      <w:r>
        <w:t>further</w:t>
      </w:r>
      <w:r>
        <w:rPr>
          <w:spacing w:val="-4"/>
        </w:rPr>
        <w:t xml:space="preserve"> </w:t>
      </w:r>
      <w:r>
        <w:t xml:space="preserve">broken down by funding source. </w:t>
      </w:r>
    </w:p>
    <w:tbl>
      <w:tblPr>
        <w:tblStyle w:val="TableGrid"/>
        <w:tblW w:w="0" w:type="auto"/>
        <w:tblLook w:val="04A0" w:firstRow="1" w:lastRow="0" w:firstColumn="1" w:lastColumn="0" w:noHBand="0" w:noVBand="1"/>
      </w:tblPr>
      <w:tblGrid>
        <w:gridCol w:w="7704"/>
      </w:tblGrid>
      <w:tr w:rsidR="007439E8" w14:paraId="5672284F" w14:textId="77777777" w:rsidTr="007439E8">
        <w:tc>
          <w:tcPr>
            <w:tcW w:w="7704" w:type="dxa"/>
          </w:tcPr>
          <w:p w14:paraId="35C413C9" w14:textId="77777777" w:rsidR="007439E8" w:rsidRPr="001B201C" w:rsidRDefault="007439E8" w:rsidP="00457FC4">
            <w:pPr>
              <w:pStyle w:val="BoxHeading"/>
              <w:rPr>
                <w:rFonts w:ascii="Book Antiqua" w:hAnsi="Book Antiqua"/>
                <w:sz w:val="19"/>
                <w:szCs w:val="19"/>
              </w:rPr>
            </w:pPr>
            <w:r w:rsidRPr="001B201C">
              <w:rPr>
                <w:rFonts w:ascii="Book Antiqua" w:hAnsi="Book Antiqua"/>
                <w:sz w:val="19"/>
                <w:szCs w:val="19"/>
              </w:rPr>
              <w:t>Note:</w:t>
            </w:r>
          </w:p>
          <w:p w14:paraId="3E37DEF6" w14:textId="34A68B30" w:rsidR="007439E8" w:rsidRDefault="007439E8" w:rsidP="00457FC4">
            <w:pPr>
              <w:pStyle w:val="BoxText"/>
            </w:pPr>
            <w:r>
              <w:t xml:space="preserve">Performance reporting requirements in the Portfolio Budget Statements are part of the </w:t>
            </w:r>
            <w:r>
              <w:rPr>
                <w:spacing w:val="-2"/>
              </w:rPr>
              <w:t xml:space="preserve">Commonwealth </w:t>
            </w:r>
            <w:r w:rsidR="00A852A2">
              <w:rPr>
                <w:spacing w:val="-2"/>
              </w:rPr>
              <w:t>P</w:t>
            </w:r>
            <w:r>
              <w:rPr>
                <w:spacing w:val="-2"/>
              </w:rPr>
              <w:t xml:space="preserve">erformance </w:t>
            </w:r>
            <w:r w:rsidR="00A852A2">
              <w:rPr>
                <w:spacing w:val="-2"/>
              </w:rPr>
              <w:t>F</w:t>
            </w:r>
            <w:r>
              <w:rPr>
                <w:spacing w:val="-2"/>
              </w:rPr>
              <w:t xml:space="preserve">ramework established by the </w:t>
            </w:r>
            <w:r>
              <w:rPr>
                <w:i/>
                <w:spacing w:val="-2"/>
              </w:rPr>
              <w:t xml:space="preserve">Public Governance, Performance </w:t>
            </w:r>
            <w:r>
              <w:rPr>
                <w:i/>
              </w:rPr>
              <w:t>and Accountability Act 2013</w:t>
            </w:r>
            <w:r>
              <w:t>. It is anticipated that the performance measure described in Portfolio</w:t>
            </w:r>
            <w:r>
              <w:rPr>
                <w:spacing w:val="-9"/>
              </w:rPr>
              <w:t xml:space="preserve"> </w:t>
            </w:r>
            <w:r>
              <w:t>Budget</w:t>
            </w:r>
            <w:r>
              <w:rPr>
                <w:spacing w:val="-8"/>
              </w:rPr>
              <w:t xml:space="preserve"> </w:t>
            </w:r>
            <w:r>
              <w:t>Statements</w:t>
            </w:r>
            <w:r>
              <w:rPr>
                <w:spacing w:val="-10"/>
              </w:rPr>
              <w:t xml:space="preserve"> </w:t>
            </w:r>
            <w:r>
              <w:t>will</w:t>
            </w:r>
            <w:r>
              <w:rPr>
                <w:spacing w:val="-9"/>
              </w:rPr>
              <w:t xml:space="preserve"> </w:t>
            </w:r>
            <w:r>
              <w:t>be</w:t>
            </w:r>
            <w:r>
              <w:rPr>
                <w:spacing w:val="-8"/>
              </w:rPr>
              <w:t xml:space="preserve"> </w:t>
            </w:r>
            <w:r>
              <w:t>read</w:t>
            </w:r>
            <w:r>
              <w:rPr>
                <w:spacing w:val="-11"/>
              </w:rPr>
              <w:t xml:space="preserve"> </w:t>
            </w:r>
            <w:r>
              <w:t>with</w:t>
            </w:r>
            <w:r>
              <w:rPr>
                <w:spacing w:val="-9"/>
              </w:rPr>
              <w:t xml:space="preserve"> </w:t>
            </w:r>
            <w:r>
              <w:t>broader</w:t>
            </w:r>
            <w:r>
              <w:rPr>
                <w:spacing w:val="-9"/>
              </w:rPr>
              <w:t xml:space="preserve"> </w:t>
            </w:r>
            <w:r>
              <w:t>information</w:t>
            </w:r>
            <w:r>
              <w:rPr>
                <w:spacing w:val="-9"/>
              </w:rPr>
              <w:t xml:space="preserve"> </w:t>
            </w:r>
            <w:r>
              <w:t>provided</w:t>
            </w:r>
            <w:r>
              <w:rPr>
                <w:spacing w:val="-9"/>
              </w:rPr>
              <w:t xml:space="preserve"> </w:t>
            </w:r>
            <w:r>
              <w:t>in</w:t>
            </w:r>
            <w:r>
              <w:rPr>
                <w:spacing w:val="-9"/>
              </w:rPr>
              <w:t xml:space="preserve"> </w:t>
            </w:r>
            <w:r>
              <w:t>an</w:t>
            </w:r>
            <w:r>
              <w:rPr>
                <w:spacing w:val="-11"/>
              </w:rPr>
              <w:t xml:space="preserve"> </w:t>
            </w:r>
            <w:r>
              <w:t>entity</w:t>
            </w:r>
            <w:r w:rsidR="009E2237">
              <w:t>’</w:t>
            </w:r>
            <w:r>
              <w:t xml:space="preserve">s </w:t>
            </w:r>
            <w:r w:rsidR="00764759">
              <w:t xml:space="preserve">Corporate Plans </w:t>
            </w:r>
            <w:r>
              <w:t>and annual performance statements – included in Annual Reports – to provide a complete picture of an entity</w:t>
            </w:r>
            <w:r w:rsidR="009E2237">
              <w:t>’</w:t>
            </w:r>
            <w:r>
              <w:t>s planned and actual performance.</w:t>
            </w:r>
          </w:p>
          <w:p w14:paraId="00714E26" w14:textId="6D575F12" w:rsidR="007439E8" w:rsidRDefault="007439E8" w:rsidP="00894AC1">
            <w:pPr>
              <w:jc w:val="left"/>
              <w:rPr>
                <w:szCs w:val="19"/>
              </w:rPr>
            </w:pPr>
            <w:r w:rsidRPr="00151A9A">
              <w:rPr>
                <w:szCs w:val="19"/>
              </w:rPr>
              <w:t xml:space="preserve">The most recent </w:t>
            </w:r>
            <w:r w:rsidR="00764759">
              <w:rPr>
                <w:szCs w:val="19"/>
              </w:rPr>
              <w:t>C</w:t>
            </w:r>
            <w:r w:rsidR="00764759" w:rsidRPr="00151A9A">
              <w:rPr>
                <w:szCs w:val="19"/>
              </w:rPr>
              <w:t xml:space="preserve">orporate </w:t>
            </w:r>
            <w:r w:rsidR="00764759">
              <w:rPr>
                <w:szCs w:val="19"/>
              </w:rPr>
              <w:t>P</w:t>
            </w:r>
            <w:r w:rsidR="00764759" w:rsidRPr="00151A9A">
              <w:rPr>
                <w:szCs w:val="19"/>
              </w:rPr>
              <w:t xml:space="preserve">lan </w:t>
            </w:r>
            <w:r w:rsidRPr="00151A9A">
              <w:rPr>
                <w:szCs w:val="19"/>
              </w:rPr>
              <w:t xml:space="preserve">for the National Competition Council can be found at: </w:t>
            </w:r>
            <w:r>
              <w:rPr>
                <w:szCs w:val="19"/>
              </w:rPr>
              <w:t>(</w:t>
            </w:r>
            <w:hyperlink r:id="rId16" w:history="1">
              <w:r w:rsidRPr="00647B4F">
                <w:rPr>
                  <w:rStyle w:val="Hyperlink"/>
                  <w:szCs w:val="19"/>
                </w:rPr>
                <w:t>http://ncc.gov.au/about/strategic_plan</w:t>
              </w:r>
            </w:hyperlink>
            <w:r w:rsidRPr="00262CF6">
              <w:rPr>
                <w:rStyle w:val="Hyperlink"/>
                <w:szCs w:val="19"/>
                <w:u w:val="none"/>
              </w:rPr>
              <w:t>).</w:t>
            </w:r>
            <w:r w:rsidRPr="00262CF6">
              <w:rPr>
                <w:szCs w:val="19"/>
              </w:rPr>
              <w:t xml:space="preserve"> </w:t>
            </w:r>
          </w:p>
          <w:p w14:paraId="35ECBF42" w14:textId="2B7B549F" w:rsidR="007439E8" w:rsidRPr="007439E8" w:rsidRDefault="007439E8" w:rsidP="00894AC1">
            <w:pPr>
              <w:jc w:val="left"/>
              <w:rPr>
                <w:szCs w:val="19"/>
              </w:rPr>
            </w:pPr>
            <w:r w:rsidRPr="00151A9A">
              <w:rPr>
                <w:szCs w:val="19"/>
              </w:rPr>
              <w:t>The most recent annual performance statement can be found at</w:t>
            </w:r>
            <w:r>
              <w:rPr>
                <w:szCs w:val="19"/>
              </w:rPr>
              <w:t xml:space="preserve"> </w:t>
            </w:r>
            <w:r>
              <w:rPr>
                <w:szCs w:val="19"/>
              </w:rPr>
              <w:br/>
            </w:r>
            <w:r>
              <w:t>(</w:t>
            </w:r>
            <w:hyperlink r:id="rId17" w:history="1">
              <w:r w:rsidRPr="00647B4F">
                <w:rPr>
                  <w:rStyle w:val="Hyperlink"/>
                  <w:szCs w:val="19"/>
                </w:rPr>
                <w:t>http://ncc.gov.au/publications/C41</w:t>
              </w:r>
            </w:hyperlink>
            <w:r w:rsidRPr="00262CF6">
              <w:rPr>
                <w:rStyle w:val="Hyperlink"/>
                <w:szCs w:val="19"/>
                <w:u w:val="none"/>
              </w:rPr>
              <w:t>).</w:t>
            </w:r>
          </w:p>
        </w:tc>
      </w:tr>
    </w:tbl>
    <w:p w14:paraId="4F1613F8" w14:textId="65AFFABD" w:rsidR="008E1FF5" w:rsidRDefault="008E1FF5" w:rsidP="006A37A5">
      <w:pPr>
        <w:rPr>
          <w:sz w:val="16"/>
        </w:rPr>
      </w:pPr>
    </w:p>
    <w:p w14:paraId="1D08E863" w14:textId="77777777" w:rsidR="008E1FF5" w:rsidRDefault="008E1FF5">
      <w:pPr>
        <w:rPr>
          <w:sz w:val="16"/>
        </w:rPr>
        <w:sectPr w:rsidR="008E1FF5" w:rsidSect="00755F03">
          <w:headerReference w:type="even" r:id="rId18"/>
          <w:headerReference w:type="default" r:id="rId19"/>
          <w:footerReference w:type="even" r:id="rId20"/>
          <w:footerReference w:type="default" r:id="rId21"/>
          <w:pgSz w:w="11910" w:h="16840"/>
          <w:pgMar w:top="2835" w:right="2098" w:bottom="2466" w:left="2098" w:header="1814" w:footer="1814" w:gutter="0"/>
          <w:cols w:space="720"/>
          <w:docGrid w:linePitch="299"/>
        </w:sectPr>
      </w:pPr>
    </w:p>
    <w:p w14:paraId="47288A25" w14:textId="16A307D5" w:rsidR="008E1FF5" w:rsidRPr="009A0303" w:rsidRDefault="00B70467" w:rsidP="00B70467">
      <w:pPr>
        <w:pStyle w:val="Heading3"/>
        <w:rPr>
          <w:rFonts w:ascii="Arial" w:hAnsi="Arial"/>
        </w:rPr>
      </w:pPr>
      <w:bookmarkStart w:id="15" w:name="2.1__Budgeted_expenses_and_performance_f"/>
      <w:bookmarkStart w:id="16" w:name="_Toc134036980"/>
      <w:bookmarkEnd w:id="15"/>
      <w:r w:rsidRPr="009A0303">
        <w:rPr>
          <w:rFonts w:ascii="Arial" w:hAnsi="Arial"/>
        </w:rPr>
        <w:lastRenderedPageBreak/>
        <w:t>2.1</w:t>
      </w:r>
      <w:r w:rsidRPr="009A0303">
        <w:rPr>
          <w:rFonts w:ascii="Arial" w:hAnsi="Arial"/>
        </w:rPr>
        <w:tab/>
      </w:r>
      <w:r w:rsidR="00465A87" w:rsidRPr="009A0303">
        <w:rPr>
          <w:rFonts w:ascii="Arial" w:hAnsi="Arial"/>
        </w:rPr>
        <w:t xml:space="preserve">Budgeted expenses and performance for Outcome </w:t>
      </w:r>
      <w:r w:rsidR="00783FC6" w:rsidRPr="009A0303">
        <w:rPr>
          <w:rFonts w:ascii="Arial" w:hAnsi="Arial"/>
        </w:rPr>
        <w:t>1</w:t>
      </w:r>
      <w:bookmarkEnd w:id="16"/>
    </w:p>
    <w:tbl>
      <w:tblPr>
        <w:tblStyle w:val="TableGrid"/>
        <w:tblW w:w="0" w:type="auto"/>
        <w:tblLook w:val="04A0" w:firstRow="1" w:lastRow="0" w:firstColumn="1" w:lastColumn="0" w:noHBand="0" w:noVBand="1"/>
      </w:tblPr>
      <w:tblGrid>
        <w:gridCol w:w="7704"/>
      </w:tblGrid>
      <w:tr w:rsidR="000B3BC5" w14:paraId="4187213B" w14:textId="77777777" w:rsidTr="00FE24A7">
        <w:tc>
          <w:tcPr>
            <w:tcW w:w="7704" w:type="dxa"/>
            <w:shd w:val="clear" w:color="auto" w:fill="F2F2F2"/>
          </w:tcPr>
          <w:p w14:paraId="550BD214" w14:textId="0C264471" w:rsidR="000B3BC5" w:rsidRPr="003E6F0E" w:rsidRDefault="00FE24A7" w:rsidP="00457FC4">
            <w:pPr>
              <w:pStyle w:val="BoxText"/>
              <w:rPr>
                <w:rFonts w:ascii="Arial" w:hAnsi="Arial" w:cs="Arial"/>
                <w:b/>
                <w:bCs/>
                <w:i/>
              </w:rPr>
            </w:pPr>
            <w:r w:rsidRPr="003E6F0E">
              <w:rPr>
                <w:rFonts w:ascii="Arial" w:hAnsi="Arial" w:cs="Arial"/>
                <w:b/>
                <w:bCs/>
                <w:sz w:val="16"/>
                <w:szCs w:val="16"/>
              </w:rPr>
              <w:t>Outcome</w:t>
            </w:r>
            <w:r w:rsidRPr="003E6F0E">
              <w:rPr>
                <w:rFonts w:ascii="Arial" w:hAnsi="Arial" w:cs="Arial"/>
                <w:b/>
                <w:bCs/>
                <w:spacing w:val="-7"/>
                <w:sz w:val="16"/>
                <w:szCs w:val="16"/>
              </w:rPr>
              <w:t xml:space="preserve"> </w:t>
            </w:r>
            <w:r w:rsidRPr="003E6F0E">
              <w:rPr>
                <w:rFonts w:ascii="Arial" w:hAnsi="Arial" w:cs="Arial"/>
                <w:b/>
                <w:bCs/>
                <w:sz w:val="16"/>
                <w:szCs w:val="16"/>
              </w:rPr>
              <w:t xml:space="preserve">1: Competition in markets that are dependent on access to nationally significant monopoly infrastructure, through recommendations and decisions promoting the efficient operation </w:t>
            </w:r>
            <w:proofErr w:type="gramStart"/>
            <w:r w:rsidRPr="003E6F0E">
              <w:rPr>
                <w:rFonts w:ascii="Arial" w:hAnsi="Arial" w:cs="Arial"/>
                <w:b/>
                <w:bCs/>
                <w:sz w:val="16"/>
                <w:szCs w:val="16"/>
              </w:rPr>
              <w:t>of,</w:t>
            </w:r>
            <w:proofErr w:type="gramEnd"/>
            <w:r w:rsidRPr="003E6F0E">
              <w:rPr>
                <w:rFonts w:ascii="Arial" w:hAnsi="Arial" w:cs="Arial"/>
                <w:b/>
                <w:bCs/>
                <w:sz w:val="16"/>
                <w:szCs w:val="16"/>
              </w:rPr>
              <w:t xml:space="preserve"> use of and investment in infrastructure.</w:t>
            </w:r>
          </w:p>
        </w:tc>
      </w:tr>
    </w:tbl>
    <w:p w14:paraId="74099625" w14:textId="77777777" w:rsidR="007439E8" w:rsidRDefault="007439E8" w:rsidP="007439E8">
      <w:pPr>
        <w:pStyle w:val="SingleParagraph"/>
      </w:pPr>
      <w:bookmarkStart w:id="17" w:name="Linked_programs_(May_be_deleted_if_there"/>
      <w:bookmarkStart w:id="18" w:name="Budgeted_expenses_for_Outcome_X"/>
      <w:bookmarkEnd w:id="17"/>
      <w:bookmarkEnd w:id="18"/>
    </w:p>
    <w:p w14:paraId="6F0E7786" w14:textId="42CE0103" w:rsidR="008E1FF5" w:rsidRPr="003E6F0E" w:rsidRDefault="00465A87" w:rsidP="00207C98">
      <w:pPr>
        <w:pStyle w:val="Heading5"/>
      </w:pPr>
      <w:r w:rsidRPr="003E6F0E">
        <w:t xml:space="preserve">Budgeted expenses for Outcome </w:t>
      </w:r>
      <w:r w:rsidR="00F35DB8" w:rsidRPr="003E6F0E">
        <w:t>1</w:t>
      </w:r>
    </w:p>
    <w:p w14:paraId="015D2972" w14:textId="7B2E21FF" w:rsidR="0005200B" w:rsidRDefault="00465A87" w:rsidP="006A37A5">
      <w:r w:rsidRPr="000061CA">
        <w:t>This</w:t>
      </w:r>
      <w:r w:rsidRPr="000061CA">
        <w:rPr>
          <w:spacing w:val="-2"/>
        </w:rPr>
        <w:t xml:space="preserve"> </w:t>
      </w:r>
      <w:r w:rsidRPr="000061CA">
        <w:t>table</w:t>
      </w:r>
      <w:r w:rsidRPr="000061CA">
        <w:rPr>
          <w:spacing w:val="-2"/>
        </w:rPr>
        <w:t xml:space="preserve"> </w:t>
      </w:r>
      <w:r w:rsidRPr="000061CA">
        <w:t>shows</w:t>
      </w:r>
      <w:r w:rsidRPr="000061CA">
        <w:rPr>
          <w:spacing w:val="-2"/>
        </w:rPr>
        <w:t xml:space="preserve"> </w:t>
      </w:r>
      <w:r w:rsidRPr="000061CA">
        <w:t>how</w:t>
      </w:r>
      <w:r w:rsidRPr="000061CA">
        <w:rPr>
          <w:spacing w:val="-2"/>
        </w:rPr>
        <w:t xml:space="preserve"> </w:t>
      </w:r>
      <w:r w:rsidRPr="000061CA">
        <w:t>much</w:t>
      </w:r>
      <w:r w:rsidRPr="000061CA">
        <w:rPr>
          <w:spacing w:val="-2"/>
        </w:rPr>
        <w:t xml:space="preserve"> </w:t>
      </w:r>
      <w:r w:rsidRPr="000061CA">
        <w:t>the</w:t>
      </w:r>
      <w:r w:rsidRPr="000061CA">
        <w:rPr>
          <w:spacing w:val="-2"/>
        </w:rPr>
        <w:t xml:space="preserve"> </w:t>
      </w:r>
      <w:r w:rsidRPr="000061CA">
        <w:t>entity</w:t>
      </w:r>
      <w:r w:rsidRPr="000061CA">
        <w:rPr>
          <w:spacing w:val="-2"/>
        </w:rPr>
        <w:t xml:space="preserve"> </w:t>
      </w:r>
      <w:r w:rsidRPr="000061CA">
        <w:t>intends</w:t>
      </w:r>
      <w:r w:rsidRPr="000061CA">
        <w:rPr>
          <w:spacing w:val="-2"/>
        </w:rPr>
        <w:t xml:space="preserve"> </w:t>
      </w:r>
      <w:r w:rsidRPr="000061CA">
        <w:t>to</w:t>
      </w:r>
      <w:r w:rsidRPr="000061CA">
        <w:rPr>
          <w:spacing w:val="-5"/>
        </w:rPr>
        <w:t xml:space="preserve"> </w:t>
      </w:r>
      <w:r w:rsidRPr="000061CA">
        <w:t>spend</w:t>
      </w:r>
      <w:r w:rsidRPr="000061CA">
        <w:rPr>
          <w:spacing w:val="-3"/>
        </w:rPr>
        <w:t xml:space="preserve"> </w:t>
      </w:r>
      <w:r w:rsidRPr="000061CA">
        <w:t>(on</w:t>
      </w:r>
      <w:r w:rsidRPr="000061CA">
        <w:rPr>
          <w:spacing w:val="-2"/>
        </w:rPr>
        <w:t xml:space="preserve"> </w:t>
      </w:r>
      <w:r w:rsidRPr="000061CA">
        <w:t>an</w:t>
      </w:r>
      <w:r w:rsidRPr="000061CA">
        <w:rPr>
          <w:spacing w:val="-2"/>
        </w:rPr>
        <w:t xml:space="preserve"> </w:t>
      </w:r>
      <w:r w:rsidRPr="000061CA">
        <w:t>accrual</w:t>
      </w:r>
      <w:r w:rsidRPr="000061CA">
        <w:rPr>
          <w:spacing w:val="-4"/>
        </w:rPr>
        <w:t xml:space="preserve"> </w:t>
      </w:r>
      <w:r w:rsidRPr="000061CA">
        <w:t>basis)</w:t>
      </w:r>
      <w:r w:rsidRPr="000061CA">
        <w:rPr>
          <w:spacing w:val="-3"/>
        </w:rPr>
        <w:t xml:space="preserve"> </w:t>
      </w:r>
      <w:r w:rsidRPr="000061CA">
        <w:t>on</w:t>
      </w:r>
      <w:r w:rsidRPr="000061CA">
        <w:rPr>
          <w:spacing w:val="-2"/>
        </w:rPr>
        <w:t xml:space="preserve"> </w:t>
      </w:r>
      <w:r w:rsidRPr="000061CA">
        <w:t>achieving the outcome, broken down by program, as well as by Administered and Departmental funding sources.</w:t>
      </w:r>
    </w:p>
    <w:p w14:paraId="118C66BB" w14:textId="2FFF94DA" w:rsidR="00A540EF" w:rsidRDefault="0005200B" w:rsidP="00DE02CD">
      <w:pPr>
        <w:pStyle w:val="TableHeading"/>
        <w:spacing w:before="0" w:after="0"/>
        <w:rPr>
          <w:rFonts w:asciiTheme="minorHAnsi" w:eastAsiaTheme="minorHAnsi" w:hAnsiTheme="minorHAnsi" w:cstheme="minorBidi"/>
          <w:b w:val="0"/>
          <w:sz w:val="22"/>
          <w:szCs w:val="22"/>
          <w:lang w:val="en-US" w:eastAsia="en-US"/>
        </w:rPr>
      </w:pPr>
      <w:r w:rsidRPr="0005200B">
        <w:t>Table 2.1: Budgeted expenses for Outcome</w:t>
      </w:r>
      <w:r w:rsidR="00FE455A">
        <w:t xml:space="preserve"> 1</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A540EF" w:rsidRPr="00A540EF" w14:paraId="24E22584" w14:textId="77777777" w:rsidTr="00BA10B4">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5EF779A0" w14:textId="5D7FF950" w:rsidR="00A540EF" w:rsidRPr="00A540EF" w:rsidRDefault="00A540EF" w:rsidP="00FB338D">
            <w:pPr>
              <w:spacing w:after="0" w:line="240" w:lineRule="auto"/>
              <w:rPr>
                <w:rFonts w:ascii="Arial" w:hAnsi="Arial" w:cs="Arial"/>
                <w:b/>
                <w:bCs/>
                <w:color w:val="000000"/>
                <w:sz w:val="16"/>
                <w:szCs w:val="16"/>
              </w:rPr>
            </w:pPr>
            <w:r w:rsidRPr="00A540EF">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5701C9CA"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2022-23 Estimated actual</w:t>
            </w:r>
            <w:r w:rsidRPr="00FB338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7AA71BFA"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2023-24</w:t>
            </w:r>
            <w:r w:rsidRPr="00FB338D">
              <w:rPr>
                <w:rFonts w:ascii="Arial" w:hAnsi="Arial" w:cs="Arial"/>
                <w:sz w:val="16"/>
                <w:szCs w:val="16"/>
              </w:rPr>
              <w:br/>
              <w:t>Budget</w:t>
            </w:r>
            <w:r w:rsidRPr="00FB338D">
              <w:rPr>
                <w:rFonts w:ascii="Arial" w:hAnsi="Arial" w:cs="Arial"/>
                <w:sz w:val="16"/>
                <w:szCs w:val="16"/>
              </w:rPr>
              <w:br/>
            </w:r>
            <w:r w:rsidRPr="00FB338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7E93E9A"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2024-25 Forward estimate</w:t>
            </w:r>
            <w:r w:rsidRPr="00FB338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A1392A8"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2025-26 Forward estimate</w:t>
            </w:r>
            <w:r w:rsidRPr="00FB338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BEE027B"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2026-27</w:t>
            </w:r>
            <w:r w:rsidRPr="00FB338D">
              <w:rPr>
                <w:rFonts w:ascii="Arial" w:hAnsi="Arial" w:cs="Arial"/>
                <w:sz w:val="16"/>
                <w:szCs w:val="16"/>
              </w:rPr>
              <w:br/>
              <w:t>Forward estimate</w:t>
            </w:r>
            <w:r w:rsidRPr="00FB338D">
              <w:rPr>
                <w:rFonts w:ascii="Arial" w:hAnsi="Arial" w:cs="Arial"/>
                <w:sz w:val="16"/>
                <w:szCs w:val="16"/>
              </w:rPr>
              <w:br/>
              <w:t>$'000</w:t>
            </w:r>
          </w:p>
        </w:tc>
      </w:tr>
      <w:tr w:rsidR="00A540EF" w:rsidRPr="00A540EF" w14:paraId="519860C4" w14:textId="77777777" w:rsidTr="00BA10B4">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2C6041C" w14:textId="77777777" w:rsidR="00A540EF" w:rsidRPr="00FB338D" w:rsidRDefault="00A540EF" w:rsidP="00FB338D">
            <w:pPr>
              <w:spacing w:after="0" w:line="240" w:lineRule="auto"/>
              <w:rPr>
                <w:rFonts w:ascii="Arial" w:hAnsi="Arial" w:cs="Arial"/>
                <w:b/>
                <w:bCs/>
                <w:sz w:val="16"/>
                <w:szCs w:val="16"/>
              </w:rPr>
            </w:pPr>
            <w:r w:rsidRPr="00FB338D">
              <w:rPr>
                <w:rFonts w:ascii="Arial" w:hAnsi="Arial" w:cs="Arial"/>
                <w:b/>
                <w:bCs/>
                <w:sz w:val="16"/>
                <w:szCs w:val="16"/>
              </w:rPr>
              <w:t>Program 1.1: National Competition Council</w:t>
            </w:r>
          </w:p>
        </w:tc>
      </w:tr>
      <w:tr w:rsidR="00A540EF" w:rsidRPr="00A540EF" w14:paraId="56373DEB" w14:textId="77777777" w:rsidTr="00BA10B4">
        <w:trPr>
          <w:trHeight w:hRule="exact" w:val="225"/>
        </w:trPr>
        <w:tc>
          <w:tcPr>
            <w:tcW w:w="2105" w:type="pct"/>
            <w:tcBorders>
              <w:top w:val="nil"/>
              <w:left w:val="nil"/>
              <w:bottom w:val="nil"/>
              <w:right w:val="nil"/>
            </w:tcBorders>
            <w:shd w:val="clear" w:color="000000" w:fill="FFFFFF"/>
            <w:noWrap/>
            <w:vAlign w:val="center"/>
            <w:hideMark/>
          </w:tcPr>
          <w:p w14:paraId="5DC51AB0" w14:textId="77777777" w:rsidR="00A540EF" w:rsidRPr="00FB338D" w:rsidRDefault="00A540EF" w:rsidP="00FB338D">
            <w:pPr>
              <w:spacing w:after="0" w:line="240" w:lineRule="auto"/>
              <w:rPr>
                <w:rFonts w:ascii="Arial" w:hAnsi="Arial" w:cs="Arial"/>
                <w:sz w:val="16"/>
                <w:szCs w:val="16"/>
              </w:rPr>
            </w:pPr>
            <w:r w:rsidRPr="00FB338D">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6D9DC9D2" w14:textId="77777777" w:rsidR="00A540EF" w:rsidRPr="00FB338D" w:rsidRDefault="00A540EF" w:rsidP="00FB338D">
            <w:pPr>
              <w:spacing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59546F1B"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1737355B" w14:textId="77777777" w:rsidR="00A540EF" w:rsidRPr="00FB338D" w:rsidRDefault="00A540EF" w:rsidP="00FB338D">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3C068FAB" w14:textId="77777777" w:rsidR="00A540EF" w:rsidRPr="00FB338D" w:rsidRDefault="00A540EF" w:rsidP="00FB338D">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2C26205" w14:textId="77777777" w:rsidR="00A540EF" w:rsidRPr="00FB338D" w:rsidRDefault="00A540EF" w:rsidP="00FB338D">
            <w:pPr>
              <w:spacing w:after="0" w:line="240" w:lineRule="auto"/>
              <w:rPr>
                <w:rFonts w:ascii="Times New Roman" w:hAnsi="Times New Roman"/>
                <w:sz w:val="20"/>
              </w:rPr>
            </w:pPr>
          </w:p>
        </w:tc>
      </w:tr>
      <w:tr w:rsidR="00A540EF" w:rsidRPr="00A540EF" w14:paraId="5CCBCCA7" w14:textId="77777777" w:rsidTr="00BA10B4">
        <w:trPr>
          <w:trHeight w:hRule="exact" w:val="225"/>
        </w:trPr>
        <w:tc>
          <w:tcPr>
            <w:tcW w:w="2105" w:type="pct"/>
            <w:tcBorders>
              <w:top w:val="nil"/>
              <w:left w:val="nil"/>
              <w:bottom w:val="nil"/>
              <w:right w:val="nil"/>
            </w:tcBorders>
            <w:shd w:val="clear" w:color="000000" w:fill="FFFFFF"/>
            <w:noWrap/>
            <w:vAlign w:val="center"/>
            <w:hideMark/>
          </w:tcPr>
          <w:p w14:paraId="204F53FD" w14:textId="77777777" w:rsidR="00A540EF" w:rsidRPr="00FB338D" w:rsidRDefault="00A540EF" w:rsidP="00BA10B4">
            <w:pPr>
              <w:spacing w:after="0" w:line="240" w:lineRule="auto"/>
              <w:ind w:left="170"/>
              <w:rPr>
                <w:rFonts w:ascii="Arial" w:hAnsi="Arial" w:cs="Arial"/>
                <w:sz w:val="16"/>
                <w:szCs w:val="16"/>
              </w:rPr>
            </w:pPr>
            <w:r w:rsidRPr="00FB338D">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1E55CECE" w14:textId="77777777" w:rsidR="00A540EF" w:rsidRPr="00FB338D" w:rsidRDefault="00A540EF" w:rsidP="00FB338D">
            <w:pPr>
              <w:spacing w:after="0" w:line="240" w:lineRule="auto"/>
              <w:jc w:val="right"/>
              <w:rPr>
                <w:rFonts w:ascii="Arial" w:hAnsi="Arial" w:cs="Arial"/>
                <w:color w:val="000000"/>
                <w:sz w:val="16"/>
                <w:szCs w:val="16"/>
              </w:rPr>
            </w:pPr>
            <w:r w:rsidRPr="00FB338D">
              <w:rPr>
                <w:rFonts w:ascii="Arial" w:hAnsi="Arial" w:cs="Arial"/>
                <w:color w:val="000000"/>
                <w:sz w:val="16"/>
                <w:szCs w:val="16"/>
              </w:rPr>
              <w:t xml:space="preserve">1,683 </w:t>
            </w:r>
          </w:p>
        </w:tc>
        <w:tc>
          <w:tcPr>
            <w:tcW w:w="579" w:type="pct"/>
            <w:tcBorders>
              <w:top w:val="nil"/>
              <w:left w:val="nil"/>
              <w:bottom w:val="nil"/>
              <w:right w:val="nil"/>
            </w:tcBorders>
            <w:shd w:val="clear" w:color="000000" w:fill="E6E6E6"/>
            <w:noWrap/>
            <w:vAlign w:val="center"/>
            <w:hideMark/>
          </w:tcPr>
          <w:p w14:paraId="5CEB69A9"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1,727 </w:t>
            </w:r>
          </w:p>
        </w:tc>
        <w:tc>
          <w:tcPr>
            <w:tcW w:w="579" w:type="pct"/>
            <w:tcBorders>
              <w:top w:val="nil"/>
              <w:left w:val="nil"/>
              <w:bottom w:val="nil"/>
              <w:right w:val="nil"/>
            </w:tcBorders>
            <w:shd w:val="clear" w:color="auto" w:fill="auto"/>
            <w:noWrap/>
            <w:vAlign w:val="center"/>
            <w:hideMark/>
          </w:tcPr>
          <w:p w14:paraId="4E415468"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1,764 </w:t>
            </w:r>
          </w:p>
        </w:tc>
        <w:tc>
          <w:tcPr>
            <w:tcW w:w="579" w:type="pct"/>
            <w:tcBorders>
              <w:top w:val="nil"/>
              <w:left w:val="nil"/>
              <w:bottom w:val="nil"/>
              <w:right w:val="nil"/>
            </w:tcBorders>
            <w:shd w:val="clear" w:color="auto" w:fill="auto"/>
            <w:noWrap/>
            <w:vAlign w:val="center"/>
            <w:hideMark/>
          </w:tcPr>
          <w:p w14:paraId="3B4FF5B8"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1,788 </w:t>
            </w:r>
          </w:p>
        </w:tc>
        <w:tc>
          <w:tcPr>
            <w:tcW w:w="579" w:type="pct"/>
            <w:tcBorders>
              <w:top w:val="nil"/>
              <w:left w:val="nil"/>
              <w:bottom w:val="nil"/>
              <w:right w:val="nil"/>
            </w:tcBorders>
            <w:shd w:val="clear" w:color="auto" w:fill="auto"/>
            <w:noWrap/>
            <w:vAlign w:val="center"/>
            <w:hideMark/>
          </w:tcPr>
          <w:p w14:paraId="059268D1"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1,824 </w:t>
            </w:r>
          </w:p>
        </w:tc>
      </w:tr>
      <w:tr w:rsidR="00A540EF" w:rsidRPr="00A540EF" w14:paraId="1EEE0EA0" w14:textId="77777777" w:rsidTr="00BA10B4">
        <w:trPr>
          <w:trHeight w:hRule="exact" w:val="675"/>
        </w:trPr>
        <w:tc>
          <w:tcPr>
            <w:tcW w:w="2105" w:type="pct"/>
            <w:tcBorders>
              <w:top w:val="nil"/>
              <w:left w:val="nil"/>
              <w:bottom w:val="nil"/>
              <w:right w:val="nil"/>
            </w:tcBorders>
            <w:shd w:val="clear" w:color="auto" w:fill="auto"/>
            <w:vAlign w:val="center"/>
            <w:hideMark/>
          </w:tcPr>
          <w:p w14:paraId="1176FB63" w14:textId="77777777" w:rsidR="00A540EF" w:rsidRPr="00FB338D" w:rsidRDefault="00A540EF" w:rsidP="00BA10B4">
            <w:pPr>
              <w:spacing w:after="0" w:line="240" w:lineRule="auto"/>
              <w:ind w:left="170"/>
              <w:rPr>
                <w:rFonts w:ascii="Arial" w:hAnsi="Arial" w:cs="Arial"/>
                <w:sz w:val="16"/>
                <w:szCs w:val="16"/>
              </w:rPr>
            </w:pPr>
            <w:r w:rsidRPr="00FB338D">
              <w:rPr>
                <w:rFonts w:ascii="Arial" w:hAnsi="Arial" w:cs="Arial"/>
                <w:sz w:val="16"/>
                <w:szCs w:val="16"/>
              </w:rPr>
              <w:t>Expenses not requiring</w:t>
            </w:r>
            <w:r w:rsidRPr="00FB338D">
              <w:rPr>
                <w:rFonts w:ascii="Arial" w:hAnsi="Arial" w:cs="Arial"/>
                <w:sz w:val="16"/>
                <w:szCs w:val="16"/>
              </w:rPr>
              <w:br/>
              <w:t xml:space="preserve">  appropriation in the Budget</w:t>
            </w:r>
            <w:r w:rsidRPr="00FB338D">
              <w:rPr>
                <w:rFonts w:ascii="Arial" w:hAnsi="Arial" w:cs="Arial"/>
                <w:sz w:val="16"/>
                <w:szCs w:val="16"/>
              </w:rPr>
              <w:br/>
              <w:t xml:space="preserve">  year (a)</w:t>
            </w:r>
          </w:p>
        </w:tc>
        <w:tc>
          <w:tcPr>
            <w:tcW w:w="579" w:type="pct"/>
            <w:tcBorders>
              <w:top w:val="nil"/>
              <w:left w:val="nil"/>
              <w:bottom w:val="nil"/>
              <w:right w:val="nil"/>
            </w:tcBorders>
            <w:shd w:val="clear" w:color="auto" w:fill="auto"/>
            <w:noWrap/>
            <w:vAlign w:val="bottom"/>
            <w:hideMark/>
          </w:tcPr>
          <w:p w14:paraId="1C96BAD7" w14:textId="77777777" w:rsidR="00A540EF" w:rsidRPr="00FB338D" w:rsidRDefault="00A540EF" w:rsidP="00FB338D">
            <w:pPr>
              <w:spacing w:after="0" w:line="240" w:lineRule="auto"/>
              <w:jc w:val="right"/>
              <w:rPr>
                <w:rFonts w:ascii="Arial" w:hAnsi="Arial" w:cs="Arial"/>
                <w:color w:val="000000"/>
                <w:sz w:val="16"/>
                <w:szCs w:val="16"/>
              </w:rPr>
            </w:pPr>
            <w:r w:rsidRPr="00FB338D">
              <w:rPr>
                <w:rFonts w:ascii="Arial" w:hAnsi="Arial" w:cs="Arial"/>
                <w:color w:val="000000"/>
                <w:sz w:val="16"/>
                <w:szCs w:val="16"/>
              </w:rPr>
              <w:t xml:space="preserve">34 </w:t>
            </w:r>
          </w:p>
        </w:tc>
        <w:tc>
          <w:tcPr>
            <w:tcW w:w="579" w:type="pct"/>
            <w:tcBorders>
              <w:top w:val="nil"/>
              <w:left w:val="nil"/>
              <w:bottom w:val="nil"/>
              <w:right w:val="nil"/>
            </w:tcBorders>
            <w:shd w:val="clear" w:color="000000" w:fill="E6E6E6"/>
            <w:noWrap/>
            <w:vAlign w:val="bottom"/>
            <w:hideMark/>
          </w:tcPr>
          <w:p w14:paraId="5D8A9495"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28730719"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5FE4244B"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4E5145C2"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34 </w:t>
            </w:r>
          </w:p>
        </w:tc>
      </w:tr>
      <w:tr w:rsidR="00A540EF" w:rsidRPr="00A540EF" w14:paraId="0DD3D112" w14:textId="77777777" w:rsidTr="00BA10B4">
        <w:trPr>
          <w:trHeight w:hRule="exact" w:val="225"/>
        </w:trPr>
        <w:tc>
          <w:tcPr>
            <w:tcW w:w="2105" w:type="pct"/>
            <w:tcBorders>
              <w:top w:val="nil"/>
              <w:left w:val="nil"/>
              <w:bottom w:val="nil"/>
              <w:right w:val="nil"/>
            </w:tcBorders>
            <w:shd w:val="clear" w:color="auto" w:fill="auto"/>
            <w:vAlign w:val="center"/>
            <w:hideMark/>
          </w:tcPr>
          <w:p w14:paraId="2DB3E03A"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68ADCB36" w14:textId="77777777" w:rsidR="00A540EF" w:rsidRPr="00FB338D" w:rsidRDefault="00A540EF" w:rsidP="00FB338D">
            <w:pPr>
              <w:spacing w:after="0" w:line="240" w:lineRule="auto"/>
              <w:jc w:val="right"/>
              <w:rPr>
                <w:rFonts w:ascii="Arial" w:hAnsi="Arial" w:cs="Arial"/>
                <w:color w:val="000000"/>
                <w:sz w:val="16"/>
                <w:szCs w:val="16"/>
              </w:rPr>
            </w:pPr>
            <w:r w:rsidRPr="00FB338D">
              <w:rPr>
                <w:rFonts w:ascii="Arial" w:hAnsi="Arial" w:cs="Arial"/>
                <w:color w:val="000000"/>
                <w:sz w:val="16"/>
                <w:szCs w:val="16"/>
              </w:rPr>
              <w:t xml:space="preserve">1,717 </w:t>
            </w:r>
          </w:p>
        </w:tc>
        <w:tc>
          <w:tcPr>
            <w:tcW w:w="579" w:type="pct"/>
            <w:tcBorders>
              <w:top w:val="single" w:sz="4" w:space="0" w:color="000000"/>
              <w:left w:val="nil"/>
              <w:bottom w:val="single" w:sz="4" w:space="0" w:color="000000"/>
              <w:right w:val="nil"/>
            </w:tcBorders>
            <w:shd w:val="clear" w:color="000000" w:fill="E6E6E6"/>
            <w:noWrap/>
            <w:vAlign w:val="center"/>
            <w:hideMark/>
          </w:tcPr>
          <w:p w14:paraId="6E59D505"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1,761 </w:t>
            </w:r>
          </w:p>
        </w:tc>
        <w:tc>
          <w:tcPr>
            <w:tcW w:w="579" w:type="pct"/>
            <w:tcBorders>
              <w:top w:val="single" w:sz="4" w:space="0" w:color="000000"/>
              <w:left w:val="nil"/>
              <w:bottom w:val="single" w:sz="4" w:space="0" w:color="000000"/>
              <w:right w:val="nil"/>
            </w:tcBorders>
            <w:shd w:val="clear" w:color="auto" w:fill="auto"/>
            <w:noWrap/>
            <w:vAlign w:val="center"/>
            <w:hideMark/>
          </w:tcPr>
          <w:p w14:paraId="074E0B12"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1,798 </w:t>
            </w:r>
          </w:p>
        </w:tc>
        <w:tc>
          <w:tcPr>
            <w:tcW w:w="579" w:type="pct"/>
            <w:tcBorders>
              <w:top w:val="single" w:sz="4" w:space="0" w:color="000000"/>
              <w:left w:val="nil"/>
              <w:bottom w:val="single" w:sz="4" w:space="0" w:color="000000"/>
              <w:right w:val="nil"/>
            </w:tcBorders>
            <w:shd w:val="clear" w:color="auto" w:fill="auto"/>
            <w:noWrap/>
            <w:vAlign w:val="center"/>
            <w:hideMark/>
          </w:tcPr>
          <w:p w14:paraId="580B5488"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1,822 </w:t>
            </w:r>
          </w:p>
        </w:tc>
        <w:tc>
          <w:tcPr>
            <w:tcW w:w="579" w:type="pct"/>
            <w:tcBorders>
              <w:top w:val="single" w:sz="4" w:space="0" w:color="000000"/>
              <w:left w:val="nil"/>
              <w:bottom w:val="single" w:sz="4" w:space="0" w:color="000000"/>
              <w:right w:val="nil"/>
            </w:tcBorders>
            <w:shd w:val="clear" w:color="auto" w:fill="auto"/>
            <w:noWrap/>
            <w:vAlign w:val="center"/>
            <w:hideMark/>
          </w:tcPr>
          <w:p w14:paraId="45B6B894"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 xml:space="preserve">1,858 </w:t>
            </w:r>
          </w:p>
        </w:tc>
      </w:tr>
      <w:tr w:rsidR="00A540EF" w:rsidRPr="00A540EF" w14:paraId="1CF14F0B" w14:textId="77777777" w:rsidTr="00BA10B4">
        <w:trPr>
          <w:trHeight w:hRule="exact" w:val="225"/>
        </w:trPr>
        <w:tc>
          <w:tcPr>
            <w:tcW w:w="2105" w:type="pct"/>
            <w:tcBorders>
              <w:top w:val="nil"/>
              <w:left w:val="nil"/>
              <w:bottom w:val="single" w:sz="4" w:space="0" w:color="000000"/>
              <w:right w:val="nil"/>
            </w:tcBorders>
            <w:shd w:val="clear" w:color="auto" w:fill="auto"/>
            <w:vAlign w:val="center"/>
            <w:hideMark/>
          </w:tcPr>
          <w:p w14:paraId="12086813" w14:textId="77777777" w:rsidR="00A540EF" w:rsidRPr="00FB338D" w:rsidRDefault="00A540EF" w:rsidP="00FB338D">
            <w:pPr>
              <w:spacing w:after="0" w:line="240" w:lineRule="auto"/>
              <w:rPr>
                <w:rFonts w:ascii="Arial" w:hAnsi="Arial" w:cs="Arial"/>
                <w:b/>
                <w:bCs/>
                <w:sz w:val="16"/>
                <w:szCs w:val="16"/>
              </w:rPr>
            </w:pPr>
            <w:r w:rsidRPr="00FB338D">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678D4DC8" w14:textId="77777777" w:rsidR="00A540EF" w:rsidRPr="00FB338D" w:rsidRDefault="00A540EF" w:rsidP="00FB338D">
            <w:pPr>
              <w:spacing w:after="0" w:line="240" w:lineRule="auto"/>
              <w:jc w:val="right"/>
              <w:rPr>
                <w:rFonts w:ascii="Arial" w:hAnsi="Arial" w:cs="Arial"/>
                <w:b/>
                <w:bCs/>
                <w:color w:val="000000"/>
                <w:sz w:val="16"/>
                <w:szCs w:val="16"/>
              </w:rPr>
            </w:pPr>
            <w:r w:rsidRPr="00FB338D">
              <w:rPr>
                <w:rFonts w:ascii="Arial" w:hAnsi="Arial" w:cs="Arial"/>
                <w:b/>
                <w:bCs/>
                <w:color w:val="000000"/>
                <w:sz w:val="16"/>
                <w:szCs w:val="16"/>
              </w:rPr>
              <w:t xml:space="preserve">1,717 </w:t>
            </w:r>
          </w:p>
        </w:tc>
        <w:tc>
          <w:tcPr>
            <w:tcW w:w="579" w:type="pct"/>
            <w:tcBorders>
              <w:top w:val="nil"/>
              <w:left w:val="nil"/>
              <w:bottom w:val="single" w:sz="4" w:space="0" w:color="000000"/>
              <w:right w:val="nil"/>
            </w:tcBorders>
            <w:shd w:val="clear" w:color="000000" w:fill="E6E6E6"/>
            <w:noWrap/>
            <w:vAlign w:val="center"/>
            <w:hideMark/>
          </w:tcPr>
          <w:p w14:paraId="32EDEA4B"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1,761 </w:t>
            </w:r>
          </w:p>
        </w:tc>
        <w:tc>
          <w:tcPr>
            <w:tcW w:w="579" w:type="pct"/>
            <w:tcBorders>
              <w:top w:val="nil"/>
              <w:left w:val="nil"/>
              <w:bottom w:val="single" w:sz="4" w:space="0" w:color="000000"/>
              <w:right w:val="nil"/>
            </w:tcBorders>
            <w:shd w:val="clear" w:color="auto" w:fill="auto"/>
            <w:noWrap/>
            <w:vAlign w:val="center"/>
            <w:hideMark/>
          </w:tcPr>
          <w:p w14:paraId="6C4203A7"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1,798 </w:t>
            </w:r>
          </w:p>
        </w:tc>
        <w:tc>
          <w:tcPr>
            <w:tcW w:w="579" w:type="pct"/>
            <w:tcBorders>
              <w:top w:val="nil"/>
              <w:left w:val="nil"/>
              <w:bottom w:val="single" w:sz="4" w:space="0" w:color="000000"/>
              <w:right w:val="nil"/>
            </w:tcBorders>
            <w:shd w:val="clear" w:color="auto" w:fill="auto"/>
            <w:noWrap/>
            <w:vAlign w:val="center"/>
            <w:hideMark/>
          </w:tcPr>
          <w:p w14:paraId="3B9317A7"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1,822 </w:t>
            </w:r>
          </w:p>
        </w:tc>
        <w:tc>
          <w:tcPr>
            <w:tcW w:w="579" w:type="pct"/>
            <w:tcBorders>
              <w:top w:val="nil"/>
              <w:left w:val="nil"/>
              <w:bottom w:val="single" w:sz="4" w:space="0" w:color="000000"/>
              <w:right w:val="nil"/>
            </w:tcBorders>
            <w:shd w:val="clear" w:color="auto" w:fill="auto"/>
            <w:noWrap/>
            <w:vAlign w:val="center"/>
            <w:hideMark/>
          </w:tcPr>
          <w:p w14:paraId="14FF306C"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1,858 </w:t>
            </w:r>
          </w:p>
        </w:tc>
      </w:tr>
      <w:tr w:rsidR="00A540EF" w:rsidRPr="00A540EF" w14:paraId="58B47F79" w14:textId="77777777" w:rsidTr="00BA10B4">
        <w:trPr>
          <w:trHeight w:hRule="exact" w:val="225"/>
        </w:trPr>
        <w:tc>
          <w:tcPr>
            <w:tcW w:w="2105" w:type="pct"/>
            <w:tcBorders>
              <w:top w:val="nil"/>
              <w:left w:val="nil"/>
              <w:bottom w:val="single" w:sz="4" w:space="0" w:color="000000"/>
              <w:right w:val="nil"/>
            </w:tcBorders>
            <w:shd w:val="clear" w:color="auto" w:fill="auto"/>
            <w:vAlign w:val="center"/>
            <w:hideMark/>
          </w:tcPr>
          <w:p w14:paraId="70720820" w14:textId="77777777" w:rsidR="00A540EF" w:rsidRPr="00FB338D" w:rsidRDefault="00A540EF" w:rsidP="00FB338D">
            <w:pPr>
              <w:spacing w:after="0" w:line="240" w:lineRule="auto"/>
              <w:rPr>
                <w:rFonts w:ascii="Arial" w:hAnsi="Arial" w:cs="Arial"/>
                <w:b/>
                <w:bCs/>
                <w:sz w:val="16"/>
                <w:szCs w:val="16"/>
              </w:rPr>
            </w:pPr>
            <w:r w:rsidRPr="00FB338D">
              <w:rPr>
                <w:rFonts w:ascii="Arial" w:hAnsi="Arial" w:cs="Arial"/>
                <w:b/>
                <w:bCs/>
                <w:sz w:val="16"/>
                <w:szCs w:val="16"/>
              </w:rPr>
              <w:t>Total expenses for Outcome 1</w:t>
            </w:r>
          </w:p>
        </w:tc>
        <w:tc>
          <w:tcPr>
            <w:tcW w:w="579" w:type="pct"/>
            <w:tcBorders>
              <w:top w:val="nil"/>
              <w:left w:val="nil"/>
              <w:bottom w:val="single" w:sz="4" w:space="0" w:color="000000"/>
              <w:right w:val="nil"/>
            </w:tcBorders>
            <w:shd w:val="clear" w:color="auto" w:fill="auto"/>
            <w:noWrap/>
            <w:vAlign w:val="center"/>
            <w:hideMark/>
          </w:tcPr>
          <w:p w14:paraId="61AE9721" w14:textId="77777777" w:rsidR="00A540EF" w:rsidRPr="00FB338D" w:rsidRDefault="00A540EF" w:rsidP="00FB338D">
            <w:pPr>
              <w:spacing w:after="0" w:line="240" w:lineRule="auto"/>
              <w:jc w:val="right"/>
              <w:rPr>
                <w:rFonts w:ascii="Arial" w:hAnsi="Arial" w:cs="Arial"/>
                <w:b/>
                <w:bCs/>
                <w:color w:val="000000"/>
                <w:sz w:val="16"/>
                <w:szCs w:val="16"/>
              </w:rPr>
            </w:pPr>
            <w:r w:rsidRPr="00FB338D">
              <w:rPr>
                <w:rFonts w:ascii="Arial" w:hAnsi="Arial" w:cs="Arial"/>
                <w:b/>
                <w:bCs/>
                <w:color w:val="000000"/>
                <w:sz w:val="16"/>
                <w:szCs w:val="16"/>
              </w:rPr>
              <w:t xml:space="preserve">1,717 </w:t>
            </w:r>
          </w:p>
        </w:tc>
        <w:tc>
          <w:tcPr>
            <w:tcW w:w="579" w:type="pct"/>
            <w:tcBorders>
              <w:top w:val="nil"/>
              <w:left w:val="nil"/>
              <w:bottom w:val="single" w:sz="4" w:space="0" w:color="000000"/>
              <w:right w:val="nil"/>
            </w:tcBorders>
            <w:shd w:val="clear" w:color="000000" w:fill="E6E6E6"/>
            <w:noWrap/>
            <w:vAlign w:val="center"/>
            <w:hideMark/>
          </w:tcPr>
          <w:p w14:paraId="01E8AF39" w14:textId="77777777" w:rsidR="00A540EF" w:rsidRPr="00FB338D" w:rsidRDefault="00A540EF" w:rsidP="00FB338D">
            <w:pPr>
              <w:spacing w:after="0" w:line="240" w:lineRule="auto"/>
              <w:jc w:val="right"/>
              <w:rPr>
                <w:rFonts w:ascii="Arial" w:hAnsi="Arial" w:cs="Arial"/>
                <w:b/>
                <w:bCs/>
                <w:color w:val="000000"/>
                <w:sz w:val="16"/>
                <w:szCs w:val="16"/>
              </w:rPr>
            </w:pPr>
            <w:r w:rsidRPr="00FB338D">
              <w:rPr>
                <w:rFonts w:ascii="Arial" w:hAnsi="Arial" w:cs="Arial"/>
                <w:b/>
                <w:bCs/>
                <w:color w:val="000000"/>
                <w:sz w:val="16"/>
                <w:szCs w:val="16"/>
              </w:rPr>
              <w:t xml:space="preserve">1,761 </w:t>
            </w:r>
          </w:p>
        </w:tc>
        <w:tc>
          <w:tcPr>
            <w:tcW w:w="579" w:type="pct"/>
            <w:tcBorders>
              <w:top w:val="nil"/>
              <w:left w:val="nil"/>
              <w:bottom w:val="single" w:sz="4" w:space="0" w:color="000000"/>
              <w:right w:val="nil"/>
            </w:tcBorders>
            <w:shd w:val="clear" w:color="auto" w:fill="auto"/>
            <w:noWrap/>
            <w:vAlign w:val="center"/>
            <w:hideMark/>
          </w:tcPr>
          <w:p w14:paraId="5696D634"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1,798 </w:t>
            </w:r>
          </w:p>
        </w:tc>
        <w:tc>
          <w:tcPr>
            <w:tcW w:w="579" w:type="pct"/>
            <w:tcBorders>
              <w:top w:val="nil"/>
              <w:left w:val="nil"/>
              <w:bottom w:val="single" w:sz="4" w:space="0" w:color="000000"/>
              <w:right w:val="nil"/>
            </w:tcBorders>
            <w:shd w:val="clear" w:color="auto" w:fill="auto"/>
            <w:noWrap/>
            <w:vAlign w:val="center"/>
            <w:hideMark/>
          </w:tcPr>
          <w:p w14:paraId="73A46115"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1,822 </w:t>
            </w:r>
          </w:p>
        </w:tc>
        <w:tc>
          <w:tcPr>
            <w:tcW w:w="579" w:type="pct"/>
            <w:tcBorders>
              <w:top w:val="nil"/>
              <w:left w:val="nil"/>
              <w:bottom w:val="single" w:sz="4" w:space="0" w:color="000000"/>
              <w:right w:val="nil"/>
            </w:tcBorders>
            <w:shd w:val="clear" w:color="auto" w:fill="auto"/>
            <w:noWrap/>
            <w:vAlign w:val="center"/>
            <w:hideMark/>
          </w:tcPr>
          <w:p w14:paraId="042D4B75" w14:textId="77777777" w:rsidR="00A540EF" w:rsidRPr="00FB338D" w:rsidRDefault="00A540EF" w:rsidP="00FB338D">
            <w:pPr>
              <w:spacing w:after="0" w:line="240" w:lineRule="auto"/>
              <w:jc w:val="right"/>
              <w:rPr>
                <w:rFonts w:ascii="Arial" w:hAnsi="Arial" w:cs="Arial"/>
                <w:b/>
                <w:bCs/>
                <w:sz w:val="16"/>
                <w:szCs w:val="16"/>
              </w:rPr>
            </w:pPr>
            <w:r w:rsidRPr="00FB338D">
              <w:rPr>
                <w:rFonts w:ascii="Arial" w:hAnsi="Arial" w:cs="Arial"/>
                <w:b/>
                <w:bCs/>
                <w:sz w:val="16"/>
                <w:szCs w:val="16"/>
              </w:rPr>
              <w:t xml:space="preserve">1,858 </w:t>
            </w:r>
          </w:p>
        </w:tc>
      </w:tr>
      <w:tr w:rsidR="00A540EF" w:rsidRPr="00A540EF" w14:paraId="0924AA47" w14:textId="77777777" w:rsidTr="00BA10B4">
        <w:trPr>
          <w:trHeight w:hRule="exact" w:val="120"/>
        </w:trPr>
        <w:tc>
          <w:tcPr>
            <w:tcW w:w="2105" w:type="pct"/>
            <w:tcBorders>
              <w:top w:val="nil"/>
              <w:left w:val="nil"/>
              <w:bottom w:val="nil"/>
              <w:right w:val="nil"/>
            </w:tcBorders>
            <w:shd w:val="clear" w:color="auto" w:fill="auto"/>
            <w:vAlign w:val="center"/>
            <w:hideMark/>
          </w:tcPr>
          <w:p w14:paraId="1F8B3919" w14:textId="77777777" w:rsidR="00A540EF" w:rsidRPr="00FB338D" w:rsidRDefault="00A540EF" w:rsidP="00FB338D">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3B1A3C63" w14:textId="77777777" w:rsidR="00A540EF" w:rsidRPr="00FB338D" w:rsidRDefault="00A540EF" w:rsidP="00FB338D">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88B86AA" w14:textId="77777777" w:rsidR="00A540EF" w:rsidRPr="00FB338D" w:rsidRDefault="00A540EF" w:rsidP="00FB338D">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BBA2CC2" w14:textId="77777777" w:rsidR="00A540EF" w:rsidRPr="00FB338D" w:rsidRDefault="00A540EF" w:rsidP="00FB338D">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053D1D6" w14:textId="77777777" w:rsidR="00A540EF" w:rsidRPr="00FB338D" w:rsidRDefault="00A540EF" w:rsidP="00FB338D">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AA5E3E5" w14:textId="77777777" w:rsidR="00A540EF" w:rsidRPr="00FB338D" w:rsidRDefault="00A540EF" w:rsidP="00FB338D">
            <w:pPr>
              <w:spacing w:after="0" w:line="240" w:lineRule="auto"/>
              <w:rPr>
                <w:rFonts w:ascii="Times New Roman" w:hAnsi="Times New Roman"/>
                <w:sz w:val="20"/>
              </w:rPr>
            </w:pPr>
          </w:p>
        </w:tc>
      </w:tr>
      <w:tr w:rsidR="00885D7E" w:rsidRPr="00A540EF" w14:paraId="698D47E6" w14:textId="77777777" w:rsidTr="00BA10B4">
        <w:trPr>
          <w:trHeight w:val="225"/>
        </w:trPr>
        <w:tc>
          <w:tcPr>
            <w:tcW w:w="2105" w:type="pct"/>
            <w:tcBorders>
              <w:top w:val="single" w:sz="4" w:space="0" w:color="000000"/>
              <w:left w:val="nil"/>
              <w:bottom w:val="nil"/>
              <w:right w:val="nil"/>
            </w:tcBorders>
            <w:shd w:val="clear" w:color="auto" w:fill="auto"/>
            <w:noWrap/>
            <w:vAlign w:val="center"/>
            <w:hideMark/>
          </w:tcPr>
          <w:p w14:paraId="5EA5105A" w14:textId="77777777" w:rsidR="00A540EF" w:rsidRPr="00FB338D" w:rsidRDefault="00A540EF" w:rsidP="00FB338D">
            <w:pPr>
              <w:spacing w:after="0" w:line="240" w:lineRule="auto"/>
              <w:rPr>
                <w:rFonts w:ascii="Arial" w:hAnsi="Arial" w:cs="Arial"/>
                <w:color w:val="000000"/>
                <w:sz w:val="16"/>
                <w:szCs w:val="16"/>
              </w:rPr>
            </w:pPr>
            <w:r w:rsidRPr="00FB338D">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7D712D20"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2022-23</w:t>
            </w:r>
          </w:p>
        </w:tc>
        <w:tc>
          <w:tcPr>
            <w:tcW w:w="579" w:type="pct"/>
            <w:tcBorders>
              <w:top w:val="single" w:sz="4" w:space="0" w:color="auto"/>
              <w:left w:val="nil"/>
              <w:bottom w:val="single" w:sz="4" w:space="0" w:color="auto"/>
              <w:right w:val="nil"/>
            </w:tcBorders>
            <w:shd w:val="clear" w:color="000000" w:fill="E6E6E6"/>
            <w:noWrap/>
            <w:vAlign w:val="center"/>
            <w:hideMark/>
          </w:tcPr>
          <w:p w14:paraId="79DD1C0F" w14:textId="77777777" w:rsidR="00A540EF" w:rsidRPr="00FB338D" w:rsidRDefault="00A540EF" w:rsidP="00FB338D">
            <w:pPr>
              <w:spacing w:after="0" w:line="240" w:lineRule="auto"/>
              <w:jc w:val="right"/>
              <w:rPr>
                <w:rFonts w:ascii="Arial" w:hAnsi="Arial" w:cs="Arial"/>
                <w:sz w:val="16"/>
                <w:szCs w:val="16"/>
              </w:rPr>
            </w:pPr>
            <w:r w:rsidRPr="00FB338D">
              <w:rPr>
                <w:rFonts w:ascii="Arial" w:hAnsi="Arial" w:cs="Arial"/>
                <w:sz w:val="16"/>
                <w:szCs w:val="16"/>
              </w:rPr>
              <w:t>2023-24</w:t>
            </w:r>
          </w:p>
        </w:tc>
        <w:tc>
          <w:tcPr>
            <w:tcW w:w="579" w:type="pct"/>
            <w:tcBorders>
              <w:top w:val="nil"/>
              <w:left w:val="nil"/>
              <w:bottom w:val="nil"/>
              <w:right w:val="nil"/>
            </w:tcBorders>
            <w:shd w:val="clear" w:color="auto" w:fill="auto"/>
            <w:noWrap/>
            <w:vAlign w:val="center"/>
            <w:hideMark/>
          </w:tcPr>
          <w:p w14:paraId="328A59F8" w14:textId="77777777" w:rsidR="00A540EF" w:rsidRPr="00FB338D" w:rsidRDefault="00A540EF" w:rsidP="00FB338D">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00AA55F1" w14:textId="77777777" w:rsidR="00A540EF" w:rsidRPr="00FB338D" w:rsidRDefault="00A540EF" w:rsidP="00FB338D">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1AF9FAC" w14:textId="77777777" w:rsidR="00A540EF" w:rsidRPr="00FB338D" w:rsidRDefault="00A540EF" w:rsidP="00FB338D">
            <w:pPr>
              <w:spacing w:after="0" w:line="240" w:lineRule="auto"/>
              <w:rPr>
                <w:rFonts w:ascii="Times New Roman" w:hAnsi="Times New Roman"/>
                <w:sz w:val="20"/>
              </w:rPr>
            </w:pPr>
          </w:p>
        </w:tc>
      </w:tr>
      <w:tr w:rsidR="00885D7E" w:rsidRPr="00A540EF" w14:paraId="7E467B59" w14:textId="77777777" w:rsidTr="00BA10B4">
        <w:trPr>
          <w:trHeight w:hRule="exact" w:val="225"/>
        </w:trPr>
        <w:tc>
          <w:tcPr>
            <w:tcW w:w="2105" w:type="pct"/>
            <w:tcBorders>
              <w:top w:val="nil"/>
              <w:left w:val="nil"/>
              <w:bottom w:val="single" w:sz="4" w:space="0" w:color="000000"/>
              <w:right w:val="nil"/>
            </w:tcBorders>
            <w:shd w:val="clear" w:color="auto" w:fill="auto"/>
            <w:noWrap/>
            <w:vAlign w:val="center"/>
            <w:hideMark/>
          </w:tcPr>
          <w:p w14:paraId="6C0C33A8" w14:textId="77777777" w:rsidR="00A540EF" w:rsidRPr="00FB338D" w:rsidRDefault="00A540EF" w:rsidP="00FB338D">
            <w:pPr>
              <w:spacing w:after="0" w:line="240" w:lineRule="auto"/>
              <w:rPr>
                <w:rFonts w:ascii="Arial" w:hAnsi="Arial" w:cs="Arial"/>
                <w:b/>
                <w:bCs/>
                <w:color w:val="000000"/>
                <w:sz w:val="16"/>
                <w:szCs w:val="16"/>
              </w:rPr>
            </w:pPr>
            <w:r w:rsidRPr="00FB338D">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2B26A82C" w14:textId="77777777" w:rsidR="00A540EF" w:rsidRPr="00FB338D" w:rsidRDefault="00A540EF" w:rsidP="00FB338D">
            <w:pPr>
              <w:spacing w:after="0" w:line="240" w:lineRule="auto"/>
              <w:jc w:val="right"/>
              <w:rPr>
                <w:rFonts w:ascii="Arial" w:hAnsi="Arial" w:cs="Arial"/>
                <w:color w:val="000000"/>
                <w:sz w:val="16"/>
                <w:szCs w:val="16"/>
              </w:rPr>
            </w:pPr>
            <w:r w:rsidRPr="00FB338D">
              <w:rPr>
                <w:rFonts w:ascii="Arial" w:hAnsi="Arial" w:cs="Arial"/>
                <w:color w:val="000000"/>
                <w:sz w:val="16"/>
                <w:szCs w:val="16"/>
              </w:rPr>
              <w:t xml:space="preserve">1 </w:t>
            </w:r>
          </w:p>
        </w:tc>
        <w:tc>
          <w:tcPr>
            <w:tcW w:w="579" w:type="pct"/>
            <w:tcBorders>
              <w:top w:val="nil"/>
              <w:left w:val="nil"/>
              <w:bottom w:val="single" w:sz="4" w:space="0" w:color="auto"/>
              <w:right w:val="nil"/>
            </w:tcBorders>
            <w:shd w:val="clear" w:color="000000" w:fill="E6E6E6"/>
            <w:noWrap/>
            <w:vAlign w:val="center"/>
            <w:hideMark/>
          </w:tcPr>
          <w:p w14:paraId="050E6872" w14:textId="77777777" w:rsidR="00A540EF" w:rsidRPr="00FB338D" w:rsidRDefault="00A540EF" w:rsidP="00FB338D">
            <w:pPr>
              <w:spacing w:after="0" w:line="240" w:lineRule="auto"/>
              <w:jc w:val="right"/>
              <w:rPr>
                <w:rFonts w:ascii="Arial" w:hAnsi="Arial" w:cs="Arial"/>
                <w:color w:val="000000"/>
                <w:sz w:val="16"/>
                <w:szCs w:val="16"/>
              </w:rPr>
            </w:pPr>
            <w:r w:rsidRPr="00FB338D">
              <w:rPr>
                <w:rFonts w:ascii="Arial" w:hAnsi="Arial" w:cs="Arial"/>
                <w:color w:val="000000"/>
                <w:sz w:val="16"/>
                <w:szCs w:val="16"/>
              </w:rPr>
              <w:t xml:space="preserve">1 </w:t>
            </w:r>
          </w:p>
        </w:tc>
        <w:tc>
          <w:tcPr>
            <w:tcW w:w="579" w:type="pct"/>
            <w:tcBorders>
              <w:top w:val="nil"/>
              <w:left w:val="nil"/>
              <w:bottom w:val="nil"/>
              <w:right w:val="nil"/>
            </w:tcBorders>
            <w:shd w:val="clear" w:color="auto" w:fill="auto"/>
            <w:noWrap/>
            <w:vAlign w:val="center"/>
            <w:hideMark/>
          </w:tcPr>
          <w:p w14:paraId="14C98355" w14:textId="77777777" w:rsidR="00A540EF" w:rsidRPr="00FB338D" w:rsidRDefault="00A540EF" w:rsidP="00FB338D">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1C003E9" w14:textId="77777777" w:rsidR="00A540EF" w:rsidRPr="00FB338D" w:rsidRDefault="00A540EF" w:rsidP="00FB338D">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E62C5AF" w14:textId="77777777" w:rsidR="00A540EF" w:rsidRPr="00FB338D" w:rsidRDefault="00A540EF" w:rsidP="00FB338D">
            <w:pPr>
              <w:spacing w:after="0" w:line="240" w:lineRule="auto"/>
              <w:rPr>
                <w:rFonts w:ascii="Times New Roman" w:hAnsi="Times New Roman"/>
                <w:sz w:val="20"/>
              </w:rPr>
            </w:pPr>
          </w:p>
        </w:tc>
      </w:tr>
    </w:tbl>
    <w:p w14:paraId="03F21362" w14:textId="07F7297F" w:rsidR="005A1D02" w:rsidRPr="00FB338D" w:rsidRDefault="005A1D02" w:rsidP="00FB338D">
      <w:pPr>
        <w:pStyle w:val="TableHeading"/>
        <w:numPr>
          <w:ilvl w:val="0"/>
          <w:numId w:val="30"/>
        </w:numPr>
        <w:spacing w:before="0" w:after="0"/>
        <w:ind w:left="284" w:hanging="284"/>
        <w:rPr>
          <w:b w:val="0"/>
          <w:bCs/>
          <w:szCs w:val="16"/>
        </w:rPr>
      </w:pPr>
      <w:r w:rsidRPr="00FB338D">
        <w:rPr>
          <w:b w:val="0"/>
          <w:bCs/>
          <w:sz w:val="16"/>
          <w:szCs w:val="16"/>
        </w:rPr>
        <w:t>Expenses not requiring appropriation in the Budget year represent audit services received free of charge from the Australian National Audit Office (ANAO).</w:t>
      </w:r>
    </w:p>
    <w:p w14:paraId="767687AA" w14:textId="5DDA9C91" w:rsidR="00376ABE" w:rsidRDefault="005A1D02" w:rsidP="000B3BC5">
      <w:pPr>
        <w:pStyle w:val="ChartandTableFootnote"/>
      </w:pPr>
      <w:r w:rsidRPr="008B6275">
        <w:rPr>
          <w:rFonts w:eastAsia="Arial"/>
        </w:rPr>
        <w:t xml:space="preserve">Note: Departmental appropriation splits and totals are indicative estimates and may change </w:t>
      </w:r>
      <w:proofErr w:type="gramStart"/>
      <w:r w:rsidRPr="008B6275">
        <w:rPr>
          <w:rFonts w:eastAsia="Arial"/>
        </w:rPr>
        <w:t>in the course of</w:t>
      </w:r>
      <w:proofErr w:type="gramEnd"/>
      <w:r w:rsidRPr="008B6275">
        <w:rPr>
          <w:rFonts w:eastAsia="Arial"/>
        </w:rPr>
        <w:t xml:space="preserve"> the budget year as government priorities change.</w:t>
      </w:r>
    </w:p>
    <w:p w14:paraId="0D3C52C6" w14:textId="77777777" w:rsidR="00CA11CD" w:rsidRDefault="00CA11CD" w:rsidP="00F9685E">
      <w:pPr>
        <w:pStyle w:val="TableLine"/>
      </w:pPr>
    </w:p>
    <w:p w14:paraId="6AF6AD75" w14:textId="08E67C54" w:rsidR="00376ABE" w:rsidRDefault="00376ABE">
      <w:pPr>
        <w:rPr>
          <w:color w:val="000000"/>
          <w:sz w:val="16"/>
        </w:rPr>
      </w:pPr>
      <w:r>
        <w:br w:type="page"/>
      </w:r>
    </w:p>
    <w:p w14:paraId="10A94D9F" w14:textId="058D2EF1" w:rsidR="008E1FF5" w:rsidRPr="00CB594E" w:rsidRDefault="00465A87" w:rsidP="00CB594E">
      <w:pPr>
        <w:pStyle w:val="TableHeading"/>
      </w:pPr>
      <w:r>
        <w:lastRenderedPageBreak/>
        <w:t>Table</w:t>
      </w:r>
      <w:r>
        <w:rPr>
          <w:spacing w:val="-9"/>
        </w:rPr>
        <w:t xml:space="preserve"> </w:t>
      </w:r>
      <w:r>
        <w:t>2.</w:t>
      </w:r>
      <w:r w:rsidR="0005200B">
        <w:t>2</w:t>
      </w:r>
      <w:r>
        <w:t>:</w:t>
      </w:r>
      <w:r>
        <w:rPr>
          <w:spacing w:val="-7"/>
        </w:rPr>
        <w:t xml:space="preserve"> </w:t>
      </w:r>
      <w:r>
        <w:t>Performance</w:t>
      </w:r>
      <w:r>
        <w:rPr>
          <w:spacing w:val="-6"/>
        </w:rPr>
        <w:t xml:space="preserve"> </w:t>
      </w:r>
      <w:r>
        <w:t>measure</w:t>
      </w:r>
      <w:r>
        <w:rPr>
          <w:spacing w:val="-9"/>
        </w:rPr>
        <w:t xml:space="preserve"> </w:t>
      </w:r>
      <w:r>
        <w:t>for</w:t>
      </w:r>
      <w:r>
        <w:rPr>
          <w:spacing w:val="-10"/>
        </w:rPr>
        <w:t xml:space="preserve"> </w:t>
      </w:r>
      <w:r>
        <w:t>Outcome</w:t>
      </w:r>
      <w:r>
        <w:rPr>
          <w:spacing w:val="-7"/>
        </w:rPr>
        <w:t xml:space="preserve"> </w:t>
      </w:r>
      <w:r w:rsidR="0005200B">
        <w:rPr>
          <w:spacing w:val="-10"/>
        </w:rPr>
        <w:t>1</w:t>
      </w:r>
    </w:p>
    <w:p w14:paraId="69313592" w14:textId="7B3FE2CE" w:rsidR="008E1FF5" w:rsidRDefault="00465A87" w:rsidP="006A37A5">
      <w:r w:rsidRPr="006A37A5">
        <w:t>Table</w:t>
      </w:r>
      <w:r w:rsidRPr="006A37A5">
        <w:rPr>
          <w:spacing w:val="-3"/>
        </w:rPr>
        <w:t xml:space="preserve"> </w:t>
      </w:r>
      <w:r w:rsidRPr="006A37A5">
        <w:t>2.</w:t>
      </w:r>
      <w:r w:rsidR="0005200B" w:rsidRPr="006A37A5">
        <w:t>2</w:t>
      </w:r>
      <w:r w:rsidRPr="006A37A5">
        <w:rPr>
          <w:spacing w:val="-2"/>
        </w:rPr>
        <w:t xml:space="preserve"> </w:t>
      </w:r>
      <w:r w:rsidRPr="006A37A5">
        <w:t>details</w:t>
      </w:r>
      <w:r w:rsidRPr="006A37A5">
        <w:rPr>
          <w:spacing w:val="-2"/>
        </w:rPr>
        <w:t xml:space="preserve"> </w:t>
      </w:r>
      <w:r w:rsidRPr="006A37A5">
        <w:t>the</w:t>
      </w:r>
      <w:r w:rsidRPr="006A37A5">
        <w:rPr>
          <w:spacing w:val="-5"/>
        </w:rPr>
        <w:t xml:space="preserve"> </w:t>
      </w:r>
      <w:r w:rsidRPr="006A37A5">
        <w:t>performance</w:t>
      </w:r>
      <w:r w:rsidRPr="006A37A5">
        <w:rPr>
          <w:spacing w:val="-3"/>
        </w:rPr>
        <w:t xml:space="preserve"> </w:t>
      </w:r>
      <w:r w:rsidRPr="006A37A5">
        <w:t>measures</w:t>
      </w:r>
      <w:r w:rsidRPr="006A37A5">
        <w:rPr>
          <w:spacing w:val="-2"/>
        </w:rPr>
        <w:t xml:space="preserve"> </w:t>
      </w:r>
      <w:r w:rsidRPr="006A37A5">
        <w:t>for</w:t>
      </w:r>
      <w:r w:rsidRPr="006A37A5">
        <w:rPr>
          <w:spacing w:val="-4"/>
        </w:rPr>
        <w:t xml:space="preserve"> </w:t>
      </w:r>
      <w:r w:rsidRPr="006A37A5">
        <w:t>each</w:t>
      </w:r>
      <w:r w:rsidRPr="006A37A5">
        <w:rPr>
          <w:spacing w:val="-5"/>
        </w:rPr>
        <w:t xml:space="preserve"> </w:t>
      </w:r>
      <w:r w:rsidRPr="006A37A5">
        <w:t>program</w:t>
      </w:r>
      <w:r w:rsidRPr="006A37A5">
        <w:rPr>
          <w:spacing w:val="-2"/>
        </w:rPr>
        <w:t xml:space="preserve"> </w:t>
      </w:r>
      <w:r w:rsidRPr="006A37A5">
        <w:t>associated</w:t>
      </w:r>
      <w:r w:rsidRPr="006A37A5">
        <w:rPr>
          <w:spacing w:val="-4"/>
        </w:rPr>
        <w:t xml:space="preserve"> </w:t>
      </w:r>
      <w:r w:rsidRPr="006A37A5">
        <w:t>with</w:t>
      </w:r>
      <w:r w:rsidRPr="006A37A5">
        <w:rPr>
          <w:spacing w:val="-3"/>
        </w:rPr>
        <w:t xml:space="preserve"> </w:t>
      </w:r>
      <w:r w:rsidRPr="006A37A5">
        <w:t>Outcome</w:t>
      </w:r>
      <w:r w:rsidRPr="006A37A5">
        <w:rPr>
          <w:spacing w:val="-3"/>
        </w:rPr>
        <w:t xml:space="preserve"> </w:t>
      </w:r>
      <w:r w:rsidR="002E1280" w:rsidRPr="006A37A5">
        <w:rPr>
          <w:spacing w:val="-3"/>
        </w:rPr>
        <w:t>1</w:t>
      </w:r>
      <w:r w:rsidRPr="006A37A5">
        <w:t xml:space="preserve">. </w:t>
      </w:r>
      <w:r w:rsidR="00267FD1" w:rsidRPr="006A37A5">
        <w:t>It </w:t>
      </w:r>
      <w:r w:rsidRPr="006A37A5">
        <w:t xml:space="preserve">also provides the related key activities as expressed in the current </w:t>
      </w:r>
      <w:r w:rsidR="00764759">
        <w:t>C</w:t>
      </w:r>
      <w:r w:rsidR="00764759" w:rsidRPr="006A37A5">
        <w:t xml:space="preserve">orporate </w:t>
      </w:r>
      <w:r w:rsidR="00764759">
        <w:t>P</w:t>
      </w:r>
      <w:r w:rsidR="00764759" w:rsidRPr="006A37A5">
        <w:t xml:space="preserve">lan </w:t>
      </w:r>
      <w:r w:rsidRPr="006A37A5">
        <w:t>where further detail is provided about the delivery of the activities related to the program, the context in which these activities are delivered and how the performance of these activities will</w:t>
      </w:r>
      <w:r w:rsidRPr="006A37A5">
        <w:rPr>
          <w:spacing w:val="-2"/>
        </w:rPr>
        <w:t xml:space="preserve"> </w:t>
      </w:r>
      <w:r w:rsidRPr="006A37A5">
        <w:t>be</w:t>
      </w:r>
      <w:r w:rsidRPr="006A37A5">
        <w:rPr>
          <w:spacing w:val="-2"/>
        </w:rPr>
        <w:t xml:space="preserve"> </w:t>
      </w:r>
      <w:r w:rsidRPr="006A37A5">
        <w:t>measured.</w:t>
      </w:r>
      <w:r w:rsidRPr="006A37A5">
        <w:rPr>
          <w:spacing w:val="-1"/>
        </w:rPr>
        <w:t xml:space="preserve"> </w:t>
      </w:r>
      <w:r w:rsidRPr="006A37A5">
        <w:t>Where</w:t>
      </w:r>
      <w:r w:rsidRPr="006A37A5">
        <w:rPr>
          <w:spacing w:val="-2"/>
        </w:rPr>
        <w:t xml:space="preserve"> </w:t>
      </w:r>
      <w:r w:rsidRPr="006A37A5">
        <w:t>relevant,</w:t>
      </w:r>
      <w:r w:rsidRPr="006A37A5">
        <w:rPr>
          <w:spacing w:val="-1"/>
        </w:rPr>
        <w:t xml:space="preserve"> </w:t>
      </w:r>
      <w:r w:rsidRPr="006A37A5">
        <w:t>details</w:t>
      </w:r>
      <w:r w:rsidRPr="006A37A5">
        <w:rPr>
          <w:spacing w:val="-1"/>
        </w:rPr>
        <w:t xml:space="preserve"> </w:t>
      </w:r>
      <w:r w:rsidRPr="006A37A5">
        <w:t>of</w:t>
      </w:r>
      <w:r w:rsidRPr="006A37A5">
        <w:rPr>
          <w:spacing w:val="-3"/>
        </w:rPr>
        <w:t xml:space="preserve"> </w:t>
      </w:r>
      <w:r w:rsidRPr="006A37A5">
        <w:t>the</w:t>
      </w:r>
      <w:r w:rsidRPr="006A37A5">
        <w:rPr>
          <w:spacing w:val="-4"/>
        </w:rPr>
        <w:t xml:space="preserve"> </w:t>
      </w:r>
      <w:r w:rsidRPr="006A37A5">
        <w:t>2023</w:t>
      </w:r>
      <w:r w:rsidR="00A83767">
        <w:t>–</w:t>
      </w:r>
      <w:r w:rsidRPr="006A37A5">
        <w:t>24</w:t>
      </w:r>
      <w:r w:rsidRPr="006A37A5">
        <w:rPr>
          <w:spacing w:val="-3"/>
        </w:rPr>
        <w:t xml:space="preserve"> </w:t>
      </w:r>
      <w:r w:rsidRPr="006A37A5">
        <w:t>Budget</w:t>
      </w:r>
      <w:r w:rsidRPr="006A37A5">
        <w:rPr>
          <w:spacing w:val="-1"/>
        </w:rPr>
        <w:t xml:space="preserve"> </w:t>
      </w:r>
      <w:r w:rsidRPr="006A37A5">
        <w:t>measures</w:t>
      </w:r>
      <w:r w:rsidRPr="006A37A5">
        <w:rPr>
          <w:spacing w:val="-1"/>
        </w:rPr>
        <w:t xml:space="preserve"> </w:t>
      </w:r>
      <w:r w:rsidRPr="006A37A5">
        <w:t>that</w:t>
      </w:r>
      <w:r w:rsidRPr="006A37A5">
        <w:rPr>
          <w:spacing w:val="-4"/>
        </w:rPr>
        <w:t xml:space="preserve"> </w:t>
      </w:r>
      <w:r w:rsidRPr="006A37A5">
        <w:t>have</w:t>
      </w:r>
      <w:r w:rsidRPr="006A37A5">
        <w:rPr>
          <w:spacing w:val="-2"/>
        </w:rPr>
        <w:t xml:space="preserve"> </w:t>
      </w:r>
      <w:r w:rsidRPr="006A37A5">
        <w:t xml:space="preserve">created new programs or materially changed existing programs are provided. </w:t>
      </w:r>
    </w:p>
    <w:tbl>
      <w:tblPr>
        <w:tblW w:w="7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3261"/>
        <w:gridCol w:w="3119"/>
      </w:tblGrid>
      <w:tr w:rsidR="008E1FF5" w14:paraId="199E0533" w14:textId="77777777" w:rsidTr="00652F11">
        <w:trPr>
          <w:trHeight w:val="568"/>
        </w:trPr>
        <w:tc>
          <w:tcPr>
            <w:tcW w:w="7655" w:type="dxa"/>
            <w:gridSpan w:val="3"/>
            <w:shd w:val="clear" w:color="auto" w:fill="F2F2F2"/>
            <w:tcMar>
              <w:left w:w="108" w:type="dxa"/>
              <w:right w:w="108" w:type="dxa"/>
            </w:tcMar>
          </w:tcPr>
          <w:p w14:paraId="1FE1198D" w14:textId="550F6978" w:rsidR="008E1FF5" w:rsidRPr="007B714A" w:rsidRDefault="0005200B" w:rsidP="007B714A">
            <w:pPr>
              <w:pStyle w:val="TableColumnHeadingLeft"/>
            </w:pPr>
            <w:r w:rsidRPr="007B714A">
              <w:rPr>
                <w:rStyle w:val="TableHeadingChar"/>
                <w:rFonts w:ascii="Arial Bold" w:eastAsia="Arial" w:hAnsi="Arial Bold"/>
                <w:b/>
                <w:sz w:val="16"/>
              </w:rPr>
              <w:t xml:space="preserve">Outcome 1 – Competition in markets that are dependent on access to nationally significant monopoly infrastructure, through recommendations and decisions promoting the efficient operation </w:t>
            </w:r>
            <w:proofErr w:type="gramStart"/>
            <w:r w:rsidRPr="007B714A">
              <w:rPr>
                <w:rStyle w:val="TableHeadingChar"/>
                <w:rFonts w:ascii="Arial Bold" w:eastAsia="Arial" w:hAnsi="Arial Bold"/>
                <w:b/>
                <w:sz w:val="16"/>
              </w:rPr>
              <w:t>of,</w:t>
            </w:r>
            <w:proofErr w:type="gramEnd"/>
            <w:r w:rsidRPr="007B714A">
              <w:rPr>
                <w:rStyle w:val="TableHeadingChar"/>
                <w:rFonts w:ascii="Arial Bold" w:eastAsia="Arial" w:hAnsi="Arial Bold"/>
                <w:b/>
                <w:sz w:val="16"/>
              </w:rPr>
              <w:t xml:space="preserve"> use of and investment in infrastructure.</w:t>
            </w:r>
          </w:p>
        </w:tc>
      </w:tr>
      <w:tr w:rsidR="008E1FF5" w14:paraId="6BBBDF54" w14:textId="77777777" w:rsidTr="00652F11">
        <w:trPr>
          <w:trHeight w:val="633"/>
        </w:trPr>
        <w:tc>
          <w:tcPr>
            <w:tcW w:w="7655" w:type="dxa"/>
            <w:gridSpan w:val="3"/>
            <w:shd w:val="clear" w:color="auto" w:fill="F2F2F2"/>
            <w:tcMar>
              <w:left w:w="108" w:type="dxa"/>
              <w:right w:w="108" w:type="dxa"/>
            </w:tcMar>
          </w:tcPr>
          <w:p w14:paraId="371CBC61" w14:textId="0BE9B442" w:rsidR="0005200B" w:rsidRPr="0005200B" w:rsidRDefault="0005200B" w:rsidP="007B714A">
            <w:pPr>
              <w:pStyle w:val="TableColumnHeadingLeft"/>
            </w:pPr>
            <w:r w:rsidRPr="0005200B">
              <w:t xml:space="preserve">Program </w:t>
            </w:r>
            <w:r w:rsidR="003F1FB5" w:rsidRPr="0005200B">
              <w:t>1.1</w:t>
            </w:r>
            <w:r w:rsidR="00365CE1" w:rsidRPr="00C41058">
              <w:t>-</w:t>
            </w:r>
            <w:r w:rsidR="003F1FB5" w:rsidRPr="0005200B">
              <w:t xml:space="preserve"> National</w:t>
            </w:r>
            <w:r w:rsidRPr="0005200B">
              <w:t xml:space="preserve"> Competition Council</w:t>
            </w:r>
          </w:p>
          <w:p w14:paraId="71C69E82" w14:textId="7617A540" w:rsidR="008E1FF5" w:rsidRPr="00136D02" w:rsidRDefault="0005200B" w:rsidP="006768A2">
            <w:pPr>
              <w:pStyle w:val="TableTextLeft"/>
              <w:rPr>
                <w:i/>
              </w:rPr>
            </w:pPr>
            <w:r w:rsidRPr="00136D02">
              <w:t>The NCC</w:t>
            </w:r>
            <w:r w:rsidR="009E2237">
              <w:t>’</w:t>
            </w:r>
            <w:r w:rsidRPr="00136D02">
              <w:t xml:space="preserve">s objective is to provide advice to Governments and make decisions on infrastructure access issues that accord with statutory requirements (including time limits) and good regulatory practice and ensuring that advice meets requirements of </w:t>
            </w:r>
            <w:r w:rsidR="003F1FB5" w:rsidRPr="00136D02">
              <w:t>decision</w:t>
            </w:r>
            <w:r w:rsidR="00A83767">
              <w:t>–</w:t>
            </w:r>
            <w:r w:rsidR="003F1FB5" w:rsidRPr="00136D02">
              <w:t>making</w:t>
            </w:r>
            <w:r w:rsidRPr="00136D02">
              <w:t xml:space="preserve"> ministers, such that Australia achieves a consistent approach to access regulation that promotes the efficient operation </w:t>
            </w:r>
            <w:proofErr w:type="gramStart"/>
            <w:r w:rsidRPr="00136D02">
              <w:t>of,</w:t>
            </w:r>
            <w:proofErr w:type="gramEnd"/>
            <w:r w:rsidRPr="00136D02">
              <w:t xml:space="preserve"> use of and investment in infrastructure thereby promoting effective competition.</w:t>
            </w:r>
          </w:p>
        </w:tc>
      </w:tr>
      <w:tr w:rsidR="008E1FF5" w14:paraId="409116D5" w14:textId="77777777" w:rsidTr="00FE24A7">
        <w:trPr>
          <w:trHeight w:val="2082"/>
        </w:trPr>
        <w:tc>
          <w:tcPr>
            <w:tcW w:w="1275" w:type="dxa"/>
            <w:tcMar>
              <w:left w:w="108" w:type="dxa"/>
              <w:right w:w="108" w:type="dxa"/>
            </w:tcMar>
          </w:tcPr>
          <w:p w14:paraId="21738E55" w14:textId="0732D28A" w:rsidR="008E1FF5" w:rsidRDefault="00465A87" w:rsidP="007B714A">
            <w:pPr>
              <w:pStyle w:val="TableColumnHeadingLeft"/>
            </w:pPr>
            <w:r>
              <w:t>Key</w:t>
            </w:r>
            <w:r>
              <w:rPr>
                <w:spacing w:val="-4"/>
              </w:rPr>
              <w:t xml:space="preserve"> </w:t>
            </w:r>
            <w:r>
              <w:t>Activities</w:t>
            </w:r>
          </w:p>
        </w:tc>
        <w:tc>
          <w:tcPr>
            <w:tcW w:w="6380" w:type="dxa"/>
            <w:gridSpan w:val="2"/>
            <w:tcMar>
              <w:left w:w="108" w:type="dxa"/>
              <w:right w:w="108" w:type="dxa"/>
            </w:tcMar>
          </w:tcPr>
          <w:p w14:paraId="1CAA2AD0" w14:textId="5B81E96E" w:rsidR="00136D02" w:rsidRPr="00762FBE" w:rsidRDefault="00136D02" w:rsidP="00FE24A7">
            <w:pPr>
              <w:pStyle w:val="TableTextBase"/>
            </w:pPr>
            <w:r w:rsidRPr="00762FBE">
              <w:t xml:space="preserve">The NCC makes recommendations under the </w:t>
            </w:r>
            <w:r w:rsidRPr="009D41B0">
              <w:t xml:space="preserve">National Access Regime in Part IIIA of the </w:t>
            </w:r>
            <w:r w:rsidR="00C57374" w:rsidRPr="000B3BC5">
              <w:rPr>
                <w:i/>
                <w:iCs/>
              </w:rPr>
              <w:t>Competition and Consumer Act 2010</w:t>
            </w:r>
            <w:r w:rsidR="00EE697A">
              <w:t>.</w:t>
            </w:r>
            <w:r w:rsidRPr="00762FBE">
              <w:t xml:space="preserve"> </w:t>
            </w:r>
          </w:p>
          <w:p w14:paraId="775EBB29" w14:textId="15FED1CE" w:rsidR="00136D02" w:rsidRPr="00762FBE" w:rsidRDefault="00136D02" w:rsidP="00FE24A7">
            <w:pPr>
              <w:pStyle w:val="TableTextBase"/>
            </w:pPr>
            <w:r w:rsidRPr="00762FBE">
              <w:t>The National Access Regime provides for access to the services of monopoly infrastructure facilities on appropriate terms, through the declaration of services. The NCC</w:t>
            </w:r>
            <w:r w:rsidR="009E2237">
              <w:t>’</w:t>
            </w:r>
            <w:r w:rsidRPr="00762FBE">
              <w:t>s role is to make recommendations to relevant ministers in relation to applications for declaration of services and the certification of state or territory access regimes.</w:t>
            </w:r>
          </w:p>
          <w:p w14:paraId="69280D3F" w14:textId="71F60151" w:rsidR="0008409C" w:rsidRPr="00683B05" w:rsidRDefault="00EE697A" w:rsidP="00FE24A7">
            <w:pPr>
              <w:pStyle w:val="TableTextBase"/>
            </w:pPr>
            <w:r>
              <w:t>T</w:t>
            </w:r>
            <w:r w:rsidR="00136D02" w:rsidRPr="0042023F">
              <w:t>he National Access Regime seek</w:t>
            </w:r>
            <w:r>
              <w:t>s</w:t>
            </w:r>
            <w:r w:rsidR="00136D02" w:rsidRPr="0042023F">
              <w:t xml:space="preserve"> to promote the efficient operation of, use of, and investment in significant bottleneck infrastructure, and to promote competition, efficiency and productivity in markets that depend on the use of services provided by significant bottleneck infrastructure facilities.</w:t>
            </w:r>
          </w:p>
        </w:tc>
      </w:tr>
      <w:tr w:rsidR="00943D5C" w:rsidRPr="001C6402" w14:paraId="2D5140F0" w14:textId="77777777" w:rsidTr="00274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8"/>
        </w:trPr>
        <w:tc>
          <w:tcPr>
            <w:tcW w:w="1275" w:type="dxa"/>
            <w:tcBorders>
              <w:top w:val="double" w:sz="4" w:space="0" w:color="auto"/>
              <w:bottom w:val="single" w:sz="4" w:space="0" w:color="auto"/>
              <w:right w:val="single" w:sz="4" w:space="0" w:color="auto"/>
            </w:tcBorders>
            <w:tcMar>
              <w:left w:w="108" w:type="dxa"/>
              <w:right w:w="108" w:type="dxa"/>
            </w:tcMar>
          </w:tcPr>
          <w:p w14:paraId="3588B424" w14:textId="77777777" w:rsidR="00943D5C" w:rsidRPr="0056332D" w:rsidRDefault="00943D5C" w:rsidP="0056332D">
            <w:pPr>
              <w:pStyle w:val="TableColumnHeadingLeft"/>
            </w:pPr>
            <w:r w:rsidRPr="0056332D">
              <w:t>Year</w:t>
            </w:r>
          </w:p>
        </w:tc>
        <w:tc>
          <w:tcPr>
            <w:tcW w:w="3261" w:type="dxa"/>
            <w:tcBorders>
              <w:top w:val="double" w:sz="4" w:space="0" w:color="auto"/>
              <w:left w:val="single" w:sz="4" w:space="0" w:color="auto"/>
              <w:bottom w:val="single" w:sz="4" w:space="0" w:color="auto"/>
              <w:right w:val="single" w:sz="4" w:space="0" w:color="auto"/>
            </w:tcBorders>
            <w:tcMar>
              <w:left w:w="108" w:type="dxa"/>
              <w:right w:w="108" w:type="dxa"/>
            </w:tcMar>
          </w:tcPr>
          <w:p w14:paraId="58738B3D" w14:textId="77777777" w:rsidR="00943D5C" w:rsidRPr="0056332D" w:rsidRDefault="00943D5C" w:rsidP="0056332D">
            <w:pPr>
              <w:pStyle w:val="TableColumnHeadingLeft"/>
            </w:pPr>
            <w:r w:rsidRPr="0056332D">
              <w:t>Performance measures</w:t>
            </w:r>
          </w:p>
        </w:tc>
        <w:tc>
          <w:tcPr>
            <w:tcW w:w="3119" w:type="dxa"/>
            <w:tcBorders>
              <w:top w:val="double" w:sz="4" w:space="0" w:color="auto"/>
              <w:left w:val="single" w:sz="4" w:space="0" w:color="auto"/>
              <w:bottom w:val="single" w:sz="4" w:space="0" w:color="auto"/>
            </w:tcBorders>
            <w:tcMar>
              <w:left w:w="108" w:type="dxa"/>
              <w:right w:w="108" w:type="dxa"/>
            </w:tcMar>
          </w:tcPr>
          <w:p w14:paraId="63B18BE8" w14:textId="6AA6E2EC" w:rsidR="00943D5C" w:rsidRPr="0056332D" w:rsidRDefault="00943D5C" w:rsidP="0056332D">
            <w:pPr>
              <w:pStyle w:val="TableColumnHeadingLeft"/>
            </w:pPr>
            <w:r w:rsidRPr="0056332D">
              <w:t xml:space="preserve">Expected </w:t>
            </w:r>
            <w:r w:rsidR="008E3729">
              <w:t>p</w:t>
            </w:r>
            <w:r w:rsidRPr="0056332D">
              <w:t xml:space="preserve">erformance </w:t>
            </w:r>
            <w:r w:rsidR="008E3729">
              <w:t>r</w:t>
            </w:r>
            <w:r w:rsidRPr="0056332D">
              <w:t>esults</w:t>
            </w:r>
          </w:p>
        </w:tc>
      </w:tr>
      <w:tr w:rsidR="00055254" w:rsidRPr="001C7E7C" w14:paraId="543111F1" w14:textId="77777777" w:rsidTr="00A9330A">
        <w:trPr>
          <w:trHeight w:val="793"/>
        </w:trPr>
        <w:tc>
          <w:tcPr>
            <w:tcW w:w="1275" w:type="dxa"/>
            <w:vMerge w:val="restart"/>
            <w:tcBorders>
              <w:top w:val="single" w:sz="4" w:space="0" w:color="auto"/>
              <w:left w:val="single" w:sz="4" w:space="0" w:color="auto"/>
              <w:right w:val="single" w:sz="4" w:space="0" w:color="auto"/>
            </w:tcBorders>
            <w:tcMar>
              <w:left w:w="108" w:type="dxa"/>
              <w:right w:w="108" w:type="dxa"/>
            </w:tcMar>
          </w:tcPr>
          <w:p w14:paraId="4E62529C" w14:textId="39E60539" w:rsidR="00055254" w:rsidRPr="0056332D" w:rsidRDefault="00055254" w:rsidP="006768A2">
            <w:pPr>
              <w:pStyle w:val="TableTextLeft"/>
            </w:pPr>
            <w:bookmarkStart w:id="19" w:name="_Hlk132627733"/>
            <w:r w:rsidRPr="0056332D">
              <w:t>Current year</w:t>
            </w:r>
          </w:p>
          <w:p w14:paraId="2ACC82CB" w14:textId="321FCD65" w:rsidR="00055254" w:rsidRDefault="00055254" w:rsidP="006768A2">
            <w:pPr>
              <w:pStyle w:val="TableTextLeft"/>
            </w:pPr>
            <w:r w:rsidRPr="0056332D">
              <w:t>2022–23</w:t>
            </w: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3586BEE2" w14:textId="7A829256" w:rsidR="00055254" w:rsidRPr="001C7E7C" w:rsidRDefault="00055254" w:rsidP="006768A2">
            <w:pPr>
              <w:pStyle w:val="TableTextLeft"/>
              <w:rPr>
                <w:i/>
              </w:rPr>
            </w:pPr>
            <w:r w:rsidRPr="006274DD">
              <w:t xml:space="preserve">Recommendations on declaration applications are made within statutory time limits (consideration period of 180 days, subject to </w:t>
            </w:r>
            <w:r>
              <w:t>‘</w:t>
            </w:r>
            <w:r w:rsidRPr="006274DD">
              <w:t>clock stopping</w:t>
            </w:r>
            <w:r>
              <w:t>’</w:t>
            </w:r>
            <w:r w:rsidRPr="006274DD">
              <w:t xml:space="preserve"> provisions) and meet advice requirements of Ministers.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3A57C519" w14:textId="44A42B74" w:rsidR="00055254" w:rsidRPr="006768A2" w:rsidRDefault="00055254" w:rsidP="006768A2">
            <w:pPr>
              <w:pStyle w:val="TableTextLeft"/>
              <w:rPr>
                <w:i/>
                <w:color w:val="0070C0"/>
              </w:rPr>
            </w:pPr>
            <w:r w:rsidRPr="001E6BF0">
              <w:t>The Council did not consider any declaration applications in 202</w:t>
            </w:r>
            <w:r>
              <w:t>2–</w:t>
            </w:r>
            <w:r w:rsidRPr="001E6BF0">
              <w:t>2</w:t>
            </w:r>
            <w:r>
              <w:t>3</w:t>
            </w:r>
            <w:r w:rsidRPr="001E6BF0">
              <w:t xml:space="preserve"> and therefore was not required to make any recommendations.</w:t>
            </w:r>
          </w:p>
        </w:tc>
      </w:tr>
      <w:tr w:rsidR="00055254" w:rsidRPr="001C7E7C" w14:paraId="6E1E5C93" w14:textId="77777777" w:rsidTr="00A9330A">
        <w:trPr>
          <w:trHeight w:val="793"/>
        </w:trPr>
        <w:tc>
          <w:tcPr>
            <w:tcW w:w="1275" w:type="dxa"/>
            <w:vMerge/>
            <w:tcBorders>
              <w:left w:val="single" w:sz="4" w:space="0" w:color="auto"/>
              <w:right w:val="single" w:sz="4" w:space="0" w:color="auto"/>
            </w:tcBorders>
            <w:tcMar>
              <w:left w:w="108" w:type="dxa"/>
              <w:right w:w="108" w:type="dxa"/>
            </w:tcMar>
          </w:tcPr>
          <w:p w14:paraId="2F1BB72E" w14:textId="77777777" w:rsidR="00055254" w:rsidRDefault="00055254" w:rsidP="001B7642">
            <w:pPr>
              <w:pStyle w:val="TableParagraph"/>
              <w:spacing w:before="20"/>
              <w:ind w:left="107"/>
              <w:rPr>
                <w:sz w:val="16"/>
              </w:rPr>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554F34C1" w14:textId="71D19803" w:rsidR="00055254" w:rsidRPr="006274DD" w:rsidRDefault="00055254" w:rsidP="006768A2">
            <w:pPr>
              <w:pStyle w:val="TableTextLeft"/>
            </w:pPr>
            <w:r w:rsidRPr="006274DD">
              <w:t xml:space="preserve">Recommendations on certification applications are made within statutory time limits (consideration period of 180 days, subject to </w:t>
            </w:r>
            <w:r>
              <w:t>‘</w:t>
            </w:r>
            <w:r w:rsidRPr="006274DD">
              <w:t>clock stopping</w:t>
            </w:r>
            <w:r>
              <w:t>’</w:t>
            </w:r>
            <w:r w:rsidRPr="006274DD">
              <w:t xml:space="preserve"> provisions) and meet advice requirements of Ministers.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5AA7B02C" w14:textId="029DF715" w:rsidR="00055254" w:rsidRPr="001E6BF0" w:rsidRDefault="00055254" w:rsidP="006768A2">
            <w:pPr>
              <w:pStyle w:val="TableTextLeft"/>
            </w:pPr>
            <w:r>
              <w:rPr>
                <w:lang w:val="en-US"/>
              </w:rPr>
              <w:t>The Council did not consider any</w:t>
            </w:r>
            <w:r>
              <w:t> certification applications and therefore was not required to make any recommendations.</w:t>
            </w:r>
          </w:p>
        </w:tc>
      </w:tr>
      <w:tr w:rsidR="00055254" w:rsidRPr="001C7E7C" w14:paraId="0A889A9A" w14:textId="77777777" w:rsidTr="00A9330A">
        <w:trPr>
          <w:trHeight w:val="793"/>
        </w:trPr>
        <w:tc>
          <w:tcPr>
            <w:tcW w:w="1275" w:type="dxa"/>
            <w:vMerge/>
            <w:tcBorders>
              <w:left w:val="single" w:sz="4" w:space="0" w:color="auto"/>
              <w:right w:val="single" w:sz="4" w:space="0" w:color="auto"/>
            </w:tcBorders>
            <w:tcMar>
              <w:left w:w="108" w:type="dxa"/>
              <w:right w:w="108" w:type="dxa"/>
            </w:tcMar>
          </w:tcPr>
          <w:p w14:paraId="370BC52D" w14:textId="77777777" w:rsidR="00055254" w:rsidRDefault="00055254" w:rsidP="001B7642">
            <w:pPr>
              <w:pStyle w:val="TableParagraph"/>
              <w:spacing w:before="20"/>
              <w:ind w:left="107"/>
              <w:rPr>
                <w:sz w:val="16"/>
              </w:rPr>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59981807" w14:textId="0A236612" w:rsidR="00055254" w:rsidRPr="006274DD" w:rsidRDefault="00055254" w:rsidP="006768A2">
            <w:pPr>
              <w:pStyle w:val="TableTextLeft"/>
            </w:pPr>
            <w:r w:rsidRPr="006274DD">
              <w:t xml:space="preserve">Recommendations and decisions under the </w:t>
            </w:r>
            <w:r>
              <w:t>National Gas Law</w:t>
            </w:r>
            <w:r w:rsidRPr="006274DD">
              <w:t xml:space="preserve"> made within specified time limits and recommendations under the NGL meet the advice requirements of Ministers.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3ADEA5BA" w14:textId="0B0F7524" w:rsidR="00055254" w:rsidRDefault="00055254" w:rsidP="006768A2">
            <w:pPr>
              <w:pStyle w:val="TableTextLeft"/>
              <w:rPr>
                <w:lang w:val="en-US"/>
              </w:rPr>
            </w:pPr>
            <w:r w:rsidRPr="00886CAC">
              <w:t xml:space="preserve">The Council did not consider any matters under the </w:t>
            </w:r>
            <w:r>
              <w:t>National Gas Law</w:t>
            </w:r>
            <w:r w:rsidRPr="00886CAC">
              <w:t xml:space="preserve"> during 202</w:t>
            </w:r>
            <w:r>
              <w:t>2–</w:t>
            </w:r>
            <w:r w:rsidRPr="00886CAC">
              <w:t>2</w:t>
            </w:r>
            <w:r>
              <w:t>3</w:t>
            </w:r>
            <w:r w:rsidRPr="00886CAC">
              <w:t xml:space="preserve"> and was therefore not required to make any recommendations or decisions.</w:t>
            </w:r>
          </w:p>
        </w:tc>
      </w:tr>
      <w:tr w:rsidR="00055254" w:rsidRPr="001C7E7C" w14:paraId="03DB9B3E" w14:textId="77777777" w:rsidTr="00A9330A">
        <w:trPr>
          <w:trHeight w:val="793"/>
        </w:trPr>
        <w:tc>
          <w:tcPr>
            <w:tcW w:w="1275" w:type="dxa"/>
            <w:vMerge/>
            <w:tcBorders>
              <w:left w:val="single" w:sz="4" w:space="0" w:color="auto"/>
              <w:bottom w:val="single" w:sz="4" w:space="0" w:color="auto"/>
              <w:right w:val="single" w:sz="4" w:space="0" w:color="auto"/>
            </w:tcBorders>
            <w:tcMar>
              <w:left w:w="108" w:type="dxa"/>
              <w:right w:w="108" w:type="dxa"/>
            </w:tcMar>
          </w:tcPr>
          <w:p w14:paraId="2C32C8C4" w14:textId="77777777" w:rsidR="00055254" w:rsidRDefault="00055254" w:rsidP="001B7642">
            <w:pPr>
              <w:pStyle w:val="TableParagraph"/>
              <w:spacing w:before="20"/>
              <w:ind w:left="107"/>
              <w:rPr>
                <w:sz w:val="16"/>
              </w:rPr>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334CD0C9" w14:textId="03635A6A" w:rsidR="00055254" w:rsidRPr="006274DD" w:rsidRDefault="00055254" w:rsidP="006768A2">
            <w:pPr>
              <w:pStyle w:val="TableTextLeft"/>
            </w:pPr>
            <w:r w:rsidRPr="00574366">
              <w:t>Accessible information on all access regulation matters for which the NCC is responsible is provided on the NCC website.</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24F270BC" w14:textId="0C27B4DB" w:rsidR="00055254" w:rsidRPr="00886CAC" w:rsidRDefault="00055254" w:rsidP="006768A2">
            <w:pPr>
              <w:pStyle w:val="TableTextLeft"/>
            </w:pPr>
            <w:r w:rsidRPr="00CC3F7E">
              <w:t>The Council</w:t>
            </w:r>
            <w:r>
              <w:t xml:space="preserve"> </w:t>
            </w:r>
            <w:r w:rsidRPr="00CC3F7E">
              <w:t>website is up to date and contains accessible information on all access regulation matters for which the Council is responsible.</w:t>
            </w:r>
          </w:p>
        </w:tc>
      </w:tr>
      <w:bookmarkEnd w:id="19"/>
    </w:tbl>
    <w:p w14:paraId="7DBC5B5A" w14:textId="77777777" w:rsidR="00683B05" w:rsidRDefault="00683B05">
      <w:pPr>
        <w:rPr>
          <w:sz w:val="16"/>
        </w:rPr>
      </w:pPr>
      <w:r>
        <w:rPr>
          <w:sz w:val="16"/>
        </w:rPr>
        <w:br w:type="page"/>
      </w:r>
    </w:p>
    <w:p w14:paraId="6F0094D2" w14:textId="7ECBD307" w:rsidR="00D96752" w:rsidRDefault="00D96752" w:rsidP="006768A2">
      <w:pPr>
        <w:pStyle w:val="TableHeadingcontinued"/>
        <w:rPr>
          <w:sz w:val="16"/>
        </w:rPr>
      </w:pPr>
      <w:r w:rsidRPr="00D96752">
        <w:lastRenderedPageBreak/>
        <w:t>Table 2.2: Performance measure for Outcome 1 (continued)</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261"/>
        <w:gridCol w:w="3119"/>
      </w:tblGrid>
      <w:tr w:rsidR="007F17B4" w:rsidRPr="001C6402" w14:paraId="6E83597E" w14:textId="77777777" w:rsidTr="006860AD">
        <w:trPr>
          <w:trHeight w:val="258"/>
        </w:trPr>
        <w:tc>
          <w:tcPr>
            <w:tcW w:w="1275" w:type="dxa"/>
            <w:tcBorders>
              <w:top w:val="single" w:sz="4" w:space="0" w:color="auto"/>
              <w:bottom w:val="single" w:sz="4" w:space="0" w:color="auto"/>
              <w:right w:val="single" w:sz="4" w:space="0" w:color="auto"/>
            </w:tcBorders>
            <w:tcMar>
              <w:left w:w="108" w:type="dxa"/>
              <w:right w:w="108" w:type="dxa"/>
            </w:tcMar>
          </w:tcPr>
          <w:p w14:paraId="761669D7" w14:textId="77777777" w:rsidR="007F17B4" w:rsidRPr="00160C23" w:rsidRDefault="007F17B4" w:rsidP="001B7642">
            <w:pPr>
              <w:pStyle w:val="TableColumnHeadingLeft"/>
            </w:pPr>
            <w:r w:rsidRPr="00160C23">
              <w:t>Year</w:t>
            </w: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54E751FE" w14:textId="77777777" w:rsidR="007F17B4" w:rsidRPr="00306D07" w:rsidRDefault="007F17B4" w:rsidP="00306D07">
            <w:pPr>
              <w:pStyle w:val="TableColumnHeadingLeft"/>
            </w:pPr>
            <w:r w:rsidRPr="00306D07">
              <w:t>Performance measures</w:t>
            </w:r>
          </w:p>
        </w:tc>
        <w:tc>
          <w:tcPr>
            <w:tcW w:w="3119" w:type="dxa"/>
            <w:tcBorders>
              <w:top w:val="single" w:sz="4" w:space="0" w:color="auto"/>
              <w:left w:val="single" w:sz="4" w:space="0" w:color="auto"/>
              <w:bottom w:val="single" w:sz="4" w:space="0" w:color="auto"/>
            </w:tcBorders>
            <w:tcMar>
              <w:left w:w="108" w:type="dxa"/>
              <w:right w:w="108" w:type="dxa"/>
            </w:tcMar>
          </w:tcPr>
          <w:p w14:paraId="49417070" w14:textId="091E93AF" w:rsidR="007F17B4" w:rsidRPr="00306D07" w:rsidRDefault="007F17B4" w:rsidP="00306D07">
            <w:pPr>
              <w:pStyle w:val="TableColumnHeadingLeft"/>
            </w:pPr>
            <w:r w:rsidRPr="00306D07">
              <w:t xml:space="preserve">Expected </w:t>
            </w:r>
            <w:r w:rsidR="008E3729">
              <w:t>p</w:t>
            </w:r>
            <w:r w:rsidRPr="00306D07">
              <w:t xml:space="preserve">erformance </w:t>
            </w:r>
            <w:r w:rsidR="008E3729">
              <w:t>r</w:t>
            </w:r>
            <w:r w:rsidRPr="00306D07">
              <w:t>esults</w:t>
            </w:r>
          </w:p>
        </w:tc>
      </w:tr>
      <w:tr w:rsidR="004C59D7" w14:paraId="42B39D5D" w14:textId="77777777" w:rsidTr="004C59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276"/>
        </w:trPr>
        <w:tc>
          <w:tcPr>
            <w:tcW w:w="1275" w:type="dxa"/>
            <w:vMerge w:val="restart"/>
            <w:tcMar>
              <w:left w:w="108" w:type="dxa"/>
              <w:right w:w="108" w:type="dxa"/>
            </w:tcMar>
          </w:tcPr>
          <w:p w14:paraId="69EE5179" w14:textId="77777777" w:rsidR="004C59D7" w:rsidRDefault="004C59D7" w:rsidP="006768A2">
            <w:pPr>
              <w:pStyle w:val="TableTextLeft"/>
            </w:pPr>
            <w:r>
              <w:t>Current</w:t>
            </w:r>
            <w:r>
              <w:rPr>
                <w:spacing w:val="-2"/>
              </w:rPr>
              <w:t xml:space="preserve"> </w:t>
            </w:r>
            <w:r>
              <w:rPr>
                <w:spacing w:val="-4"/>
              </w:rPr>
              <w:t>year</w:t>
            </w:r>
          </w:p>
          <w:p w14:paraId="487EE5DD" w14:textId="76B86D97" w:rsidR="004C59D7" w:rsidRDefault="004C59D7" w:rsidP="006768A2">
            <w:pPr>
              <w:pStyle w:val="TableTextLeft"/>
            </w:pPr>
            <w:r>
              <w:rPr>
                <w:spacing w:val="-2"/>
              </w:rPr>
              <w:t>2022–</w:t>
            </w:r>
            <w:r>
              <w:rPr>
                <w:spacing w:val="-5"/>
              </w:rPr>
              <w:t>23</w:t>
            </w:r>
          </w:p>
        </w:tc>
        <w:tc>
          <w:tcPr>
            <w:tcW w:w="3261" w:type="dxa"/>
            <w:tcMar>
              <w:left w:w="108" w:type="dxa"/>
              <w:right w:w="108" w:type="dxa"/>
            </w:tcMar>
          </w:tcPr>
          <w:p w14:paraId="474533D7" w14:textId="73E4E76C" w:rsidR="004C59D7" w:rsidRPr="00072634" w:rsidRDefault="004C59D7" w:rsidP="006768A2">
            <w:pPr>
              <w:pStyle w:val="TableTextLeft"/>
            </w:pPr>
            <w:r w:rsidRPr="00072634">
              <w:t>Up to date and informative guidelines on all the NCC</w:t>
            </w:r>
            <w:r w:rsidR="009E2237">
              <w:t>’</w:t>
            </w:r>
            <w:r w:rsidRPr="00072634">
              <w:t>s areas of responsibility are maintained on the NCC website.</w:t>
            </w:r>
          </w:p>
        </w:tc>
        <w:tc>
          <w:tcPr>
            <w:tcW w:w="3119" w:type="dxa"/>
            <w:tcMar>
              <w:left w:w="108" w:type="dxa"/>
              <w:right w:w="108" w:type="dxa"/>
            </w:tcMar>
          </w:tcPr>
          <w:p w14:paraId="44E28FCE" w14:textId="2057C80A" w:rsidR="004C59D7" w:rsidRPr="00072634" w:rsidRDefault="004C59D7" w:rsidP="006768A2">
            <w:pPr>
              <w:pStyle w:val="TableTextLeft"/>
            </w:pPr>
            <w:r w:rsidRPr="00072634">
              <w:t xml:space="preserve">Guides to declaration and certification under the </w:t>
            </w:r>
            <w:r>
              <w:t>National Access Regime</w:t>
            </w:r>
            <w:r w:rsidRPr="00072634">
              <w:t xml:space="preserve"> are up to date. Information on the NCC</w:t>
            </w:r>
            <w:r w:rsidR="009E2237">
              <w:t>’</w:t>
            </w:r>
            <w:r w:rsidRPr="00072634">
              <w:t xml:space="preserve">s areas of responsibility </w:t>
            </w:r>
            <w:proofErr w:type="gramStart"/>
            <w:r w:rsidRPr="00072634">
              <w:t>are</w:t>
            </w:r>
            <w:proofErr w:type="gramEnd"/>
            <w:r w:rsidRPr="00072634">
              <w:t xml:space="preserve"> currently being updated to reflect changes to the National Gas Law in March 2023. </w:t>
            </w:r>
          </w:p>
        </w:tc>
      </w:tr>
      <w:tr w:rsidR="00FA4F9F" w14:paraId="1B196968" w14:textId="77777777" w:rsidTr="001B76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66"/>
        </w:trPr>
        <w:tc>
          <w:tcPr>
            <w:tcW w:w="1275" w:type="dxa"/>
            <w:vMerge/>
            <w:tcMar>
              <w:left w:w="108" w:type="dxa"/>
              <w:right w:w="108" w:type="dxa"/>
            </w:tcMar>
          </w:tcPr>
          <w:p w14:paraId="56782300" w14:textId="77777777" w:rsidR="00FA4F9F" w:rsidRDefault="00FA4F9F" w:rsidP="006768A2">
            <w:pPr>
              <w:pStyle w:val="TableTextLeft"/>
              <w:rPr>
                <w:spacing w:val="-4"/>
              </w:rPr>
            </w:pPr>
          </w:p>
        </w:tc>
        <w:tc>
          <w:tcPr>
            <w:tcW w:w="3261" w:type="dxa"/>
            <w:tcBorders>
              <w:bottom w:val="single" w:sz="4" w:space="0" w:color="000000"/>
            </w:tcBorders>
            <w:tcMar>
              <w:left w:w="108" w:type="dxa"/>
              <w:right w:w="108" w:type="dxa"/>
            </w:tcMar>
          </w:tcPr>
          <w:p w14:paraId="59E39316" w14:textId="08976909" w:rsidR="00FA4F9F" w:rsidRPr="00072634" w:rsidRDefault="00274F87" w:rsidP="006768A2">
            <w:pPr>
              <w:pStyle w:val="TableTextLeft"/>
            </w:pPr>
            <w:r w:rsidRPr="00072634">
              <w:t xml:space="preserve">Case law developments, legislative </w:t>
            </w:r>
            <w:proofErr w:type="gramStart"/>
            <w:r w:rsidRPr="00072634">
              <w:t>amendments</w:t>
            </w:r>
            <w:proofErr w:type="gramEnd"/>
            <w:r w:rsidRPr="00072634">
              <w:t xml:space="preserve"> and developments in the NCC</w:t>
            </w:r>
            <w:r w:rsidR="009E2237">
              <w:t>’</w:t>
            </w:r>
            <w:r w:rsidRPr="00072634">
              <w:t>s processes or policies are reflected in the NCC</w:t>
            </w:r>
            <w:r w:rsidR="009E2237">
              <w:t>’</w:t>
            </w:r>
            <w:r w:rsidRPr="00072634">
              <w:t>s information resources within 30 days.</w:t>
            </w:r>
          </w:p>
        </w:tc>
        <w:tc>
          <w:tcPr>
            <w:tcW w:w="3119" w:type="dxa"/>
            <w:tcBorders>
              <w:bottom w:val="single" w:sz="4" w:space="0" w:color="000000"/>
            </w:tcBorders>
            <w:tcMar>
              <w:left w:w="108" w:type="dxa"/>
              <w:right w:w="108" w:type="dxa"/>
            </w:tcMar>
          </w:tcPr>
          <w:p w14:paraId="0A8E95E7" w14:textId="618F53C9" w:rsidR="00FA4F9F" w:rsidRPr="00072634" w:rsidRDefault="00274F87" w:rsidP="006768A2">
            <w:pPr>
              <w:pStyle w:val="TableTextLeft"/>
            </w:pPr>
            <w:r w:rsidRPr="00072634">
              <w:t>There were no case law developments, legislative amendments or changes in the Council</w:t>
            </w:r>
            <w:r w:rsidR="009E2237">
              <w:t>’</w:t>
            </w:r>
            <w:r w:rsidRPr="00072634">
              <w:t>s processes or policies during the reporting year.</w:t>
            </w:r>
          </w:p>
        </w:tc>
      </w:tr>
      <w:tr w:rsidR="00FA4F9F" w14:paraId="1CEFE9E0" w14:textId="77777777" w:rsidTr="00EA69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66"/>
        </w:trPr>
        <w:tc>
          <w:tcPr>
            <w:tcW w:w="1275" w:type="dxa"/>
            <w:vMerge/>
            <w:tcBorders>
              <w:bottom w:val="single" w:sz="4" w:space="0" w:color="auto"/>
            </w:tcBorders>
            <w:tcMar>
              <w:left w:w="108" w:type="dxa"/>
              <w:right w:w="108" w:type="dxa"/>
            </w:tcMar>
          </w:tcPr>
          <w:p w14:paraId="4E7F074D" w14:textId="77777777" w:rsidR="00FA4F9F" w:rsidRDefault="00FA4F9F" w:rsidP="006768A2">
            <w:pPr>
              <w:pStyle w:val="TableTextLeft"/>
              <w:rPr>
                <w:spacing w:val="-4"/>
              </w:rPr>
            </w:pPr>
          </w:p>
        </w:tc>
        <w:tc>
          <w:tcPr>
            <w:tcW w:w="3261" w:type="dxa"/>
            <w:tcBorders>
              <w:bottom w:val="single" w:sz="4" w:space="0" w:color="auto"/>
            </w:tcBorders>
            <w:tcMar>
              <w:left w:w="108" w:type="dxa"/>
              <w:right w:w="108" w:type="dxa"/>
            </w:tcMar>
          </w:tcPr>
          <w:p w14:paraId="7A47F5ED" w14:textId="751463A2" w:rsidR="00FA4F9F" w:rsidRPr="00072634" w:rsidRDefault="00274F87" w:rsidP="006768A2">
            <w:pPr>
              <w:pStyle w:val="TableTextLeft"/>
            </w:pPr>
            <w:r w:rsidRPr="00072634">
              <w:t>The NCC</w:t>
            </w:r>
            <w:r w:rsidR="009E2237">
              <w:t>’</w:t>
            </w:r>
            <w:r w:rsidRPr="00072634">
              <w:t>s annual report to the Parliament includes a comprehensive report that meets the requirements of s29O of the CCA and is provided within the timeframe required by the PGPA Act</w:t>
            </w:r>
            <w:r w:rsidR="00DA65FE">
              <w:t xml:space="preserve"> 2013</w:t>
            </w:r>
            <w:r w:rsidRPr="00072634">
              <w:t xml:space="preserve"> (</w:t>
            </w:r>
            <w:r w:rsidR="00E04F82">
              <w:t>for example</w:t>
            </w:r>
            <w:r w:rsidR="00900FB1">
              <w:t>,</w:t>
            </w:r>
            <w:r w:rsidRPr="00072634">
              <w:t xml:space="preserve"> by the 15th day of the fourth month after the end of the reporting period).</w:t>
            </w:r>
          </w:p>
        </w:tc>
        <w:tc>
          <w:tcPr>
            <w:tcW w:w="3119" w:type="dxa"/>
            <w:tcBorders>
              <w:bottom w:val="single" w:sz="4" w:space="0" w:color="auto"/>
            </w:tcBorders>
            <w:tcMar>
              <w:left w:w="108" w:type="dxa"/>
              <w:right w:w="108" w:type="dxa"/>
            </w:tcMar>
          </w:tcPr>
          <w:p w14:paraId="35B286F3" w14:textId="0B2C8B9E" w:rsidR="00FA4F9F" w:rsidRPr="00072634" w:rsidRDefault="00274F87" w:rsidP="006768A2">
            <w:pPr>
              <w:pStyle w:val="TableTextLeft"/>
            </w:pPr>
            <w:r w:rsidRPr="00072634">
              <w:t>The Council</w:t>
            </w:r>
            <w:r w:rsidR="009E2237">
              <w:t>’</w:t>
            </w:r>
            <w:r w:rsidRPr="00072634">
              <w:t>s 2021</w:t>
            </w:r>
            <w:r>
              <w:t>–</w:t>
            </w:r>
            <w:r w:rsidRPr="00072634">
              <w:t>22 Annual Report was provided to the Treasurer within the timeframe required by the PGPA Act</w:t>
            </w:r>
            <w:r w:rsidR="00DA65FE">
              <w:t xml:space="preserve"> 2013</w:t>
            </w:r>
            <w:r w:rsidRPr="00072634">
              <w:t>. The Annual Report met the requirements of s29O of the CCA.</w:t>
            </w:r>
          </w:p>
        </w:tc>
      </w:tr>
      <w:tr w:rsidR="00BA74A2" w:rsidRPr="001B492F" w14:paraId="3A8E3C3A" w14:textId="77777777" w:rsidTr="001B76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val="restart"/>
            <w:tcBorders>
              <w:top w:val="single" w:sz="4" w:space="0" w:color="auto"/>
              <w:left w:val="single" w:sz="4" w:space="0" w:color="auto"/>
              <w:right w:val="single" w:sz="4" w:space="0" w:color="auto"/>
            </w:tcBorders>
            <w:tcMar>
              <w:left w:w="108" w:type="dxa"/>
              <w:right w:w="108" w:type="dxa"/>
            </w:tcMar>
          </w:tcPr>
          <w:p w14:paraId="5941CC43" w14:textId="02C386A5" w:rsidR="00BA74A2" w:rsidRDefault="00BA74A2" w:rsidP="006768A2">
            <w:pPr>
              <w:pStyle w:val="TableTextLeft"/>
            </w:pPr>
            <w:r>
              <w:t>Budget</w:t>
            </w:r>
            <w:r w:rsidRPr="001C4DE5">
              <w:t xml:space="preserve"> Y</w:t>
            </w:r>
            <w:r>
              <w:t xml:space="preserve">ear </w:t>
            </w:r>
          </w:p>
          <w:p w14:paraId="36F45A31" w14:textId="635F9BD6" w:rsidR="00BA74A2" w:rsidRPr="001C4DE5" w:rsidRDefault="00BA74A2" w:rsidP="006768A2">
            <w:pPr>
              <w:pStyle w:val="TableTextLeft"/>
            </w:pPr>
            <w:r w:rsidRPr="001C4DE5">
              <w:t>2023</w:t>
            </w:r>
            <w:r>
              <w:t>–</w:t>
            </w:r>
            <w:r w:rsidRPr="001C4DE5">
              <w:t>24</w:t>
            </w:r>
          </w:p>
          <w:p w14:paraId="23F3AE69" w14:textId="43EAAEBA" w:rsidR="00BA74A2" w:rsidRDefault="00BA74A2" w:rsidP="001B7642">
            <w:pPr>
              <w:pStyle w:val="TableTextLeft"/>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40399990" w14:textId="6C87D711" w:rsidR="00BA74A2" w:rsidRPr="00566EAF" w:rsidRDefault="00BA74A2" w:rsidP="006768A2">
            <w:pPr>
              <w:pStyle w:val="TableTextLeft"/>
            </w:pPr>
            <w:r w:rsidRPr="006274DD">
              <w:t xml:space="preserve">Recommendations on declaration applications are made within statutory time limits (consideration period of 180 days, subject to </w:t>
            </w:r>
            <w:r>
              <w:t>‘</w:t>
            </w:r>
            <w:r w:rsidRPr="006274DD">
              <w:t>clock stopping</w:t>
            </w:r>
            <w:r>
              <w:t>’</w:t>
            </w:r>
            <w:r w:rsidRPr="006274DD">
              <w:t xml:space="preserve"> provisions) and meet advice requirements of Ministers.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58B1DD93" w14:textId="5664B82B" w:rsidR="00BA74A2" w:rsidRPr="006768A2" w:rsidRDefault="00BA74A2" w:rsidP="006768A2">
            <w:pPr>
              <w:pStyle w:val="TableTextLeft"/>
            </w:pPr>
            <w:r w:rsidRPr="006274DD">
              <w:t xml:space="preserve">All </w:t>
            </w:r>
            <w:r w:rsidRPr="008A181B">
              <w:t>recommendations are forecast to be made within the statutory time limits.</w:t>
            </w:r>
          </w:p>
        </w:tc>
      </w:tr>
      <w:tr w:rsidR="00BA74A2" w:rsidRPr="001B492F" w14:paraId="662F35D8" w14:textId="77777777" w:rsidTr="001B76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tcBorders>
              <w:left w:val="single" w:sz="4" w:space="0" w:color="auto"/>
              <w:right w:val="single" w:sz="4" w:space="0" w:color="auto"/>
            </w:tcBorders>
            <w:tcMar>
              <w:left w:w="108" w:type="dxa"/>
              <w:right w:w="108" w:type="dxa"/>
            </w:tcMar>
          </w:tcPr>
          <w:p w14:paraId="67D69AAC" w14:textId="204822E2" w:rsidR="00BA74A2" w:rsidRDefault="00BA74A2" w:rsidP="001B7642">
            <w:pPr>
              <w:pStyle w:val="TableTextLeft"/>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2EF89CBD" w14:textId="5D37A3BF" w:rsidR="00BA74A2" w:rsidRPr="006274DD" w:rsidRDefault="00BA74A2" w:rsidP="006768A2">
            <w:pPr>
              <w:pStyle w:val="TableTextLeft"/>
            </w:pPr>
            <w:r w:rsidRPr="006274DD">
              <w:t xml:space="preserve">Recommendations on certification applications are made within statutory time limits (consideration period of 180 days, subject to </w:t>
            </w:r>
            <w:r>
              <w:t>‘</w:t>
            </w:r>
            <w:r w:rsidRPr="006274DD">
              <w:t>clock stopping</w:t>
            </w:r>
            <w:r>
              <w:t>’</w:t>
            </w:r>
            <w:r w:rsidRPr="006274DD">
              <w:t xml:space="preserve"> provisions) and meet advice requirements of Ministers.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12A1D9DA" w14:textId="4D84FE9C" w:rsidR="00BA74A2" w:rsidRPr="006274DD" w:rsidRDefault="00BA74A2" w:rsidP="006768A2">
            <w:pPr>
              <w:pStyle w:val="TableTextLeft"/>
            </w:pPr>
            <w:r w:rsidRPr="00574366">
              <w:t>All recommendations are forecast to be made within the statutory time limits.</w:t>
            </w:r>
          </w:p>
        </w:tc>
      </w:tr>
      <w:tr w:rsidR="00BA74A2" w:rsidRPr="001B492F" w14:paraId="0D010D2F" w14:textId="77777777" w:rsidTr="001B76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tcBorders>
              <w:left w:val="single" w:sz="4" w:space="0" w:color="auto"/>
              <w:right w:val="single" w:sz="4" w:space="0" w:color="auto"/>
            </w:tcBorders>
            <w:tcMar>
              <w:left w:w="108" w:type="dxa"/>
              <w:right w:w="108" w:type="dxa"/>
            </w:tcMar>
          </w:tcPr>
          <w:p w14:paraId="4B2BF69D" w14:textId="5026E3C1" w:rsidR="00BA74A2" w:rsidRDefault="00BA74A2" w:rsidP="001B7642">
            <w:pPr>
              <w:pStyle w:val="TableTextLeft"/>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70A0B668" w14:textId="316C0CBA" w:rsidR="00BA74A2" w:rsidRPr="006274DD" w:rsidRDefault="00BA74A2" w:rsidP="006768A2">
            <w:pPr>
              <w:pStyle w:val="TableTextLeft"/>
            </w:pPr>
            <w:r w:rsidRPr="00574366">
              <w:t>Accessible information on all access regulation matters for which the NCC is responsible is provided on the NCC website.</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608297A9" w14:textId="52402F68" w:rsidR="00BA74A2" w:rsidRPr="006274DD" w:rsidRDefault="00BA74A2" w:rsidP="006768A2">
            <w:pPr>
              <w:pStyle w:val="TableTextLeft"/>
            </w:pPr>
            <w:r w:rsidRPr="00574366">
              <w:t>The Council website is forecast to</w:t>
            </w:r>
            <w:r>
              <w:t xml:space="preserve"> be up to date and contain accessible information on all access regulation matters for which the Council is responsible.</w:t>
            </w:r>
          </w:p>
        </w:tc>
      </w:tr>
      <w:tr w:rsidR="00BA74A2" w:rsidRPr="001B492F" w14:paraId="663CE3D5" w14:textId="77777777" w:rsidTr="00D80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tcBorders>
              <w:left w:val="single" w:sz="4" w:space="0" w:color="auto"/>
              <w:right w:val="single" w:sz="4" w:space="0" w:color="auto"/>
            </w:tcBorders>
            <w:tcMar>
              <w:left w:w="108" w:type="dxa"/>
              <w:right w:w="108" w:type="dxa"/>
            </w:tcMar>
          </w:tcPr>
          <w:p w14:paraId="33DC926D" w14:textId="36FC2414" w:rsidR="00BA74A2" w:rsidRDefault="00BA74A2" w:rsidP="001B7642">
            <w:pPr>
              <w:pStyle w:val="TableTextLeft"/>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2FEA279B" w14:textId="067AE0B2" w:rsidR="00BA74A2" w:rsidRPr="006274DD" w:rsidRDefault="00BA74A2" w:rsidP="006768A2">
            <w:pPr>
              <w:pStyle w:val="TableTextLeft"/>
            </w:pPr>
            <w:r w:rsidRPr="00574366">
              <w:t>Up to date and informative guidelines on all the NCC</w:t>
            </w:r>
            <w:r>
              <w:t>’</w:t>
            </w:r>
            <w:r w:rsidRPr="00574366">
              <w:t>s areas of responsibility are maintained on the NCC website</w:t>
            </w:r>
            <w:r>
              <w:t>.</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44FE2E24" w14:textId="61749E50" w:rsidR="00BA74A2" w:rsidRPr="006274DD" w:rsidRDefault="00BA74A2" w:rsidP="006768A2">
            <w:pPr>
              <w:pStyle w:val="TableTextLeft"/>
            </w:pPr>
            <w:r w:rsidRPr="00574366">
              <w:t>Guidelines are forecast to be updated within 30 days of relevant decisions or developments in case law.</w:t>
            </w:r>
          </w:p>
        </w:tc>
      </w:tr>
      <w:tr w:rsidR="00BA74A2" w:rsidRPr="006274DD" w14:paraId="6C2B8ACC" w14:textId="77777777" w:rsidTr="00D80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tcBorders>
              <w:left w:val="single" w:sz="4" w:space="0" w:color="auto"/>
              <w:right w:val="single" w:sz="4" w:space="0" w:color="auto"/>
            </w:tcBorders>
            <w:tcMar>
              <w:left w:w="108" w:type="dxa"/>
              <w:right w:w="108" w:type="dxa"/>
            </w:tcMar>
          </w:tcPr>
          <w:p w14:paraId="0ECCD2A0" w14:textId="4229DFB7" w:rsidR="00BA74A2" w:rsidRDefault="00BA74A2" w:rsidP="001B7642">
            <w:pPr>
              <w:pStyle w:val="TableTextLeft"/>
            </w:pPr>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tcPr>
          <w:p w14:paraId="62B90AC8" w14:textId="07A9D77F" w:rsidR="00BA74A2" w:rsidRPr="004C59D7" w:rsidRDefault="00BA74A2" w:rsidP="001B7642">
            <w:pPr>
              <w:pStyle w:val="TableTextLeft"/>
            </w:pPr>
            <w:r w:rsidRPr="004C59D7">
              <w:t xml:space="preserve">Case law developments, legislative </w:t>
            </w:r>
            <w:proofErr w:type="gramStart"/>
            <w:r w:rsidRPr="004C59D7">
              <w:t>amendments</w:t>
            </w:r>
            <w:proofErr w:type="gramEnd"/>
            <w:r w:rsidRPr="004C59D7">
              <w:t xml:space="preserve"> and developments in the NCC</w:t>
            </w:r>
            <w:r>
              <w:t>’</w:t>
            </w:r>
            <w:r w:rsidRPr="004C59D7">
              <w:t>s processes or policies are reflected in the NCC</w:t>
            </w:r>
            <w:r>
              <w:t>’</w:t>
            </w:r>
            <w:r w:rsidRPr="004C59D7">
              <w:t>s information resources within 30 days.</w:t>
            </w:r>
          </w:p>
        </w:tc>
        <w:tc>
          <w:tcPr>
            <w:tcW w:w="3119" w:type="dxa"/>
            <w:tcBorders>
              <w:top w:val="single" w:sz="4" w:space="0" w:color="auto"/>
              <w:left w:val="single" w:sz="4" w:space="0" w:color="auto"/>
              <w:bottom w:val="single" w:sz="4" w:space="0" w:color="auto"/>
              <w:right w:val="single" w:sz="4" w:space="0" w:color="auto"/>
            </w:tcBorders>
            <w:tcMar>
              <w:left w:w="108" w:type="dxa"/>
              <w:right w:w="108" w:type="dxa"/>
            </w:tcMar>
          </w:tcPr>
          <w:p w14:paraId="6FDF7F82" w14:textId="77777777" w:rsidR="00BA74A2" w:rsidRPr="004C59D7" w:rsidRDefault="00BA74A2" w:rsidP="001B7642">
            <w:pPr>
              <w:pStyle w:val="TableTextLeft"/>
            </w:pPr>
            <w:r w:rsidRPr="004C59D7">
              <w:t>Case law developments, legislative amendments and developments in Council processes or policies are forecast to be reflected in Council information resources within 30 days.</w:t>
            </w:r>
          </w:p>
        </w:tc>
      </w:tr>
      <w:tr w:rsidR="00BA74A2" w:rsidRPr="006274DD" w14:paraId="7A6537EA" w14:textId="77777777" w:rsidTr="003E6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vMerge/>
            <w:tcBorders>
              <w:left w:val="single" w:sz="4" w:space="0" w:color="auto"/>
              <w:bottom w:val="dotted" w:sz="4" w:space="0" w:color="auto"/>
              <w:right w:val="single" w:sz="4" w:space="0" w:color="auto"/>
            </w:tcBorders>
            <w:tcMar>
              <w:left w:w="108" w:type="dxa"/>
              <w:right w:w="108" w:type="dxa"/>
            </w:tcMar>
          </w:tcPr>
          <w:p w14:paraId="5D789597" w14:textId="77777777" w:rsidR="00BA74A2" w:rsidRDefault="00BA74A2" w:rsidP="001B7642">
            <w:pPr>
              <w:pStyle w:val="TableTextLeft"/>
            </w:pPr>
          </w:p>
        </w:tc>
        <w:tc>
          <w:tcPr>
            <w:tcW w:w="3261" w:type="dxa"/>
            <w:tcBorders>
              <w:top w:val="single" w:sz="4" w:space="0" w:color="auto"/>
              <w:left w:val="single" w:sz="4" w:space="0" w:color="auto"/>
              <w:bottom w:val="dotted" w:sz="4" w:space="0" w:color="auto"/>
              <w:right w:val="single" w:sz="4" w:space="0" w:color="auto"/>
            </w:tcBorders>
            <w:tcMar>
              <w:left w:w="108" w:type="dxa"/>
              <w:right w:w="108" w:type="dxa"/>
            </w:tcMar>
          </w:tcPr>
          <w:p w14:paraId="760FA7D4" w14:textId="1D3DFDA6" w:rsidR="00BA74A2" w:rsidRPr="004C59D7" w:rsidRDefault="00BA74A2" w:rsidP="001B7642">
            <w:pPr>
              <w:pStyle w:val="TableTextLeft"/>
            </w:pPr>
            <w:r w:rsidRPr="004C59D7">
              <w:t>The NCC</w:t>
            </w:r>
            <w:r>
              <w:t>’</w:t>
            </w:r>
            <w:r w:rsidRPr="004C59D7">
              <w:t>s annual report to the Parliament includes a comprehensive report that meets the requirements of s29O of the CCA and is provided within the timeframe required by the PGPA Act</w:t>
            </w:r>
            <w:r>
              <w:t xml:space="preserve"> 2013</w:t>
            </w:r>
            <w:r w:rsidRPr="004C59D7">
              <w:t xml:space="preserve"> (</w:t>
            </w:r>
            <w:r>
              <w:t>for example</w:t>
            </w:r>
            <w:r w:rsidR="00900FB1">
              <w:t>,</w:t>
            </w:r>
            <w:r w:rsidRPr="004C59D7">
              <w:t xml:space="preserve"> by the 15th day of the fourth month after the end of the reporting period).</w:t>
            </w:r>
          </w:p>
        </w:tc>
        <w:tc>
          <w:tcPr>
            <w:tcW w:w="3119" w:type="dxa"/>
            <w:tcBorders>
              <w:top w:val="single" w:sz="4" w:space="0" w:color="auto"/>
              <w:left w:val="single" w:sz="4" w:space="0" w:color="auto"/>
              <w:bottom w:val="dotted" w:sz="4" w:space="0" w:color="auto"/>
              <w:right w:val="single" w:sz="4" w:space="0" w:color="auto"/>
            </w:tcBorders>
            <w:tcMar>
              <w:left w:w="108" w:type="dxa"/>
              <w:right w:w="108" w:type="dxa"/>
            </w:tcMar>
          </w:tcPr>
          <w:p w14:paraId="51A67862" w14:textId="2527ED22" w:rsidR="00BA74A2" w:rsidRPr="004C59D7" w:rsidRDefault="00BA74A2" w:rsidP="001B7642">
            <w:pPr>
              <w:pStyle w:val="TableTextLeft"/>
            </w:pPr>
            <w:r w:rsidRPr="004C59D7">
              <w:t>The Council</w:t>
            </w:r>
            <w:r>
              <w:t>’</w:t>
            </w:r>
            <w:r w:rsidRPr="004C59D7">
              <w:t>s annual report provides comprehensive information on the National Access Regime, addresses all matters required under section 29O of the CCA and is forecast to be provided within the required timeframe.</w:t>
            </w:r>
          </w:p>
        </w:tc>
      </w:tr>
      <w:tr w:rsidR="004C59D7" w14:paraId="3BCDAEC6" w14:textId="77777777" w:rsidTr="003E6F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26"/>
        </w:trPr>
        <w:tc>
          <w:tcPr>
            <w:tcW w:w="1275" w:type="dxa"/>
            <w:tcBorders>
              <w:top w:val="dotted" w:sz="4" w:space="0" w:color="auto"/>
              <w:left w:val="single" w:sz="4" w:space="0" w:color="auto"/>
              <w:bottom w:val="single" w:sz="4" w:space="0" w:color="auto"/>
              <w:right w:val="single" w:sz="4" w:space="0" w:color="auto"/>
            </w:tcBorders>
            <w:tcMar>
              <w:left w:w="108" w:type="dxa"/>
              <w:right w:w="108" w:type="dxa"/>
            </w:tcMar>
          </w:tcPr>
          <w:p w14:paraId="181F16ED" w14:textId="77777777" w:rsidR="004C59D7" w:rsidRDefault="004C59D7" w:rsidP="001B7642">
            <w:pPr>
              <w:pStyle w:val="TableTextLeft"/>
            </w:pPr>
            <w:r>
              <w:t>Forward</w:t>
            </w:r>
            <w:r w:rsidRPr="007F651A">
              <w:t xml:space="preserve"> </w:t>
            </w:r>
            <w:r>
              <w:t>Estimates</w:t>
            </w:r>
          </w:p>
          <w:p w14:paraId="7BBF52F1" w14:textId="77777777" w:rsidR="004C59D7" w:rsidRDefault="004C59D7" w:rsidP="001B7642">
            <w:pPr>
              <w:pStyle w:val="TableTextLeft"/>
            </w:pPr>
            <w:r w:rsidRPr="007F651A">
              <w:t>2024</w:t>
            </w:r>
            <w:r>
              <w:t>–</w:t>
            </w:r>
            <w:r w:rsidRPr="007F651A">
              <w:t>27</w:t>
            </w:r>
          </w:p>
        </w:tc>
        <w:tc>
          <w:tcPr>
            <w:tcW w:w="3261" w:type="dxa"/>
            <w:tcBorders>
              <w:top w:val="dotted" w:sz="4" w:space="0" w:color="auto"/>
              <w:left w:val="single" w:sz="4" w:space="0" w:color="auto"/>
              <w:bottom w:val="single" w:sz="4" w:space="0" w:color="auto"/>
              <w:right w:val="single" w:sz="4" w:space="0" w:color="auto"/>
            </w:tcBorders>
            <w:tcMar>
              <w:left w:w="108" w:type="dxa"/>
              <w:right w:w="108" w:type="dxa"/>
            </w:tcMar>
          </w:tcPr>
          <w:p w14:paraId="75DDE760" w14:textId="77777777" w:rsidR="004C59D7" w:rsidRPr="001B492F" w:rsidRDefault="004C59D7" w:rsidP="001B7642">
            <w:pPr>
              <w:pStyle w:val="TableTextLeft"/>
            </w:pPr>
            <w:r w:rsidRPr="001B492F">
              <w:t>As per 2023</w:t>
            </w:r>
            <w:r>
              <w:t>–</w:t>
            </w:r>
            <w:r w:rsidRPr="001B492F">
              <w:t>24.</w:t>
            </w:r>
          </w:p>
        </w:tc>
        <w:tc>
          <w:tcPr>
            <w:tcW w:w="3119" w:type="dxa"/>
            <w:tcBorders>
              <w:top w:val="dotted" w:sz="4" w:space="0" w:color="auto"/>
              <w:left w:val="single" w:sz="4" w:space="0" w:color="auto"/>
              <w:bottom w:val="single" w:sz="4" w:space="0" w:color="auto"/>
              <w:right w:val="single" w:sz="4" w:space="0" w:color="auto"/>
            </w:tcBorders>
            <w:tcMar>
              <w:left w:w="108" w:type="dxa"/>
              <w:right w:w="108" w:type="dxa"/>
            </w:tcMar>
          </w:tcPr>
          <w:p w14:paraId="5D024995" w14:textId="77777777" w:rsidR="004C59D7" w:rsidRPr="004C59D7" w:rsidRDefault="004C59D7" w:rsidP="001B7642">
            <w:pPr>
              <w:pStyle w:val="TableTextLeft"/>
            </w:pPr>
            <w:r w:rsidRPr="001B492F">
              <w:t>As per 2023</w:t>
            </w:r>
            <w:r>
              <w:t>–</w:t>
            </w:r>
            <w:r w:rsidRPr="001B492F">
              <w:t>24.</w:t>
            </w:r>
          </w:p>
        </w:tc>
      </w:tr>
    </w:tbl>
    <w:p w14:paraId="07EDB643" w14:textId="77777777" w:rsidR="006768A2" w:rsidRDefault="006768A2">
      <w:pPr>
        <w:widowControl w:val="0"/>
        <w:autoSpaceDE w:val="0"/>
        <w:autoSpaceDN w:val="0"/>
        <w:spacing w:after="0" w:line="240" w:lineRule="auto"/>
        <w:rPr>
          <w:sz w:val="16"/>
        </w:rPr>
      </w:pPr>
      <w:r>
        <w:rPr>
          <w:sz w:val="16"/>
        </w:rPr>
        <w:br w:type="page"/>
      </w:r>
    </w:p>
    <w:p w14:paraId="446171BA" w14:textId="4C6EE452" w:rsidR="00EA696B" w:rsidRDefault="00EA696B" w:rsidP="00ED36A2">
      <w:pPr>
        <w:rPr>
          <w:sz w:val="16"/>
        </w:rPr>
        <w:sectPr w:rsidR="00EA696B" w:rsidSect="00CB1DE9">
          <w:footerReference w:type="even" r:id="rId22"/>
          <w:footerReference w:type="default" r:id="rId23"/>
          <w:pgSz w:w="11910" w:h="16840"/>
          <w:pgMar w:top="2835" w:right="2098" w:bottom="2466" w:left="2098" w:header="1814" w:footer="1814" w:gutter="0"/>
          <w:cols w:space="720"/>
          <w:docGrid w:linePitch="299"/>
        </w:sectPr>
      </w:pPr>
    </w:p>
    <w:p w14:paraId="33D2C0D9" w14:textId="77777777" w:rsidR="008E1FF5" w:rsidRDefault="00465A87" w:rsidP="0025602A">
      <w:pPr>
        <w:pStyle w:val="Heading2"/>
      </w:pPr>
      <w:bookmarkStart w:id="20" w:name="Section_3:_Budgeted_financial_statements"/>
      <w:bookmarkStart w:id="21" w:name="_Toc133933901"/>
      <w:bookmarkStart w:id="22" w:name="_Toc134036981"/>
      <w:bookmarkEnd w:id="20"/>
      <w:r>
        <w:lastRenderedPageBreak/>
        <w:t>Section</w:t>
      </w:r>
      <w:r>
        <w:rPr>
          <w:spacing w:val="-8"/>
        </w:rPr>
        <w:t xml:space="preserve"> </w:t>
      </w:r>
      <w:r>
        <w:t>3:</w:t>
      </w:r>
      <w:r>
        <w:rPr>
          <w:spacing w:val="-10"/>
        </w:rPr>
        <w:t xml:space="preserve"> </w:t>
      </w:r>
      <w:r>
        <w:t>Budgeted</w:t>
      </w:r>
      <w:r>
        <w:rPr>
          <w:spacing w:val="-11"/>
        </w:rPr>
        <w:t xml:space="preserve"> </w:t>
      </w:r>
      <w:r>
        <w:t>financial</w:t>
      </w:r>
      <w:r>
        <w:rPr>
          <w:spacing w:val="-10"/>
        </w:rPr>
        <w:t xml:space="preserve"> </w:t>
      </w:r>
      <w:r>
        <w:rPr>
          <w:spacing w:val="-2"/>
        </w:rPr>
        <w:t>statements</w:t>
      </w:r>
      <w:bookmarkEnd w:id="21"/>
      <w:bookmarkEnd w:id="22"/>
    </w:p>
    <w:p w14:paraId="3A8A464E" w14:textId="76D8BBEE" w:rsidR="008E1FF5" w:rsidRDefault="00465A87" w:rsidP="006A37A5">
      <w:r w:rsidRPr="006A37A5">
        <w:t>Section 3 presents budgeted financial statements which provide a comprehensive snapshot of entity finances for the 2023</w:t>
      </w:r>
      <w:r w:rsidR="00A83767">
        <w:t>–</w:t>
      </w:r>
      <w:r w:rsidRPr="006A37A5">
        <w:t>24 budget year, including the impact of budget measures and resourcing on financial statements.</w:t>
      </w:r>
    </w:p>
    <w:p w14:paraId="65B7E7C4" w14:textId="0ECC3C9B" w:rsidR="008E1FF5" w:rsidRPr="00562DC6" w:rsidRDefault="0025602A" w:rsidP="0025602A">
      <w:pPr>
        <w:pStyle w:val="Heading3"/>
        <w:rPr>
          <w:rFonts w:ascii="Arial" w:hAnsi="Arial"/>
        </w:rPr>
      </w:pPr>
      <w:bookmarkStart w:id="23" w:name="3.1_Budgeted_financial_statements"/>
      <w:bookmarkStart w:id="24" w:name="_Toc134036982"/>
      <w:bookmarkEnd w:id="23"/>
      <w:r w:rsidRPr="00562DC6">
        <w:rPr>
          <w:rFonts w:ascii="Arial" w:hAnsi="Arial"/>
        </w:rPr>
        <w:t>3.1</w:t>
      </w:r>
      <w:r w:rsidRPr="00562DC6">
        <w:rPr>
          <w:rFonts w:ascii="Arial" w:hAnsi="Arial"/>
        </w:rPr>
        <w:tab/>
      </w:r>
      <w:r w:rsidR="00465A87" w:rsidRPr="00562DC6">
        <w:rPr>
          <w:rFonts w:ascii="Arial" w:hAnsi="Arial"/>
        </w:rPr>
        <w:t>Budgeted financial statements</w:t>
      </w:r>
      <w:bookmarkEnd w:id="24"/>
    </w:p>
    <w:p w14:paraId="39D60B27" w14:textId="41CEEFC4" w:rsidR="008E1FF5" w:rsidRPr="00CB594E" w:rsidRDefault="0025602A" w:rsidP="0025602A">
      <w:pPr>
        <w:pStyle w:val="Heading4"/>
      </w:pPr>
      <w:bookmarkStart w:id="25" w:name="3.1.1_Differences_between_entity_resourc"/>
      <w:bookmarkEnd w:id="25"/>
      <w:r>
        <w:t>3.1.1</w:t>
      </w:r>
      <w:r>
        <w:tab/>
      </w:r>
      <w:r w:rsidR="00465A87">
        <w:t>Differences</w:t>
      </w:r>
      <w:r w:rsidR="00465A87">
        <w:rPr>
          <w:spacing w:val="-10"/>
        </w:rPr>
        <w:t xml:space="preserve"> </w:t>
      </w:r>
      <w:r w:rsidR="00465A87">
        <w:t>between</w:t>
      </w:r>
      <w:r w:rsidR="00465A87">
        <w:rPr>
          <w:spacing w:val="-8"/>
        </w:rPr>
        <w:t xml:space="preserve"> </w:t>
      </w:r>
      <w:r w:rsidR="00465A87">
        <w:t>entity</w:t>
      </w:r>
      <w:r w:rsidR="00465A87">
        <w:rPr>
          <w:spacing w:val="-9"/>
        </w:rPr>
        <w:t xml:space="preserve"> </w:t>
      </w:r>
      <w:r w:rsidR="00465A87">
        <w:t>resourcing</w:t>
      </w:r>
      <w:r w:rsidR="00465A87">
        <w:rPr>
          <w:spacing w:val="-7"/>
        </w:rPr>
        <w:t xml:space="preserve"> </w:t>
      </w:r>
      <w:r w:rsidR="00465A87">
        <w:t>and</w:t>
      </w:r>
      <w:r w:rsidR="00465A87">
        <w:rPr>
          <w:spacing w:val="-8"/>
        </w:rPr>
        <w:t xml:space="preserve"> </w:t>
      </w:r>
      <w:r w:rsidR="00465A87">
        <w:t>financial</w:t>
      </w:r>
      <w:r w:rsidR="00465A87">
        <w:rPr>
          <w:spacing w:val="-10"/>
        </w:rPr>
        <w:t xml:space="preserve"> </w:t>
      </w:r>
      <w:r w:rsidR="00465A87">
        <w:rPr>
          <w:spacing w:val="-2"/>
        </w:rPr>
        <w:t>statements</w:t>
      </w:r>
    </w:p>
    <w:p w14:paraId="621928C7" w14:textId="40A3D0BD" w:rsidR="0077437F" w:rsidRPr="00CB594E" w:rsidRDefault="00136D02" w:rsidP="006A37A5">
      <w:pPr>
        <w:rPr>
          <w:i/>
          <w:iCs/>
        </w:rPr>
      </w:pPr>
      <w:r w:rsidRPr="0077437F">
        <w:t>There are no material differences between agency resourcing and financial statements.</w:t>
      </w:r>
    </w:p>
    <w:p w14:paraId="3275A7F4" w14:textId="64D097DD" w:rsidR="008E1FF5" w:rsidRDefault="0025602A" w:rsidP="0025602A">
      <w:pPr>
        <w:pStyle w:val="Heading4"/>
      </w:pPr>
      <w:bookmarkStart w:id="26" w:name="3.1.2_Explanatory_notes_and_analysis_of_"/>
      <w:bookmarkEnd w:id="26"/>
      <w:r>
        <w:t>3.1.2</w:t>
      </w:r>
      <w:r>
        <w:tab/>
      </w:r>
      <w:r w:rsidR="00465A87">
        <w:t>Explanatory</w:t>
      </w:r>
      <w:r w:rsidR="00465A87">
        <w:rPr>
          <w:spacing w:val="-9"/>
        </w:rPr>
        <w:t xml:space="preserve"> </w:t>
      </w:r>
      <w:r w:rsidR="00465A87">
        <w:t>notes</w:t>
      </w:r>
      <w:r w:rsidR="00465A87">
        <w:rPr>
          <w:spacing w:val="-8"/>
        </w:rPr>
        <w:t xml:space="preserve"> </w:t>
      </w:r>
      <w:r w:rsidR="00465A87">
        <w:t>and</w:t>
      </w:r>
      <w:r w:rsidR="00465A87">
        <w:rPr>
          <w:spacing w:val="-8"/>
        </w:rPr>
        <w:t xml:space="preserve"> </w:t>
      </w:r>
      <w:r w:rsidR="00465A87">
        <w:t>analysis</w:t>
      </w:r>
      <w:r w:rsidR="00465A87">
        <w:rPr>
          <w:spacing w:val="-9"/>
        </w:rPr>
        <w:t xml:space="preserve"> </w:t>
      </w:r>
      <w:r w:rsidR="00465A87">
        <w:t>of</w:t>
      </w:r>
      <w:r w:rsidR="00465A87">
        <w:rPr>
          <w:spacing w:val="-7"/>
        </w:rPr>
        <w:t xml:space="preserve"> </w:t>
      </w:r>
      <w:r w:rsidR="00465A87">
        <w:t>budgeted</w:t>
      </w:r>
      <w:r w:rsidR="00465A87">
        <w:rPr>
          <w:spacing w:val="-8"/>
        </w:rPr>
        <w:t xml:space="preserve"> </w:t>
      </w:r>
      <w:r w:rsidR="00465A87">
        <w:t>financial</w:t>
      </w:r>
      <w:r w:rsidR="00465A87">
        <w:rPr>
          <w:spacing w:val="-9"/>
        </w:rPr>
        <w:t xml:space="preserve"> </w:t>
      </w:r>
      <w:r w:rsidR="00465A87">
        <w:rPr>
          <w:spacing w:val="-2"/>
        </w:rPr>
        <w:t>statements</w:t>
      </w:r>
    </w:p>
    <w:p w14:paraId="1E34AE9D" w14:textId="2C08A1F3" w:rsidR="0077437F" w:rsidRPr="0077437F" w:rsidRDefault="0077437F" w:rsidP="006A37A5">
      <w:pPr>
        <w:rPr>
          <w:color w:val="000000" w:themeColor="text1"/>
        </w:rPr>
      </w:pPr>
      <w:r w:rsidRPr="0077437F">
        <w:rPr>
          <w:color w:val="000000" w:themeColor="text1"/>
        </w:rPr>
        <w:t xml:space="preserve">The NCC is budgeting for a </w:t>
      </w:r>
      <w:r w:rsidR="00C93D98" w:rsidRPr="0077437F">
        <w:rPr>
          <w:color w:val="000000" w:themeColor="text1"/>
        </w:rPr>
        <w:t>break</w:t>
      </w:r>
      <w:r w:rsidR="00A83767">
        <w:rPr>
          <w:color w:val="000000" w:themeColor="text1"/>
        </w:rPr>
        <w:t>–</w:t>
      </w:r>
      <w:r w:rsidR="00C93D98" w:rsidRPr="0077437F">
        <w:rPr>
          <w:color w:val="000000" w:themeColor="text1"/>
        </w:rPr>
        <w:t>even</w:t>
      </w:r>
      <w:r w:rsidRPr="0077437F">
        <w:rPr>
          <w:color w:val="000000" w:themeColor="text1"/>
        </w:rPr>
        <w:t xml:space="preserve"> operating result for 202</w:t>
      </w:r>
      <w:r w:rsidR="00844623">
        <w:rPr>
          <w:color w:val="000000" w:themeColor="text1"/>
        </w:rPr>
        <w:t>3</w:t>
      </w:r>
      <w:r w:rsidRPr="0077437F">
        <w:rPr>
          <w:color w:val="000000" w:themeColor="text1"/>
        </w:rPr>
        <w:t>–2</w:t>
      </w:r>
      <w:r w:rsidR="00844623">
        <w:rPr>
          <w:color w:val="000000" w:themeColor="text1"/>
        </w:rPr>
        <w:t>4</w:t>
      </w:r>
      <w:r w:rsidRPr="0077437F">
        <w:rPr>
          <w:color w:val="000000" w:themeColor="text1"/>
        </w:rPr>
        <w:t xml:space="preserve"> and the forward years. </w:t>
      </w:r>
      <w:r w:rsidR="00395C26" w:rsidRPr="0077437F">
        <w:rPr>
          <w:color w:val="000000" w:themeColor="text1"/>
        </w:rPr>
        <w:t>The</w:t>
      </w:r>
      <w:r w:rsidR="00395C26">
        <w:rPr>
          <w:color w:val="000000" w:themeColor="text1"/>
        </w:rPr>
        <w:t> </w:t>
      </w:r>
      <w:r w:rsidRPr="0077437F">
        <w:rPr>
          <w:color w:val="000000" w:themeColor="text1"/>
        </w:rPr>
        <w:t>financial statements have been prepared on an Australian Accounting Standards basis.</w:t>
      </w:r>
    </w:p>
    <w:p w14:paraId="47D48AF3" w14:textId="0F6D7B4D" w:rsidR="0077437F" w:rsidRPr="0077437F" w:rsidRDefault="0077437F" w:rsidP="006A37A5">
      <w:pPr>
        <w:rPr>
          <w:color w:val="000000" w:themeColor="text1"/>
        </w:rPr>
      </w:pPr>
      <w:r w:rsidRPr="0077437F">
        <w:rPr>
          <w:color w:val="000000" w:themeColor="text1"/>
        </w:rPr>
        <w:t>The NCC</w:t>
      </w:r>
      <w:r w:rsidR="009E2237">
        <w:rPr>
          <w:color w:val="000000" w:themeColor="text1"/>
        </w:rPr>
        <w:t>’</w:t>
      </w:r>
      <w:r w:rsidRPr="0077437F">
        <w:rPr>
          <w:color w:val="000000" w:themeColor="text1"/>
        </w:rPr>
        <w:t xml:space="preserve">s assets are mainly financial assets consisting of appropriation receivables and cash. </w:t>
      </w:r>
    </w:p>
    <w:p w14:paraId="4940F259" w14:textId="609D974B" w:rsidR="008E1FF5" w:rsidRDefault="0077437F" w:rsidP="00863618">
      <w:pPr>
        <w:tabs>
          <w:tab w:val="left" w:pos="1276"/>
        </w:tabs>
        <w:sectPr w:rsidR="008E1FF5" w:rsidSect="00EA696B">
          <w:footerReference w:type="default" r:id="rId24"/>
          <w:pgSz w:w="11910" w:h="16840" w:code="9"/>
          <w:pgMar w:top="2835" w:right="2098" w:bottom="2466" w:left="2098" w:header="1814" w:footer="1814" w:gutter="0"/>
          <w:cols w:space="720"/>
          <w:docGrid w:linePitch="299"/>
        </w:sectPr>
      </w:pPr>
      <w:r w:rsidRPr="0077437F">
        <w:t xml:space="preserve">Council members do not receive leave entitlements. </w:t>
      </w:r>
      <w:r w:rsidR="00444EB0" w:rsidRPr="0077437F">
        <w:t>Councillor</w:t>
      </w:r>
      <w:r w:rsidRPr="0077437F">
        <w:t xml:space="preserve"> remuneration is established through </w:t>
      </w:r>
      <w:r w:rsidRPr="0077437F">
        <w:rPr>
          <w:i/>
          <w:iCs/>
        </w:rPr>
        <w:t>Remuneration Tribunal (Remuneration and Allowances for Holders of Part time Public Office) Determination 2022 Compilation No.</w:t>
      </w:r>
      <w:r w:rsidR="00844623">
        <w:rPr>
          <w:i/>
          <w:iCs/>
        </w:rPr>
        <w:t>7</w:t>
      </w:r>
      <w:r w:rsidRPr="0077437F">
        <w:t xml:space="preserve">, which is set by the Remuneration Tribunal, an independent statutory authority established under </w:t>
      </w:r>
      <w:r w:rsidRPr="0077437F">
        <w:rPr>
          <w:i/>
          <w:iCs/>
        </w:rPr>
        <w:t>the Remuneration Tribunal Act 1973</w:t>
      </w:r>
      <w:r w:rsidRPr="0077437F">
        <w:t>.</w:t>
      </w:r>
    </w:p>
    <w:p w14:paraId="1CE57C66" w14:textId="76D96A09" w:rsidR="008E1FF5" w:rsidRPr="006D00A9" w:rsidRDefault="00465A87" w:rsidP="00863618">
      <w:pPr>
        <w:pStyle w:val="Heading3"/>
        <w:rPr>
          <w:rFonts w:ascii="Arial" w:hAnsi="Arial"/>
        </w:rPr>
      </w:pPr>
      <w:bookmarkStart w:id="27" w:name="3.2._Budgeted_financial_statements_table"/>
      <w:bookmarkStart w:id="28" w:name="_Toc134036983"/>
      <w:bookmarkEnd w:id="27"/>
      <w:r w:rsidRPr="006D00A9">
        <w:rPr>
          <w:rFonts w:ascii="Arial" w:hAnsi="Arial"/>
        </w:rPr>
        <w:lastRenderedPageBreak/>
        <w:t>3.2</w:t>
      </w:r>
      <w:r w:rsidRPr="006D00A9">
        <w:rPr>
          <w:rFonts w:ascii="Arial" w:hAnsi="Arial"/>
        </w:rPr>
        <w:tab/>
        <w:t>Budgeted financial statements tables</w:t>
      </w:r>
      <w:bookmarkEnd w:id="28"/>
    </w:p>
    <w:p w14:paraId="136F7452" w14:textId="11EB3905" w:rsidR="00B10F57" w:rsidRDefault="00465A87" w:rsidP="00B10F57">
      <w:pPr>
        <w:pStyle w:val="TableHeading"/>
        <w:rPr>
          <w:rFonts w:asciiTheme="minorHAnsi" w:eastAsiaTheme="minorHAnsi" w:hAnsiTheme="minorHAnsi" w:cstheme="minorBidi"/>
          <w:b w:val="0"/>
          <w:sz w:val="22"/>
          <w:szCs w:val="22"/>
          <w:lang w:val="en-US" w:eastAsia="en-US"/>
        </w:rPr>
      </w:pPr>
      <w:r>
        <w:t>Table</w:t>
      </w:r>
      <w:r>
        <w:rPr>
          <w:spacing w:val="-5"/>
        </w:rPr>
        <w:t xml:space="preserve"> </w:t>
      </w:r>
      <w:r>
        <w:t>3.1:</w:t>
      </w:r>
      <w:r>
        <w:rPr>
          <w:spacing w:val="-4"/>
        </w:rPr>
        <w:t xml:space="preserve"> </w:t>
      </w:r>
      <w:r>
        <w:t>Comprehensive</w:t>
      </w:r>
      <w:r>
        <w:rPr>
          <w:spacing w:val="-5"/>
        </w:rPr>
        <w:t xml:space="preserve"> </w:t>
      </w:r>
      <w:r>
        <w:t>income</w:t>
      </w:r>
      <w:r>
        <w:rPr>
          <w:spacing w:val="-3"/>
        </w:rPr>
        <w:t xml:space="preserve"> </w:t>
      </w:r>
      <w:r>
        <w:t>statement</w:t>
      </w:r>
      <w:r>
        <w:rPr>
          <w:spacing w:val="-4"/>
        </w:rPr>
        <w:t xml:space="preserve"> </w:t>
      </w:r>
      <w:r>
        <w:t>(showing</w:t>
      </w:r>
      <w:r>
        <w:rPr>
          <w:spacing w:val="-4"/>
        </w:rPr>
        <w:t xml:space="preserve"> </w:t>
      </w:r>
      <w:r>
        <w:t>net</w:t>
      </w:r>
      <w:r>
        <w:rPr>
          <w:spacing w:val="-4"/>
        </w:rPr>
        <w:t xml:space="preserve"> </w:t>
      </w:r>
      <w:r>
        <w:t>cost</w:t>
      </w:r>
      <w:r>
        <w:rPr>
          <w:spacing w:val="-4"/>
        </w:rPr>
        <w:t xml:space="preserve"> </w:t>
      </w:r>
      <w:r>
        <w:t>of</w:t>
      </w:r>
      <w:r>
        <w:rPr>
          <w:spacing w:val="-4"/>
        </w:rPr>
        <w:t xml:space="preserve"> </w:t>
      </w:r>
      <w:r>
        <w:t>services)</w:t>
      </w:r>
      <w:r>
        <w:rPr>
          <w:spacing w:val="-2"/>
        </w:rPr>
        <w:t xml:space="preserve"> </w:t>
      </w:r>
      <w:r>
        <w:t>for the period ended 30 June</w:t>
      </w:r>
    </w:p>
    <w:tbl>
      <w:tblPr>
        <w:tblW w:w="5000" w:type="pct"/>
        <w:tblCellMar>
          <w:left w:w="0" w:type="dxa"/>
          <w:right w:w="28" w:type="dxa"/>
        </w:tblCellMar>
        <w:tblLook w:val="04A0" w:firstRow="1" w:lastRow="0" w:firstColumn="1" w:lastColumn="0" w:noHBand="0" w:noVBand="1"/>
      </w:tblPr>
      <w:tblGrid>
        <w:gridCol w:w="3250"/>
        <w:gridCol w:w="893"/>
        <w:gridCol w:w="893"/>
        <w:gridCol w:w="893"/>
        <w:gridCol w:w="893"/>
        <w:gridCol w:w="892"/>
      </w:tblGrid>
      <w:tr w:rsidR="00B10F57" w:rsidRPr="00B10F57" w14:paraId="2304ED25" w14:textId="77777777" w:rsidTr="003E6F0E">
        <w:trPr>
          <w:divId w:val="26610405"/>
          <w:trHeight w:hRule="exact" w:val="900"/>
        </w:trPr>
        <w:tc>
          <w:tcPr>
            <w:tcW w:w="2106" w:type="pct"/>
            <w:tcBorders>
              <w:top w:val="single" w:sz="4" w:space="0" w:color="auto"/>
              <w:left w:val="nil"/>
              <w:bottom w:val="nil"/>
              <w:right w:val="nil"/>
            </w:tcBorders>
            <w:shd w:val="clear" w:color="auto" w:fill="auto"/>
            <w:noWrap/>
            <w:hideMark/>
          </w:tcPr>
          <w:p w14:paraId="0082C03C" w14:textId="6839FB6D" w:rsidR="00B10F57" w:rsidRPr="00B10F57" w:rsidRDefault="00B10F57" w:rsidP="00F01083">
            <w:pPr>
              <w:spacing w:after="0" w:line="240" w:lineRule="auto"/>
              <w:rPr>
                <w:rFonts w:ascii="Arial" w:hAnsi="Arial" w:cs="Arial"/>
                <w:b/>
                <w:bCs/>
                <w:sz w:val="16"/>
                <w:szCs w:val="16"/>
              </w:rPr>
            </w:pPr>
            <w:r w:rsidRPr="00B10F57">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315761B"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2022-23 Estimated actual</w:t>
            </w:r>
            <w:r w:rsidRPr="00F01083">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5960C3C3"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2023-24</w:t>
            </w:r>
            <w:r w:rsidRPr="00F01083">
              <w:rPr>
                <w:rFonts w:ascii="Arial" w:hAnsi="Arial" w:cs="Arial"/>
                <w:sz w:val="16"/>
                <w:szCs w:val="16"/>
              </w:rPr>
              <w:br/>
              <w:t>Budget</w:t>
            </w:r>
            <w:r w:rsidRPr="00F01083">
              <w:rPr>
                <w:rFonts w:ascii="Arial" w:hAnsi="Arial" w:cs="Arial"/>
                <w:sz w:val="16"/>
                <w:szCs w:val="16"/>
              </w:rPr>
              <w:br/>
            </w:r>
            <w:r w:rsidRPr="00F01083">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042E448"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2024-25 Forward estimate</w:t>
            </w:r>
            <w:r w:rsidRPr="00F01083">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13C9332"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2025-26 Forward estimate</w:t>
            </w:r>
            <w:r w:rsidRPr="00F01083">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BE7B484"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2026-27</w:t>
            </w:r>
            <w:r w:rsidRPr="00F01083">
              <w:rPr>
                <w:rFonts w:ascii="Arial" w:hAnsi="Arial" w:cs="Arial"/>
                <w:sz w:val="16"/>
                <w:szCs w:val="16"/>
              </w:rPr>
              <w:br/>
              <w:t>Forward estimate</w:t>
            </w:r>
            <w:r w:rsidRPr="00F01083">
              <w:rPr>
                <w:rFonts w:ascii="Arial" w:hAnsi="Arial" w:cs="Arial"/>
                <w:sz w:val="16"/>
                <w:szCs w:val="16"/>
              </w:rPr>
              <w:br/>
              <w:t>$'000</w:t>
            </w:r>
          </w:p>
        </w:tc>
      </w:tr>
      <w:tr w:rsidR="00B10F57" w:rsidRPr="00B10F57" w14:paraId="140AE424"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0F0A58F8"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1B03E23C" w14:textId="77777777" w:rsidR="00B10F57" w:rsidRPr="00F01083" w:rsidRDefault="00B10F57" w:rsidP="00F01083">
            <w:pPr>
              <w:spacing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7F0ADDDA"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5EEDEE07" w14:textId="77777777" w:rsidR="00B10F57" w:rsidRPr="00F01083" w:rsidRDefault="00B10F57" w:rsidP="00F01083">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68D169DE" w14:textId="77777777" w:rsidR="00B10F57" w:rsidRPr="00F01083" w:rsidRDefault="00B10F57" w:rsidP="00F01083">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44D755FF" w14:textId="77777777" w:rsidR="00B10F57" w:rsidRPr="00F01083" w:rsidRDefault="00B10F57" w:rsidP="00F01083">
            <w:pPr>
              <w:spacing w:after="0" w:line="240" w:lineRule="auto"/>
              <w:jc w:val="right"/>
              <w:rPr>
                <w:rFonts w:ascii="Times New Roman" w:hAnsi="Times New Roman"/>
                <w:sz w:val="20"/>
              </w:rPr>
            </w:pPr>
          </w:p>
        </w:tc>
      </w:tr>
      <w:tr w:rsidR="00B10F57" w:rsidRPr="00B10F57" w14:paraId="69F7B94D"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00DEFE04" w14:textId="77777777" w:rsidR="00B10F57" w:rsidRPr="00F01083" w:rsidRDefault="00B10F57" w:rsidP="003E6F0E">
            <w:pPr>
              <w:spacing w:after="0" w:line="240" w:lineRule="auto"/>
              <w:ind w:left="170"/>
              <w:rPr>
                <w:rFonts w:ascii="Arial" w:hAnsi="Arial" w:cs="Arial"/>
                <w:sz w:val="16"/>
                <w:szCs w:val="16"/>
              </w:rPr>
            </w:pPr>
            <w:r w:rsidRPr="00F01083">
              <w:rPr>
                <w:rFonts w:ascii="Arial" w:hAnsi="Arial" w:cs="Arial"/>
                <w:sz w:val="16"/>
                <w:szCs w:val="16"/>
              </w:rPr>
              <w:t>Employee benefits</w:t>
            </w:r>
          </w:p>
        </w:tc>
        <w:tc>
          <w:tcPr>
            <w:tcW w:w="579" w:type="pct"/>
            <w:tcBorders>
              <w:top w:val="nil"/>
              <w:left w:val="nil"/>
              <w:bottom w:val="nil"/>
              <w:right w:val="nil"/>
            </w:tcBorders>
            <w:shd w:val="clear" w:color="auto" w:fill="auto"/>
            <w:noWrap/>
            <w:hideMark/>
          </w:tcPr>
          <w:p w14:paraId="05C39721"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104 </w:t>
            </w:r>
          </w:p>
        </w:tc>
        <w:tc>
          <w:tcPr>
            <w:tcW w:w="579" w:type="pct"/>
            <w:tcBorders>
              <w:top w:val="nil"/>
              <w:left w:val="nil"/>
              <w:bottom w:val="nil"/>
              <w:right w:val="nil"/>
            </w:tcBorders>
            <w:shd w:val="clear" w:color="000000" w:fill="E6E6E6"/>
            <w:noWrap/>
            <w:hideMark/>
          </w:tcPr>
          <w:p w14:paraId="3B897EE4"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106 </w:t>
            </w:r>
          </w:p>
        </w:tc>
        <w:tc>
          <w:tcPr>
            <w:tcW w:w="579" w:type="pct"/>
            <w:tcBorders>
              <w:top w:val="nil"/>
              <w:left w:val="nil"/>
              <w:bottom w:val="nil"/>
              <w:right w:val="nil"/>
            </w:tcBorders>
            <w:shd w:val="clear" w:color="auto" w:fill="auto"/>
            <w:noWrap/>
            <w:hideMark/>
          </w:tcPr>
          <w:p w14:paraId="24D5D51E"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108 </w:t>
            </w:r>
          </w:p>
        </w:tc>
        <w:tc>
          <w:tcPr>
            <w:tcW w:w="579" w:type="pct"/>
            <w:tcBorders>
              <w:top w:val="nil"/>
              <w:left w:val="nil"/>
              <w:bottom w:val="nil"/>
              <w:right w:val="nil"/>
            </w:tcBorders>
            <w:shd w:val="clear" w:color="auto" w:fill="auto"/>
            <w:noWrap/>
            <w:hideMark/>
          </w:tcPr>
          <w:p w14:paraId="3A5DA3C9"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130 </w:t>
            </w:r>
          </w:p>
        </w:tc>
        <w:tc>
          <w:tcPr>
            <w:tcW w:w="579" w:type="pct"/>
            <w:tcBorders>
              <w:top w:val="nil"/>
              <w:left w:val="nil"/>
              <w:bottom w:val="nil"/>
              <w:right w:val="nil"/>
            </w:tcBorders>
            <w:shd w:val="clear" w:color="auto" w:fill="auto"/>
            <w:noWrap/>
            <w:hideMark/>
          </w:tcPr>
          <w:p w14:paraId="35611F3A"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130 </w:t>
            </w:r>
          </w:p>
        </w:tc>
      </w:tr>
      <w:tr w:rsidR="00B10F57" w:rsidRPr="00B10F57" w14:paraId="277836AB"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5F8CB8E1" w14:textId="77777777" w:rsidR="00B10F57" w:rsidRPr="00F01083" w:rsidRDefault="00B10F57" w:rsidP="003E6F0E">
            <w:pPr>
              <w:spacing w:after="0" w:line="240" w:lineRule="auto"/>
              <w:ind w:left="170"/>
              <w:rPr>
                <w:rFonts w:ascii="Arial" w:hAnsi="Arial" w:cs="Arial"/>
                <w:sz w:val="16"/>
                <w:szCs w:val="16"/>
              </w:rPr>
            </w:pPr>
            <w:r w:rsidRPr="00F01083">
              <w:rPr>
                <w:rFonts w:ascii="Arial" w:hAnsi="Arial" w:cs="Arial"/>
                <w:sz w:val="16"/>
                <w:szCs w:val="16"/>
              </w:rPr>
              <w:t>Suppliers</w:t>
            </w:r>
          </w:p>
        </w:tc>
        <w:tc>
          <w:tcPr>
            <w:tcW w:w="579" w:type="pct"/>
            <w:tcBorders>
              <w:top w:val="nil"/>
              <w:left w:val="nil"/>
              <w:bottom w:val="nil"/>
              <w:right w:val="nil"/>
            </w:tcBorders>
            <w:shd w:val="clear" w:color="auto" w:fill="auto"/>
            <w:noWrap/>
            <w:hideMark/>
          </w:tcPr>
          <w:p w14:paraId="349D7DE2"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1,613 </w:t>
            </w:r>
          </w:p>
        </w:tc>
        <w:tc>
          <w:tcPr>
            <w:tcW w:w="579" w:type="pct"/>
            <w:tcBorders>
              <w:top w:val="nil"/>
              <w:left w:val="nil"/>
              <w:bottom w:val="nil"/>
              <w:right w:val="nil"/>
            </w:tcBorders>
            <w:shd w:val="clear" w:color="000000" w:fill="E6E6E6"/>
            <w:noWrap/>
            <w:hideMark/>
          </w:tcPr>
          <w:p w14:paraId="18F32165"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1,655 </w:t>
            </w:r>
          </w:p>
        </w:tc>
        <w:tc>
          <w:tcPr>
            <w:tcW w:w="579" w:type="pct"/>
            <w:tcBorders>
              <w:top w:val="nil"/>
              <w:left w:val="nil"/>
              <w:bottom w:val="nil"/>
              <w:right w:val="nil"/>
            </w:tcBorders>
            <w:shd w:val="clear" w:color="auto" w:fill="auto"/>
            <w:noWrap/>
            <w:hideMark/>
          </w:tcPr>
          <w:p w14:paraId="4254CE72"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1,690 </w:t>
            </w:r>
          </w:p>
        </w:tc>
        <w:tc>
          <w:tcPr>
            <w:tcW w:w="579" w:type="pct"/>
            <w:tcBorders>
              <w:top w:val="nil"/>
              <w:left w:val="nil"/>
              <w:bottom w:val="nil"/>
              <w:right w:val="nil"/>
            </w:tcBorders>
            <w:shd w:val="clear" w:color="auto" w:fill="auto"/>
            <w:noWrap/>
            <w:hideMark/>
          </w:tcPr>
          <w:p w14:paraId="4A80D271"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1,692 </w:t>
            </w:r>
          </w:p>
        </w:tc>
        <w:tc>
          <w:tcPr>
            <w:tcW w:w="579" w:type="pct"/>
            <w:tcBorders>
              <w:top w:val="nil"/>
              <w:left w:val="nil"/>
              <w:bottom w:val="nil"/>
              <w:right w:val="nil"/>
            </w:tcBorders>
            <w:shd w:val="clear" w:color="auto" w:fill="auto"/>
            <w:noWrap/>
            <w:hideMark/>
          </w:tcPr>
          <w:p w14:paraId="4B160986"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1,728 </w:t>
            </w:r>
          </w:p>
        </w:tc>
      </w:tr>
      <w:tr w:rsidR="00B10F57" w:rsidRPr="00B10F57" w14:paraId="0EC4D117"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49D6018E"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hideMark/>
          </w:tcPr>
          <w:p w14:paraId="320690B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1,717 </w:t>
            </w:r>
          </w:p>
        </w:tc>
        <w:tc>
          <w:tcPr>
            <w:tcW w:w="579" w:type="pct"/>
            <w:tcBorders>
              <w:top w:val="single" w:sz="4" w:space="0" w:color="auto"/>
              <w:left w:val="nil"/>
              <w:bottom w:val="single" w:sz="4" w:space="0" w:color="auto"/>
              <w:right w:val="nil"/>
            </w:tcBorders>
            <w:shd w:val="clear" w:color="000000" w:fill="E6E6E6"/>
            <w:noWrap/>
            <w:hideMark/>
          </w:tcPr>
          <w:p w14:paraId="40EA4DB7"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1,761 </w:t>
            </w:r>
          </w:p>
        </w:tc>
        <w:tc>
          <w:tcPr>
            <w:tcW w:w="579" w:type="pct"/>
            <w:tcBorders>
              <w:top w:val="single" w:sz="4" w:space="0" w:color="auto"/>
              <w:left w:val="nil"/>
              <w:bottom w:val="single" w:sz="4" w:space="0" w:color="auto"/>
              <w:right w:val="nil"/>
            </w:tcBorders>
            <w:shd w:val="clear" w:color="auto" w:fill="auto"/>
            <w:noWrap/>
            <w:hideMark/>
          </w:tcPr>
          <w:p w14:paraId="77B436C6"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1,798 </w:t>
            </w:r>
          </w:p>
        </w:tc>
        <w:tc>
          <w:tcPr>
            <w:tcW w:w="579" w:type="pct"/>
            <w:tcBorders>
              <w:top w:val="single" w:sz="4" w:space="0" w:color="auto"/>
              <w:left w:val="nil"/>
              <w:bottom w:val="single" w:sz="4" w:space="0" w:color="auto"/>
              <w:right w:val="nil"/>
            </w:tcBorders>
            <w:shd w:val="clear" w:color="auto" w:fill="auto"/>
            <w:noWrap/>
            <w:hideMark/>
          </w:tcPr>
          <w:p w14:paraId="57A64D34"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1,822 </w:t>
            </w:r>
          </w:p>
        </w:tc>
        <w:tc>
          <w:tcPr>
            <w:tcW w:w="579" w:type="pct"/>
            <w:tcBorders>
              <w:top w:val="single" w:sz="4" w:space="0" w:color="auto"/>
              <w:left w:val="nil"/>
              <w:bottom w:val="single" w:sz="4" w:space="0" w:color="auto"/>
              <w:right w:val="nil"/>
            </w:tcBorders>
            <w:shd w:val="clear" w:color="auto" w:fill="auto"/>
            <w:noWrap/>
            <w:hideMark/>
          </w:tcPr>
          <w:p w14:paraId="21ECA6B9"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1,858 </w:t>
            </w:r>
          </w:p>
        </w:tc>
      </w:tr>
      <w:tr w:rsidR="00B10F57" w:rsidRPr="00B10F57" w14:paraId="4F7E76C5"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2F961694"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 xml:space="preserve">LESS: </w:t>
            </w:r>
          </w:p>
        </w:tc>
        <w:tc>
          <w:tcPr>
            <w:tcW w:w="579" w:type="pct"/>
            <w:tcBorders>
              <w:top w:val="nil"/>
              <w:left w:val="nil"/>
              <w:bottom w:val="nil"/>
              <w:right w:val="nil"/>
            </w:tcBorders>
            <w:shd w:val="clear" w:color="auto" w:fill="auto"/>
            <w:noWrap/>
            <w:hideMark/>
          </w:tcPr>
          <w:p w14:paraId="2BED0096" w14:textId="77777777" w:rsidR="00B10F57" w:rsidRPr="00F01083" w:rsidRDefault="00B10F57" w:rsidP="00F01083">
            <w:pPr>
              <w:spacing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E3C45A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2948ABE6" w14:textId="77777777" w:rsidR="00B10F57" w:rsidRPr="00F01083" w:rsidRDefault="00B10F57" w:rsidP="00F01083">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63F7720A" w14:textId="77777777" w:rsidR="00B10F57" w:rsidRPr="00F01083" w:rsidRDefault="00B10F57" w:rsidP="00F01083">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26DEE185" w14:textId="77777777" w:rsidR="00B10F57" w:rsidRPr="00F01083" w:rsidRDefault="00B10F57" w:rsidP="00F01083">
            <w:pPr>
              <w:spacing w:after="0" w:line="240" w:lineRule="auto"/>
              <w:jc w:val="right"/>
              <w:rPr>
                <w:rFonts w:ascii="Times New Roman" w:hAnsi="Times New Roman"/>
                <w:sz w:val="20"/>
              </w:rPr>
            </w:pPr>
          </w:p>
        </w:tc>
      </w:tr>
      <w:tr w:rsidR="00B10F57" w:rsidRPr="00B10F57" w14:paraId="1AAC8032"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419F3A09"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OWN-SOURCE INCOME</w:t>
            </w:r>
          </w:p>
        </w:tc>
        <w:tc>
          <w:tcPr>
            <w:tcW w:w="579" w:type="pct"/>
            <w:tcBorders>
              <w:top w:val="nil"/>
              <w:left w:val="nil"/>
              <w:bottom w:val="nil"/>
              <w:right w:val="nil"/>
            </w:tcBorders>
            <w:shd w:val="clear" w:color="auto" w:fill="auto"/>
            <w:noWrap/>
            <w:hideMark/>
          </w:tcPr>
          <w:p w14:paraId="14823647" w14:textId="77777777" w:rsidR="00B10F57" w:rsidRPr="00F01083" w:rsidRDefault="00B10F57" w:rsidP="00F01083">
            <w:pPr>
              <w:spacing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6268EE73"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E909581" w14:textId="77777777" w:rsidR="00B10F57" w:rsidRPr="00F01083" w:rsidRDefault="00B10F57" w:rsidP="00F01083">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3BC46D00" w14:textId="77777777" w:rsidR="00B10F57" w:rsidRPr="00F01083" w:rsidRDefault="00B10F57" w:rsidP="00F01083">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79966BA5" w14:textId="77777777" w:rsidR="00B10F57" w:rsidRPr="00F01083" w:rsidRDefault="00B10F57" w:rsidP="00F01083">
            <w:pPr>
              <w:spacing w:after="0" w:line="240" w:lineRule="auto"/>
              <w:jc w:val="right"/>
              <w:rPr>
                <w:rFonts w:ascii="Times New Roman" w:hAnsi="Times New Roman"/>
                <w:sz w:val="20"/>
              </w:rPr>
            </w:pPr>
          </w:p>
        </w:tc>
      </w:tr>
      <w:tr w:rsidR="00B10F57" w:rsidRPr="00B10F57" w14:paraId="1FA3993B"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66BEBD54"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Gains</w:t>
            </w:r>
          </w:p>
        </w:tc>
        <w:tc>
          <w:tcPr>
            <w:tcW w:w="579" w:type="pct"/>
            <w:tcBorders>
              <w:top w:val="nil"/>
              <w:left w:val="nil"/>
              <w:bottom w:val="nil"/>
              <w:right w:val="nil"/>
            </w:tcBorders>
            <w:shd w:val="clear" w:color="auto" w:fill="auto"/>
            <w:noWrap/>
            <w:hideMark/>
          </w:tcPr>
          <w:p w14:paraId="3E721E13" w14:textId="77777777" w:rsidR="00B10F57" w:rsidRPr="00F01083" w:rsidRDefault="00B10F57" w:rsidP="00F01083">
            <w:pPr>
              <w:spacing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AF8A19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F5BB36F" w14:textId="77777777" w:rsidR="00B10F57" w:rsidRPr="00F01083" w:rsidRDefault="00B10F57" w:rsidP="00F01083">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2BFF8F27" w14:textId="77777777" w:rsidR="00B10F57" w:rsidRPr="00F01083" w:rsidRDefault="00B10F57" w:rsidP="00F01083">
            <w:pPr>
              <w:spacing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06239F51" w14:textId="77777777" w:rsidR="00B10F57" w:rsidRPr="00F01083" w:rsidRDefault="00B10F57" w:rsidP="00F01083">
            <w:pPr>
              <w:spacing w:after="0" w:line="240" w:lineRule="auto"/>
              <w:jc w:val="right"/>
              <w:rPr>
                <w:rFonts w:ascii="Times New Roman" w:hAnsi="Times New Roman"/>
                <w:sz w:val="20"/>
              </w:rPr>
            </w:pPr>
          </w:p>
        </w:tc>
      </w:tr>
      <w:tr w:rsidR="00B10F57" w:rsidRPr="00B10F57" w14:paraId="41195241"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623A25C1" w14:textId="77777777" w:rsidR="00B10F57" w:rsidRPr="00F01083" w:rsidRDefault="00B10F57" w:rsidP="003E6F0E">
            <w:pPr>
              <w:spacing w:after="0" w:line="240" w:lineRule="auto"/>
              <w:ind w:left="170"/>
              <w:rPr>
                <w:rFonts w:ascii="Arial" w:hAnsi="Arial" w:cs="Arial"/>
                <w:sz w:val="16"/>
                <w:szCs w:val="16"/>
              </w:rPr>
            </w:pPr>
            <w:r w:rsidRPr="00F01083">
              <w:rPr>
                <w:rFonts w:ascii="Arial" w:hAnsi="Arial" w:cs="Arial"/>
                <w:sz w:val="16"/>
                <w:szCs w:val="16"/>
              </w:rPr>
              <w:t>Other</w:t>
            </w:r>
          </w:p>
        </w:tc>
        <w:tc>
          <w:tcPr>
            <w:tcW w:w="579" w:type="pct"/>
            <w:tcBorders>
              <w:top w:val="nil"/>
              <w:left w:val="nil"/>
              <w:bottom w:val="nil"/>
              <w:right w:val="nil"/>
            </w:tcBorders>
            <w:shd w:val="clear" w:color="auto" w:fill="auto"/>
            <w:noWrap/>
            <w:hideMark/>
          </w:tcPr>
          <w:p w14:paraId="6BC7353A"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34 </w:t>
            </w:r>
          </w:p>
        </w:tc>
        <w:tc>
          <w:tcPr>
            <w:tcW w:w="579" w:type="pct"/>
            <w:tcBorders>
              <w:top w:val="nil"/>
              <w:left w:val="nil"/>
              <w:bottom w:val="nil"/>
              <w:right w:val="nil"/>
            </w:tcBorders>
            <w:shd w:val="clear" w:color="000000" w:fill="E6E6E6"/>
            <w:noWrap/>
            <w:hideMark/>
          </w:tcPr>
          <w:p w14:paraId="5451E349"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34 </w:t>
            </w:r>
          </w:p>
        </w:tc>
        <w:tc>
          <w:tcPr>
            <w:tcW w:w="579" w:type="pct"/>
            <w:tcBorders>
              <w:top w:val="nil"/>
              <w:left w:val="nil"/>
              <w:bottom w:val="nil"/>
              <w:right w:val="nil"/>
            </w:tcBorders>
            <w:shd w:val="clear" w:color="auto" w:fill="auto"/>
            <w:noWrap/>
            <w:hideMark/>
          </w:tcPr>
          <w:p w14:paraId="6489530A"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34 </w:t>
            </w:r>
          </w:p>
        </w:tc>
        <w:tc>
          <w:tcPr>
            <w:tcW w:w="579" w:type="pct"/>
            <w:tcBorders>
              <w:top w:val="nil"/>
              <w:left w:val="nil"/>
              <w:bottom w:val="nil"/>
              <w:right w:val="nil"/>
            </w:tcBorders>
            <w:shd w:val="clear" w:color="auto" w:fill="auto"/>
            <w:noWrap/>
            <w:hideMark/>
          </w:tcPr>
          <w:p w14:paraId="03439994"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34 </w:t>
            </w:r>
          </w:p>
        </w:tc>
        <w:tc>
          <w:tcPr>
            <w:tcW w:w="579" w:type="pct"/>
            <w:tcBorders>
              <w:top w:val="nil"/>
              <w:left w:val="nil"/>
              <w:bottom w:val="nil"/>
              <w:right w:val="nil"/>
            </w:tcBorders>
            <w:shd w:val="clear" w:color="auto" w:fill="auto"/>
            <w:noWrap/>
            <w:hideMark/>
          </w:tcPr>
          <w:p w14:paraId="5367684E"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34 </w:t>
            </w:r>
          </w:p>
        </w:tc>
      </w:tr>
      <w:tr w:rsidR="00B10F57" w:rsidRPr="00B10F57" w14:paraId="20185455"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037550E6"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hideMark/>
          </w:tcPr>
          <w:p w14:paraId="46AD2D6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000000" w:fill="E6E6E6"/>
            <w:noWrap/>
            <w:hideMark/>
          </w:tcPr>
          <w:p w14:paraId="7CB34B1D"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hideMark/>
          </w:tcPr>
          <w:p w14:paraId="0555860F"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hideMark/>
          </w:tcPr>
          <w:p w14:paraId="3D049DEE"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hideMark/>
          </w:tcPr>
          <w:p w14:paraId="752B7AF1"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r>
      <w:tr w:rsidR="00B10F57" w:rsidRPr="00B10F57" w14:paraId="57264151"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60680031"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Total own-source income</w:t>
            </w:r>
          </w:p>
        </w:tc>
        <w:tc>
          <w:tcPr>
            <w:tcW w:w="579" w:type="pct"/>
            <w:tcBorders>
              <w:top w:val="nil"/>
              <w:left w:val="nil"/>
              <w:bottom w:val="single" w:sz="4" w:space="0" w:color="auto"/>
              <w:right w:val="nil"/>
            </w:tcBorders>
            <w:shd w:val="clear" w:color="auto" w:fill="auto"/>
            <w:noWrap/>
            <w:hideMark/>
          </w:tcPr>
          <w:p w14:paraId="10DC444D"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nil"/>
              <w:left w:val="nil"/>
              <w:bottom w:val="single" w:sz="4" w:space="0" w:color="auto"/>
              <w:right w:val="nil"/>
            </w:tcBorders>
            <w:shd w:val="clear" w:color="000000" w:fill="E6E6E6"/>
            <w:noWrap/>
            <w:hideMark/>
          </w:tcPr>
          <w:p w14:paraId="6D34F20C"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hideMark/>
          </w:tcPr>
          <w:p w14:paraId="2336996B"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hideMark/>
          </w:tcPr>
          <w:p w14:paraId="00A85672"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hideMark/>
          </w:tcPr>
          <w:p w14:paraId="55090C3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34 </w:t>
            </w:r>
          </w:p>
        </w:tc>
      </w:tr>
      <w:tr w:rsidR="00B10F57" w:rsidRPr="00B10F57" w14:paraId="58F70D17" w14:textId="77777777" w:rsidTr="003E6F0E">
        <w:trPr>
          <w:divId w:val="26610405"/>
          <w:trHeight w:hRule="exact" w:val="450"/>
        </w:trPr>
        <w:tc>
          <w:tcPr>
            <w:tcW w:w="2106" w:type="pct"/>
            <w:tcBorders>
              <w:top w:val="nil"/>
              <w:left w:val="nil"/>
              <w:bottom w:val="nil"/>
              <w:right w:val="nil"/>
            </w:tcBorders>
            <w:shd w:val="clear" w:color="auto" w:fill="auto"/>
            <w:hideMark/>
          </w:tcPr>
          <w:p w14:paraId="71A4B396" w14:textId="77777777" w:rsidR="00B10F57" w:rsidRPr="00F01083" w:rsidRDefault="00B10F57" w:rsidP="00F01083">
            <w:pPr>
              <w:spacing w:after="0" w:line="240" w:lineRule="auto"/>
              <w:rPr>
                <w:rFonts w:ascii="Arial" w:hAnsi="Arial" w:cs="Arial"/>
                <w:b/>
                <w:bCs/>
                <w:color w:val="000000"/>
                <w:sz w:val="16"/>
                <w:szCs w:val="16"/>
              </w:rPr>
            </w:pPr>
            <w:r w:rsidRPr="00F01083">
              <w:rPr>
                <w:rFonts w:ascii="Arial" w:hAnsi="Arial" w:cs="Arial"/>
                <w:b/>
                <w:bCs/>
                <w:color w:val="000000"/>
                <w:sz w:val="16"/>
                <w:szCs w:val="16"/>
              </w:rPr>
              <w:t>Net (cost of)/contribution by</w:t>
            </w:r>
            <w:r w:rsidRPr="00F01083">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568A88A9"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(1,683)</w:t>
            </w:r>
          </w:p>
        </w:tc>
        <w:tc>
          <w:tcPr>
            <w:tcW w:w="579" w:type="pct"/>
            <w:tcBorders>
              <w:top w:val="nil"/>
              <w:left w:val="nil"/>
              <w:bottom w:val="single" w:sz="4" w:space="0" w:color="auto"/>
              <w:right w:val="nil"/>
            </w:tcBorders>
            <w:shd w:val="clear" w:color="000000" w:fill="E6E6E6"/>
            <w:noWrap/>
            <w:vAlign w:val="bottom"/>
            <w:hideMark/>
          </w:tcPr>
          <w:p w14:paraId="1BA9AF50"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(1,727)</w:t>
            </w:r>
          </w:p>
        </w:tc>
        <w:tc>
          <w:tcPr>
            <w:tcW w:w="579" w:type="pct"/>
            <w:tcBorders>
              <w:top w:val="nil"/>
              <w:left w:val="nil"/>
              <w:bottom w:val="single" w:sz="4" w:space="0" w:color="auto"/>
              <w:right w:val="nil"/>
            </w:tcBorders>
            <w:shd w:val="clear" w:color="auto" w:fill="auto"/>
            <w:noWrap/>
            <w:vAlign w:val="bottom"/>
            <w:hideMark/>
          </w:tcPr>
          <w:p w14:paraId="57B74376"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(1,764)</w:t>
            </w:r>
          </w:p>
        </w:tc>
        <w:tc>
          <w:tcPr>
            <w:tcW w:w="579" w:type="pct"/>
            <w:tcBorders>
              <w:top w:val="nil"/>
              <w:left w:val="nil"/>
              <w:bottom w:val="single" w:sz="4" w:space="0" w:color="auto"/>
              <w:right w:val="nil"/>
            </w:tcBorders>
            <w:shd w:val="clear" w:color="auto" w:fill="auto"/>
            <w:noWrap/>
            <w:vAlign w:val="bottom"/>
            <w:hideMark/>
          </w:tcPr>
          <w:p w14:paraId="2CA3F6EF"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(1,788)</w:t>
            </w:r>
          </w:p>
        </w:tc>
        <w:tc>
          <w:tcPr>
            <w:tcW w:w="579" w:type="pct"/>
            <w:tcBorders>
              <w:top w:val="nil"/>
              <w:left w:val="nil"/>
              <w:bottom w:val="single" w:sz="4" w:space="0" w:color="auto"/>
              <w:right w:val="nil"/>
            </w:tcBorders>
            <w:shd w:val="clear" w:color="auto" w:fill="auto"/>
            <w:noWrap/>
            <w:vAlign w:val="bottom"/>
            <w:hideMark/>
          </w:tcPr>
          <w:p w14:paraId="29450C56"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(1,824)</w:t>
            </w:r>
          </w:p>
        </w:tc>
      </w:tr>
      <w:tr w:rsidR="00B10F57" w:rsidRPr="00B10F57" w14:paraId="64A6A36E"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18BE20FF" w14:textId="77777777" w:rsidR="00B10F57" w:rsidRPr="00F01083" w:rsidRDefault="00B10F57" w:rsidP="003E6F0E">
            <w:pPr>
              <w:spacing w:after="0" w:line="240" w:lineRule="auto"/>
              <w:ind w:left="170"/>
              <w:rPr>
                <w:rFonts w:ascii="Arial" w:hAnsi="Arial" w:cs="Arial"/>
                <w:sz w:val="16"/>
                <w:szCs w:val="16"/>
              </w:rPr>
            </w:pPr>
            <w:r w:rsidRPr="00F01083">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hideMark/>
          </w:tcPr>
          <w:p w14:paraId="510490DB"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1,683 </w:t>
            </w:r>
          </w:p>
        </w:tc>
        <w:tc>
          <w:tcPr>
            <w:tcW w:w="579" w:type="pct"/>
            <w:tcBorders>
              <w:top w:val="nil"/>
              <w:left w:val="nil"/>
              <w:bottom w:val="single" w:sz="4" w:space="0" w:color="auto"/>
              <w:right w:val="nil"/>
            </w:tcBorders>
            <w:shd w:val="clear" w:color="000000" w:fill="E6E6E6"/>
            <w:noWrap/>
            <w:hideMark/>
          </w:tcPr>
          <w:p w14:paraId="37360092"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1,727 </w:t>
            </w:r>
          </w:p>
        </w:tc>
        <w:tc>
          <w:tcPr>
            <w:tcW w:w="579" w:type="pct"/>
            <w:tcBorders>
              <w:top w:val="nil"/>
              <w:left w:val="nil"/>
              <w:bottom w:val="single" w:sz="4" w:space="0" w:color="auto"/>
              <w:right w:val="nil"/>
            </w:tcBorders>
            <w:shd w:val="clear" w:color="auto" w:fill="auto"/>
            <w:noWrap/>
            <w:hideMark/>
          </w:tcPr>
          <w:p w14:paraId="2DC0A0CE"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1,764 </w:t>
            </w:r>
          </w:p>
        </w:tc>
        <w:tc>
          <w:tcPr>
            <w:tcW w:w="579" w:type="pct"/>
            <w:tcBorders>
              <w:top w:val="nil"/>
              <w:left w:val="nil"/>
              <w:bottom w:val="single" w:sz="4" w:space="0" w:color="auto"/>
              <w:right w:val="nil"/>
            </w:tcBorders>
            <w:shd w:val="clear" w:color="auto" w:fill="auto"/>
            <w:noWrap/>
            <w:hideMark/>
          </w:tcPr>
          <w:p w14:paraId="51E5C86A"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1,788 </w:t>
            </w:r>
          </w:p>
        </w:tc>
        <w:tc>
          <w:tcPr>
            <w:tcW w:w="579" w:type="pct"/>
            <w:tcBorders>
              <w:top w:val="nil"/>
              <w:left w:val="nil"/>
              <w:bottom w:val="single" w:sz="4" w:space="0" w:color="auto"/>
              <w:right w:val="nil"/>
            </w:tcBorders>
            <w:shd w:val="clear" w:color="auto" w:fill="auto"/>
            <w:noWrap/>
            <w:hideMark/>
          </w:tcPr>
          <w:p w14:paraId="77467295" w14:textId="77777777" w:rsidR="00B10F57" w:rsidRPr="00F01083" w:rsidRDefault="00B10F57" w:rsidP="00F01083">
            <w:pPr>
              <w:spacing w:after="0" w:line="240" w:lineRule="auto"/>
              <w:jc w:val="right"/>
              <w:rPr>
                <w:rFonts w:ascii="Arial" w:hAnsi="Arial" w:cs="Arial"/>
                <w:sz w:val="16"/>
                <w:szCs w:val="16"/>
              </w:rPr>
            </w:pPr>
            <w:r w:rsidRPr="00F01083">
              <w:rPr>
                <w:rFonts w:ascii="Arial" w:hAnsi="Arial" w:cs="Arial"/>
                <w:sz w:val="16"/>
                <w:szCs w:val="16"/>
              </w:rPr>
              <w:t xml:space="preserve">1,824 </w:t>
            </w:r>
          </w:p>
        </w:tc>
      </w:tr>
      <w:tr w:rsidR="00B10F57" w:rsidRPr="00B10F57" w14:paraId="182AD644" w14:textId="77777777" w:rsidTr="003E6F0E">
        <w:trPr>
          <w:divId w:val="26610405"/>
          <w:trHeight w:hRule="exact" w:val="450"/>
        </w:trPr>
        <w:tc>
          <w:tcPr>
            <w:tcW w:w="2106" w:type="pct"/>
            <w:tcBorders>
              <w:top w:val="nil"/>
              <w:left w:val="nil"/>
              <w:bottom w:val="nil"/>
              <w:right w:val="nil"/>
            </w:tcBorders>
            <w:shd w:val="clear" w:color="auto" w:fill="auto"/>
            <w:vAlign w:val="bottom"/>
            <w:hideMark/>
          </w:tcPr>
          <w:p w14:paraId="67D8A2FA"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Surplus/(deficit) attributable to the</w:t>
            </w:r>
            <w:r w:rsidRPr="00F01083">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7CF13FDC"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4E2BE277"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049BDFB4"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AE1A227"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D16A0FC"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r>
      <w:tr w:rsidR="00B10F57" w:rsidRPr="00B10F57" w14:paraId="65CC4626" w14:textId="77777777" w:rsidTr="003E6F0E">
        <w:trPr>
          <w:divId w:val="26610405"/>
          <w:trHeight w:hRule="exact" w:val="225"/>
        </w:trPr>
        <w:tc>
          <w:tcPr>
            <w:tcW w:w="2106" w:type="pct"/>
            <w:tcBorders>
              <w:top w:val="nil"/>
              <w:left w:val="nil"/>
              <w:bottom w:val="nil"/>
              <w:right w:val="nil"/>
            </w:tcBorders>
            <w:shd w:val="clear" w:color="auto" w:fill="auto"/>
            <w:noWrap/>
            <w:hideMark/>
          </w:tcPr>
          <w:p w14:paraId="3E6AA5C7"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Total comprehensive income/(loss)</w:t>
            </w:r>
          </w:p>
        </w:tc>
        <w:tc>
          <w:tcPr>
            <w:tcW w:w="579" w:type="pct"/>
            <w:tcBorders>
              <w:top w:val="nil"/>
              <w:left w:val="nil"/>
              <w:bottom w:val="single" w:sz="4" w:space="0" w:color="auto"/>
              <w:right w:val="nil"/>
            </w:tcBorders>
            <w:shd w:val="clear" w:color="auto" w:fill="auto"/>
            <w:noWrap/>
            <w:vAlign w:val="bottom"/>
            <w:hideMark/>
          </w:tcPr>
          <w:p w14:paraId="1C668A2D"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24CFB3BF"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4F2F603B"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78B99F6"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719E6D19"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r>
      <w:tr w:rsidR="00B10F57" w:rsidRPr="00B10F57" w14:paraId="7B420EF0" w14:textId="77777777" w:rsidTr="003E6F0E">
        <w:trPr>
          <w:divId w:val="26610405"/>
          <w:trHeight w:hRule="exact" w:val="675"/>
        </w:trPr>
        <w:tc>
          <w:tcPr>
            <w:tcW w:w="2106" w:type="pct"/>
            <w:tcBorders>
              <w:top w:val="nil"/>
              <w:left w:val="nil"/>
              <w:bottom w:val="single" w:sz="4" w:space="0" w:color="auto"/>
              <w:right w:val="nil"/>
            </w:tcBorders>
            <w:shd w:val="clear" w:color="auto" w:fill="auto"/>
            <w:hideMark/>
          </w:tcPr>
          <w:p w14:paraId="68AC1990" w14:textId="77777777" w:rsidR="00B10F57" w:rsidRPr="00F01083" w:rsidRDefault="00B10F57" w:rsidP="00F01083">
            <w:pPr>
              <w:spacing w:after="0" w:line="240" w:lineRule="auto"/>
              <w:rPr>
                <w:rFonts w:ascii="Arial" w:hAnsi="Arial" w:cs="Arial"/>
                <w:b/>
                <w:bCs/>
                <w:sz w:val="16"/>
                <w:szCs w:val="16"/>
              </w:rPr>
            </w:pPr>
            <w:r w:rsidRPr="00F01083">
              <w:rPr>
                <w:rFonts w:ascii="Arial" w:hAnsi="Arial" w:cs="Arial"/>
                <w:b/>
                <w:bCs/>
                <w:sz w:val="16"/>
                <w:szCs w:val="16"/>
              </w:rPr>
              <w:t>Total comprehensive income/(loss)</w:t>
            </w:r>
            <w:r w:rsidRPr="00F01083">
              <w:rPr>
                <w:rFonts w:ascii="Arial" w:hAnsi="Arial" w:cs="Arial"/>
                <w:b/>
                <w:bCs/>
                <w:sz w:val="16"/>
                <w:szCs w:val="16"/>
              </w:rPr>
              <w:br/>
              <w:t xml:space="preserve">  attributable to the Australian</w:t>
            </w:r>
            <w:r w:rsidRPr="00F01083">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D5D8986"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787195D8"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388E7A34"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4CF2E4BF"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D3E54A5" w14:textId="77777777" w:rsidR="00B10F57" w:rsidRPr="00F01083" w:rsidRDefault="00B10F57" w:rsidP="00F01083">
            <w:pPr>
              <w:spacing w:after="0" w:line="240" w:lineRule="auto"/>
              <w:jc w:val="right"/>
              <w:rPr>
                <w:rFonts w:ascii="Arial" w:hAnsi="Arial" w:cs="Arial"/>
                <w:b/>
                <w:bCs/>
                <w:sz w:val="16"/>
                <w:szCs w:val="16"/>
              </w:rPr>
            </w:pPr>
            <w:r w:rsidRPr="00F01083">
              <w:rPr>
                <w:rFonts w:ascii="Arial" w:hAnsi="Arial" w:cs="Arial"/>
                <w:b/>
                <w:bCs/>
                <w:sz w:val="16"/>
                <w:szCs w:val="16"/>
              </w:rPr>
              <w:t xml:space="preserve">- </w:t>
            </w:r>
          </w:p>
        </w:tc>
      </w:tr>
    </w:tbl>
    <w:p w14:paraId="5341B1F9" w14:textId="240293C2" w:rsidR="00C93D98" w:rsidRDefault="000743BE" w:rsidP="00F01083">
      <w:pPr>
        <w:pStyle w:val="TableHeading"/>
        <w:spacing w:before="0" w:after="0"/>
      </w:pPr>
      <w:r w:rsidRPr="003E6F0E">
        <w:rPr>
          <w:rFonts w:cs="Arial"/>
          <w:b w:val="0"/>
          <w:bCs/>
          <w:sz w:val="16"/>
          <w:szCs w:val="16"/>
        </w:rPr>
        <w:t>Prepared on Australian Accounting Standards basis.</w:t>
      </w:r>
    </w:p>
    <w:p w14:paraId="37D9EFC8" w14:textId="77777777" w:rsidR="00C93D98" w:rsidRDefault="00C93D98" w:rsidP="00F9685E">
      <w:pPr>
        <w:pStyle w:val="TableLine"/>
      </w:pPr>
    </w:p>
    <w:p w14:paraId="59870C6F" w14:textId="77777777" w:rsidR="00E116A7" w:rsidRDefault="00E116A7">
      <w:pPr>
        <w:widowControl w:val="0"/>
        <w:autoSpaceDE w:val="0"/>
        <w:autoSpaceDN w:val="0"/>
        <w:spacing w:after="0" w:line="240" w:lineRule="auto"/>
        <w:rPr>
          <w:rFonts w:ascii="Arial" w:hAnsi="Arial"/>
          <w:b/>
          <w:sz w:val="20"/>
        </w:rPr>
      </w:pPr>
      <w:r>
        <w:br w:type="page"/>
      </w:r>
    </w:p>
    <w:p w14:paraId="6B07B4CC" w14:textId="0F900AFF" w:rsidR="00E645D7" w:rsidRDefault="00465A87" w:rsidP="00E645D7">
      <w:pPr>
        <w:pStyle w:val="TableHeading"/>
        <w:rPr>
          <w:rFonts w:asciiTheme="minorHAnsi" w:eastAsiaTheme="minorHAnsi" w:hAnsiTheme="minorHAnsi" w:cstheme="minorBidi"/>
          <w:sz w:val="22"/>
          <w:szCs w:val="22"/>
          <w:lang w:val="en-US" w:eastAsia="en-US"/>
        </w:rPr>
      </w:pPr>
      <w:r>
        <w:lastRenderedPageBreak/>
        <w:t>Table</w:t>
      </w:r>
      <w:r>
        <w:rPr>
          <w:spacing w:val="-8"/>
        </w:rPr>
        <w:t xml:space="preserve"> </w:t>
      </w:r>
      <w:r>
        <w:t>3.2:</w:t>
      </w:r>
      <w:r>
        <w:rPr>
          <w:spacing w:val="-6"/>
        </w:rPr>
        <w:t xml:space="preserve"> </w:t>
      </w:r>
      <w:r>
        <w:t>Budgeted</w:t>
      </w:r>
      <w:r>
        <w:rPr>
          <w:spacing w:val="-6"/>
        </w:rPr>
        <w:t xml:space="preserve"> </w:t>
      </w:r>
      <w:r>
        <w:t>departmental</w:t>
      </w:r>
      <w:r>
        <w:rPr>
          <w:spacing w:val="-8"/>
        </w:rPr>
        <w:t xml:space="preserve"> </w:t>
      </w:r>
      <w:r>
        <w:t>balance</w:t>
      </w:r>
      <w:r>
        <w:rPr>
          <w:spacing w:val="-5"/>
        </w:rPr>
        <w:t xml:space="preserve"> </w:t>
      </w:r>
      <w:r>
        <w:t>sheet</w:t>
      </w:r>
      <w:r>
        <w:rPr>
          <w:spacing w:val="-6"/>
        </w:rPr>
        <w:t xml:space="preserve"> </w:t>
      </w:r>
      <w:r>
        <w:t>(as</w:t>
      </w:r>
      <w:r>
        <w:rPr>
          <w:spacing w:val="-8"/>
        </w:rPr>
        <w:t xml:space="preserve"> </w:t>
      </w:r>
      <w:proofErr w:type="gramStart"/>
      <w:r>
        <w:t>at</w:t>
      </w:r>
      <w:proofErr w:type="gramEnd"/>
      <w:r>
        <w:rPr>
          <w:spacing w:val="-6"/>
        </w:rPr>
        <w:t xml:space="preserve"> </w:t>
      </w:r>
      <w:r>
        <w:t>30</w:t>
      </w:r>
      <w:r>
        <w:rPr>
          <w:spacing w:val="-6"/>
        </w:rPr>
        <w:t xml:space="preserve"> </w:t>
      </w:r>
      <w:r>
        <w:rPr>
          <w:spacing w:val="-2"/>
        </w:rPr>
        <w:t>June)</w:t>
      </w:r>
      <w:r w:rsidR="003842E8">
        <w:t xml:space="preserve"> </w:t>
      </w:r>
    </w:p>
    <w:tbl>
      <w:tblPr>
        <w:tblW w:w="5000" w:type="pct"/>
        <w:tblCellMar>
          <w:left w:w="0" w:type="dxa"/>
          <w:right w:w="28" w:type="dxa"/>
        </w:tblCellMar>
        <w:tblLook w:val="04A0" w:firstRow="1" w:lastRow="0" w:firstColumn="1" w:lastColumn="0" w:noHBand="0" w:noVBand="1"/>
      </w:tblPr>
      <w:tblGrid>
        <w:gridCol w:w="2995"/>
        <w:gridCol w:w="944"/>
        <w:gridCol w:w="944"/>
        <w:gridCol w:w="944"/>
        <w:gridCol w:w="944"/>
        <w:gridCol w:w="943"/>
      </w:tblGrid>
      <w:tr w:rsidR="00E645D7" w:rsidRPr="00E645D7" w14:paraId="0F11C48A" w14:textId="77777777" w:rsidTr="009C0838">
        <w:trPr>
          <w:divId w:val="948127689"/>
          <w:trHeight w:hRule="exact" w:val="900"/>
        </w:trPr>
        <w:tc>
          <w:tcPr>
            <w:tcW w:w="1941" w:type="pct"/>
            <w:tcBorders>
              <w:top w:val="single" w:sz="4" w:space="0" w:color="auto"/>
              <w:left w:val="nil"/>
              <w:bottom w:val="nil"/>
              <w:right w:val="nil"/>
            </w:tcBorders>
            <w:shd w:val="clear" w:color="auto" w:fill="auto"/>
            <w:noWrap/>
            <w:hideMark/>
          </w:tcPr>
          <w:p w14:paraId="18042DC9" w14:textId="5B266543" w:rsidR="00E645D7" w:rsidRPr="00E645D7" w:rsidRDefault="00E645D7" w:rsidP="00E645D7">
            <w:pPr>
              <w:spacing w:after="0" w:line="240" w:lineRule="auto"/>
              <w:rPr>
                <w:rFonts w:ascii="Arial" w:hAnsi="Arial" w:cs="Arial"/>
                <w:b/>
                <w:bCs/>
                <w:sz w:val="16"/>
                <w:szCs w:val="16"/>
              </w:rPr>
            </w:pPr>
            <w:r w:rsidRPr="00E645D7">
              <w:rPr>
                <w:rFonts w:ascii="Arial" w:hAnsi="Arial" w:cs="Arial"/>
                <w:b/>
                <w:bCs/>
                <w:sz w:val="16"/>
                <w:szCs w:val="16"/>
              </w:rPr>
              <w:t> </w:t>
            </w:r>
          </w:p>
        </w:tc>
        <w:tc>
          <w:tcPr>
            <w:tcW w:w="612" w:type="pct"/>
            <w:tcBorders>
              <w:top w:val="single" w:sz="4" w:space="0" w:color="auto"/>
              <w:left w:val="nil"/>
              <w:bottom w:val="single" w:sz="4" w:space="0" w:color="auto"/>
              <w:right w:val="nil"/>
            </w:tcBorders>
            <w:shd w:val="clear" w:color="auto" w:fill="auto"/>
            <w:hideMark/>
          </w:tcPr>
          <w:p w14:paraId="735D3A1A" w14:textId="668FBFC2" w:rsidR="00E645D7" w:rsidRPr="00E645D7" w:rsidRDefault="00E645D7" w:rsidP="00E645D7">
            <w:pPr>
              <w:spacing w:after="0" w:line="240" w:lineRule="auto"/>
              <w:jc w:val="right"/>
              <w:rPr>
                <w:rFonts w:ascii="Arial" w:hAnsi="Arial" w:cs="Arial"/>
                <w:sz w:val="16"/>
                <w:szCs w:val="16"/>
              </w:rPr>
            </w:pPr>
            <w:r w:rsidRPr="00E645D7">
              <w:rPr>
                <w:rFonts w:ascii="Arial" w:hAnsi="Arial" w:cs="Arial"/>
                <w:sz w:val="16"/>
                <w:szCs w:val="16"/>
              </w:rPr>
              <w:t>2022</w:t>
            </w:r>
            <w:r w:rsidR="009E2237">
              <w:rPr>
                <w:rFonts w:ascii="Arial" w:hAnsi="Arial" w:cs="Arial"/>
                <w:sz w:val="16"/>
                <w:szCs w:val="16"/>
              </w:rPr>
              <w:noBreakHyphen/>
            </w:r>
            <w:r w:rsidRPr="00E645D7">
              <w:rPr>
                <w:rFonts w:ascii="Arial" w:hAnsi="Arial" w:cs="Arial"/>
                <w:sz w:val="16"/>
                <w:szCs w:val="16"/>
              </w:rPr>
              <w:t>23 Estimated actual</w:t>
            </w:r>
            <w:r w:rsidRPr="00E645D7">
              <w:rPr>
                <w:rFonts w:ascii="Arial" w:hAnsi="Arial" w:cs="Arial"/>
                <w:sz w:val="16"/>
                <w:szCs w:val="16"/>
              </w:rPr>
              <w:br/>
              <w:t>$</w:t>
            </w:r>
            <w:r w:rsidR="009E2237">
              <w:rPr>
                <w:rFonts w:ascii="Arial" w:hAnsi="Arial" w:cs="Arial"/>
                <w:sz w:val="16"/>
                <w:szCs w:val="16"/>
              </w:rPr>
              <w:t>’</w:t>
            </w:r>
            <w:r w:rsidRPr="00E645D7">
              <w:rPr>
                <w:rFonts w:ascii="Arial" w:hAnsi="Arial" w:cs="Arial"/>
                <w:sz w:val="16"/>
                <w:szCs w:val="16"/>
              </w:rPr>
              <w:t>000</w:t>
            </w:r>
          </w:p>
        </w:tc>
        <w:tc>
          <w:tcPr>
            <w:tcW w:w="612" w:type="pct"/>
            <w:tcBorders>
              <w:top w:val="single" w:sz="4" w:space="0" w:color="auto"/>
              <w:left w:val="nil"/>
              <w:bottom w:val="single" w:sz="4" w:space="0" w:color="auto"/>
              <w:right w:val="nil"/>
            </w:tcBorders>
            <w:shd w:val="clear" w:color="000000" w:fill="E6E6E6"/>
            <w:hideMark/>
          </w:tcPr>
          <w:p w14:paraId="5A8AFF97" w14:textId="5DFBBCE7" w:rsidR="00E645D7" w:rsidRPr="00E645D7" w:rsidRDefault="00E645D7" w:rsidP="00E645D7">
            <w:pPr>
              <w:spacing w:after="0" w:line="240" w:lineRule="auto"/>
              <w:jc w:val="right"/>
              <w:rPr>
                <w:rFonts w:ascii="Arial" w:hAnsi="Arial" w:cs="Arial"/>
                <w:sz w:val="16"/>
                <w:szCs w:val="16"/>
              </w:rPr>
            </w:pPr>
            <w:r w:rsidRPr="00E645D7">
              <w:rPr>
                <w:rFonts w:ascii="Arial" w:hAnsi="Arial" w:cs="Arial"/>
                <w:sz w:val="16"/>
                <w:szCs w:val="16"/>
              </w:rPr>
              <w:t>2023</w:t>
            </w:r>
            <w:r w:rsidR="009E2237">
              <w:rPr>
                <w:rFonts w:ascii="Arial" w:hAnsi="Arial" w:cs="Arial"/>
                <w:sz w:val="16"/>
                <w:szCs w:val="16"/>
              </w:rPr>
              <w:noBreakHyphen/>
            </w:r>
            <w:r w:rsidRPr="00E645D7">
              <w:rPr>
                <w:rFonts w:ascii="Arial" w:hAnsi="Arial" w:cs="Arial"/>
                <w:sz w:val="16"/>
                <w:szCs w:val="16"/>
              </w:rPr>
              <w:t>24</w:t>
            </w:r>
            <w:r w:rsidRPr="00E645D7">
              <w:rPr>
                <w:rFonts w:ascii="Arial" w:hAnsi="Arial" w:cs="Arial"/>
                <w:sz w:val="16"/>
                <w:szCs w:val="16"/>
              </w:rPr>
              <w:br/>
              <w:t>Budget</w:t>
            </w:r>
            <w:r w:rsidRPr="00E645D7">
              <w:rPr>
                <w:rFonts w:ascii="Arial" w:hAnsi="Arial" w:cs="Arial"/>
                <w:sz w:val="16"/>
                <w:szCs w:val="16"/>
              </w:rPr>
              <w:br/>
            </w:r>
            <w:r w:rsidRPr="00E645D7">
              <w:rPr>
                <w:rFonts w:ascii="Arial" w:hAnsi="Arial" w:cs="Arial"/>
                <w:sz w:val="16"/>
                <w:szCs w:val="16"/>
              </w:rPr>
              <w:br/>
              <w:t>$</w:t>
            </w:r>
            <w:r w:rsidR="009E2237">
              <w:rPr>
                <w:rFonts w:ascii="Arial" w:hAnsi="Arial" w:cs="Arial"/>
                <w:sz w:val="16"/>
                <w:szCs w:val="16"/>
              </w:rPr>
              <w:t>’</w:t>
            </w:r>
            <w:r w:rsidRPr="00E645D7">
              <w:rPr>
                <w:rFonts w:ascii="Arial" w:hAnsi="Arial" w:cs="Arial"/>
                <w:sz w:val="16"/>
                <w:szCs w:val="16"/>
              </w:rPr>
              <w:t>000</w:t>
            </w:r>
          </w:p>
        </w:tc>
        <w:tc>
          <w:tcPr>
            <w:tcW w:w="612" w:type="pct"/>
            <w:tcBorders>
              <w:top w:val="single" w:sz="4" w:space="0" w:color="auto"/>
              <w:left w:val="nil"/>
              <w:bottom w:val="single" w:sz="4" w:space="0" w:color="auto"/>
              <w:right w:val="nil"/>
            </w:tcBorders>
            <w:shd w:val="clear" w:color="auto" w:fill="auto"/>
            <w:hideMark/>
          </w:tcPr>
          <w:p w14:paraId="217C1F58" w14:textId="7025B3E7" w:rsidR="00E645D7" w:rsidRPr="00E645D7" w:rsidRDefault="00E645D7" w:rsidP="00E645D7">
            <w:pPr>
              <w:spacing w:after="0" w:line="240" w:lineRule="auto"/>
              <w:jc w:val="right"/>
              <w:rPr>
                <w:rFonts w:ascii="Arial" w:hAnsi="Arial" w:cs="Arial"/>
                <w:sz w:val="16"/>
                <w:szCs w:val="16"/>
              </w:rPr>
            </w:pPr>
            <w:r w:rsidRPr="00E645D7">
              <w:rPr>
                <w:rFonts w:ascii="Arial" w:hAnsi="Arial" w:cs="Arial"/>
                <w:sz w:val="16"/>
                <w:szCs w:val="16"/>
              </w:rPr>
              <w:t>2024</w:t>
            </w:r>
            <w:r w:rsidR="009E2237">
              <w:rPr>
                <w:rFonts w:ascii="Arial" w:hAnsi="Arial" w:cs="Arial"/>
                <w:sz w:val="16"/>
                <w:szCs w:val="16"/>
              </w:rPr>
              <w:noBreakHyphen/>
            </w:r>
            <w:r w:rsidRPr="00E645D7">
              <w:rPr>
                <w:rFonts w:ascii="Arial" w:hAnsi="Arial" w:cs="Arial"/>
                <w:sz w:val="16"/>
                <w:szCs w:val="16"/>
              </w:rPr>
              <w:t>25 Forward estimate</w:t>
            </w:r>
            <w:r w:rsidRPr="00E645D7">
              <w:rPr>
                <w:rFonts w:ascii="Arial" w:hAnsi="Arial" w:cs="Arial"/>
                <w:sz w:val="16"/>
                <w:szCs w:val="16"/>
              </w:rPr>
              <w:br/>
              <w:t>$</w:t>
            </w:r>
            <w:r w:rsidR="009E2237">
              <w:rPr>
                <w:rFonts w:ascii="Arial" w:hAnsi="Arial" w:cs="Arial"/>
                <w:sz w:val="16"/>
                <w:szCs w:val="16"/>
              </w:rPr>
              <w:t>’</w:t>
            </w:r>
            <w:r w:rsidRPr="00E645D7">
              <w:rPr>
                <w:rFonts w:ascii="Arial" w:hAnsi="Arial" w:cs="Arial"/>
                <w:sz w:val="16"/>
                <w:szCs w:val="16"/>
              </w:rPr>
              <w:t>000</w:t>
            </w:r>
          </w:p>
        </w:tc>
        <w:tc>
          <w:tcPr>
            <w:tcW w:w="612" w:type="pct"/>
            <w:tcBorders>
              <w:top w:val="single" w:sz="4" w:space="0" w:color="auto"/>
              <w:left w:val="nil"/>
              <w:bottom w:val="single" w:sz="4" w:space="0" w:color="auto"/>
              <w:right w:val="nil"/>
            </w:tcBorders>
            <w:shd w:val="clear" w:color="auto" w:fill="auto"/>
            <w:hideMark/>
          </w:tcPr>
          <w:p w14:paraId="31CB447E" w14:textId="7C6A29D1" w:rsidR="00E645D7" w:rsidRPr="00E645D7" w:rsidRDefault="00E645D7" w:rsidP="00E645D7">
            <w:pPr>
              <w:spacing w:after="0" w:line="240" w:lineRule="auto"/>
              <w:jc w:val="right"/>
              <w:rPr>
                <w:rFonts w:ascii="Arial" w:hAnsi="Arial" w:cs="Arial"/>
                <w:sz w:val="16"/>
                <w:szCs w:val="16"/>
              </w:rPr>
            </w:pPr>
            <w:r w:rsidRPr="00E645D7">
              <w:rPr>
                <w:rFonts w:ascii="Arial" w:hAnsi="Arial" w:cs="Arial"/>
                <w:sz w:val="16"/>
                <w:szCs w:val="16"/>
              </w:rPr>
              <w:t>2025</w:t>
            </w:r>
            <w:r w:rsidR="009E2237">
              <w:rPr>
                <w:rFonts w:ascii="Arial" w:hAnsi="Arial" w:cs="Arial"/>
                <w:sz w:val="16"/>
                <w:szCs w:val="16"/>
              </w:rPr>
              <w:noBreakHyphen/>
            </w:r>
            <w:r w:rsidRPr="00E645D7">
              <w:rPr>
                <w:rFonts w:ascii="Arial" w:hAnsi="Arial" w:cs="Arial"/>
                <w:sz w:val="16"/>
                <w:szCs w:val="16"/>
              </w:rPr>
              <w:t>26 Forward estimate</w:t>
            </w:r>
            <w:r w:rsidRPr="00E645D7">
              <w:rPr>
                <w:rFonts w:ascii="Arial" w:hAnsi="Arial" w:cs="Arial"/>
                <w:sz w:val="16"/>
                <w:szCs w:val="16"/>
              </w:rPr>
              <w:br/>
              <w:t>$</w:t>
            </w:r>
            <w:r w:rsidR="009E2237">
              <w:rPr>
                <w:rFonts w:ascii="Arial" w:hAnsi="Arial" w:cs="Arial"/>
                <w:sz w:val="16"/>
                <w:szCs w:val="16"/>
              </w:rPr>
              <w:t>’</w:t>
            </w:r>
            <w:r w:rsidRPr="00E645D7">
              <w:rPr>
                <w:rFonts w:ascii="Arial" w:hAnsi="Arial" w:cs="Arial"/>
                <w:sz w:val="16"/>
                <w:szCs w:val="16"/>
              </w:rPr>
              <w:t>000</w:t>
            </w:r>
          </w:p>
        </w:tc>
        <w:tc>
          <w:tcPr>
            <w:tcW w:w="611" w:type="pct"/>
            <w:tcBorders>
              <w:top w:val="single" w:sz="4" w:space="0" w:color="auto"/>
              <w:left w:val="nil"/>
              <w:bottom w:val="single" w:sz="4" w:space="0" w:color="auto"/>
              <w:right w:val="nil"/>
            </w:tcBorders>
            <w:shd w:val="clear" w:color="auto" w:fill="auto"/>
            <w:hideMark/>
          </w:tcPr>
          <w:p w14:paraId="5E0F613A" w14:textId="33199434" w:rsidR="00E645D7" w:rsidRPr="00E645D7" w:rsidRDefault="00E645D7" w:rsidP="00E645D7">
            <w:pPr>
              <w:spacing w:after="0" w:line="240" w:lineRule="auto"/>
              <w:jc w:val="right"/>
              <w:rPr>
                <w:rFonts w:ascii="Arial" w:hAnsi="Arial" w:cs="Arial"/>
                <w:sz w:val="16"/>
                <w:szCs w:val="16"/>
              </w:rPr>
            </w:pPr>
            <w:r w:rsidRPr="00E645D7">
              <w:rPr>
                <w:rFonts w:ascii="Arial" w:hAnsi="Arial" w:cs="Arial"/>
                <w:sz w:val="16"/>
                <w:szCs w:val="16"/>
              </w:rPr>
              <w:t>2026</w:t>
            </w:r>
            <w:r w:rsidR="009E2237">
              <w:rPr>
                <w:rFonts w:ascii="Arial" w:hAnsi="Arial" w:cs="Arial"/>
                <w:sz w:val="16"/>
                <w:szCs w:val="16"/>
              </w:rPr>
              <w:noBreakHyphen/>
            </w:r>
            <w:r w:rsidRPr="00E645D7">
              <w:rPr>
                <w:rFonts w:ascii="Arial" w:hAnsi="Arial" w:cs="Arial"/>
                <w:sz w:val="16"/>
                <w:szCs w:val="16"/>
              </w:rPr>
              <w:t>27</w:t>
            </w:r>
            <w:r w:rsidRPr="00E645D7">
              <w:rPr>
                <w:rFonts w:ascii="Arial" w:hAnsi="Arial" w:cs="Arial"/>
                <w:sz w:val="16"/>
                <w:szCs w:val="16"/>
              </w:rPr>
              <w:br/>
              <w:t>Forward estimate</w:t>
            </w:r>
            <w:r w:rsidRPr="00E645D7">
              <w:rPr>
                <w:rFonts w:ascii="Arial" w:hAnsi="Arial" w:cs="Arial"/>
                <w:sz w:val="16"/>
                <w:szCs w:val="16"/>
              </w:rPr>
              <w:br/>
              <w:t>$</w:t>
            </w:r>
            <w:r w:rsidR="009E2237">
              <w:rPr>
                <w:rFonts w:ascii="Arial" w:hAnsi="Arial" w:cs="Arial"/>
                <w:sz w:val="16"/>
                <w:szCs w:val="16"/>
              </w:rPr>
              <w:t>’</w:t>
            </w:r>
            <w:r w:rsidRPr="00E645D7">
              <w:rPr>
                <w:rFonts w:ascii="Arial" w:hAnsi="Arial" w:cs="Arial"/>
                <w:sz w:val="16"/>
                <w:szCs w:val="16"/>
              </w:rPr>
              <w:t>000</w:t>
            </w:r>
          </w:p>
        </w:tc>
      </w:tr>
      <w:tr w:rsidR="00E645D7" w:rsidRPr="00E645D7" w14:paraId="26D514FB"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37ADAD23"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ASSETS</w:t>
            </w:r>
          </w:p>
        </w:tc>
        <w:tc>
          <w:tcPr>
            <w:tcW w:w="612" w:type="pct"/>
            <w:tcBorders>
              <w:top w:val="nil"/>
              <w:left w:val="nil"/>
              <w:bottom w:val="nil"/>
              <w:right w:val="nil"/>
            </w:tcBorders>
            <w:shd w:val="clear" w:color="auto" w:fill="auto"/>
            <w:noWrap/>
            <w:vAlign w:val="bottom"/>
            <w:hideMark/>
          </w:tcPr>
          <w:p w14:paraId="1CD7EABD" w14:textId="77777777" w:rsidR="00E645D7" w:rsidRPr="00E645D7" w:rsidRDefault="00E645D7" w:rsidP="00E645D7">
            <w:pPr>
              <w:spacing w:after="0" w:line="240" w:lineRule="auto"/>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22551207" w14:textId="77777777" w:rsidR="00E645D7" w:rsidRPr="00E645D7" w:rsidRDefault="00E645D7" w:rsidP="00E645D7">
            <w:pPr>
              <w:spacing w:after="0" w:line="240" w:lineRule="auto"/>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34A16751" w14:textId="77777777" w:rsidR="00E645D7" w:rsidRPr="00E645D7" w:rsidRDefault="00E645D7" w:rsidP="00E645D7">
            <w:pPr>
              <w:spacing w:after="0" w:line="240" w:lineRule="auto"/>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2F0560EC" w14:textId="77777777" w:rsidR="00E645D7" w:rsidRPr="00E645D7" w:rsidRDefault="00E645D7" w:rsidP="00E645D7">
            <w:pPr>
              <w:spacing w:after="0" w:line="240" w:lineRule="auto"/>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7C64170C" w14:textId="77777777" w:rsidR="00E645D7" w:rsidRPr="00E645D7" w:rsidRDefault="00E645D7" w:rsidP="00E645D7">
            <w:pPr>
              <w:spacing w:after="0" w:line="240" w:lineRule="auto"/>
              <w:rPr>
                <w:rFonts w:ascii="Times New Roman" w:hAnsi="Times New Roman"/>
                <w:sz w:val="20"/>
              </w:rPr>
            </w:pPr>
          </w:p>
        </w:tc>
      </w:tr>
      <w:tr w:rsidR="00E645D7" w:rsidRPr="00E645D7" w14:paraId="6C871771"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5792B122"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Financial assets</w:t>
            </w:r>
          </w:p>
        </w:tc>
        <w:tc>
          <w:tcPr>
            <w:tcW w:w="612" w:type="pct"/>
            <w:tcBorders>
              <w:top w:val="nil"/>
              <w:left w:val="nil"/>
              <w:bottom w:val="nil"/>
              <w:right w:val="nil"/>
            </w:tcBorders>
            <w:shd w:val="clear" w:color="auto" w:fill="auto"/>
            <w:noWrap/>
            <w:vAlign w:val="bottom"/>
            <w:hideMark/>
          </w:tcPr>
          <w:p w14:paraId="31A237EC"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37483905"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68C037F3"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312F5BE4"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00E501EA"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51AAEC79"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159B350D" w14:textId="77777777"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 xml:space="preserve">Cash </w:t>
            </w:r>
            <w:r w:rsidRPr="00E645D7">
              <w:rPr>
                <w:rFonts w:ascii="Arial" w:hAnsi="Arial" w:cs="Arial"/>
                <w:sz w:val="16"/>
                <w:szCs w:val="16"/>
              </w:rPr>
              <w:t>and cash equivalents</w:t>
            </w:r>
          </w:p>
        </w:tc>
        <w:tc>
          <w:tcPr>
            <w:tcW w:w="612" w:type="pct"/>
            <w:tcBorders>
              <w:top w:val="nil"/>
              <w:left w:val="nil"/>
              <w:bottom w:val="nil"/>
              <w:right w:val="nil"/>
            </w:tcBorders>
            <w:shd w:val="clear" w:color="auto" w:fill="auto"/>
            <w:noWrap/>
            <w:vAlign w:val="bottom"/>
            <w:hideMark/>
          </w:tcPr>
          <w:p w14:paraId="7E4F016B"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50</w:t>
            </w:r>
          </w:p>
        </w:tc>
        <w:tc>
          <w:tcPr>
            <w:tcW w:w="612" w:type="pct"/>
            <w:tcBorders>
              <w:top w:val="nil"/>
              <w:left w:val="nil"/>
              <w:bottom w:val="nil"/>
              <w:right w:val="nil"/>
            </w:tcBorders>
            <w:shd w:val="clear" w:color="000000" w:fill="E6E6E6"/>
            <w:noWrap/>
            <w:vAlign w:val="bottom"/>
            <w:hideMark/>
          </w:tcPr>
          <w:p w14:paraId="37F673F0"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50</w:t>
            </w:r>
          </w:p>
        </w:tc>
        <w:tc>
          <w:tcPr>
            <w:tcW w:w="612" w:type="pct"/>
            <w:tcBorders>
              <w:top w:val="nil"/>
              <w:left w:val="nil"/>
              <w:bottom w:val="nil"/>
              <w:right w:val="nil"/>
            </w:tcBorders>
            <w:shd w:val="clear" w:color="auto" w:fill="auto"/>
            <w:noWrap/>
            <w:vAlign w:val="bottom"/>
            <w:hideMark/>
          </w:tcPr>
          <w:p w14:paraId="04CA80A7"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50</w:t>
            </w:r>
          </w:p>
        </w:tc>
        <w:tc>
          <w:tcPr>
            <w:tcW w:w="612" w:type="pct"/>
            <w:tcBorders>
              <w:top w:val="nil"/>
              <w:left w:val="nil"/>
              <w:bottom w:val="nil"/>
              <w:right w:val="nil"/>
            </w:tcBorders>
            <w:shd w:val="clear" w:color="auto" w:fill="auto"/>
            <w:noWrap/>
            <w:vAlign w:val="bottom"/>
            <w:hideMark/>
          </w:tcPr>
          <w:p w14:paraId="67B63E90"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50</w:t>
            </w:r>
          </w:p>
        </w:tc>
        <w:tc>
          <w:tcPr>
            <w:tcW w:w="611" w:type="pct"/>
            <w:tcBorders>
              <w:top w:val="nil"/>
              <w:left w:val="nil"/>
              <w:bottom w:val="nil"/>
              <w:right w:val="nil"/>
            </w:tcBorders>
            <w:shd w:val="clear" w:color="auto" w:fill="auto"/>
            <w:noWrap/>
            <w:vAlign w:val="bottom"/>
            <w:hideMark/>
          </w:tcPr>
          <w:p w14:paraId="558B077B"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50</w:t>
            </w:r>
          </w:p>
        </w:tc>
      </w:tr>
      <w:tr w:rsidR="00E645D7" w:rsidRPr="00E645D7" w14:paraId="23EA20FF"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253EC24A" w14:textId="77777777" w:rsidR="00E645D7" w:rsidRPr="00E645D7" w:rsidRDefault="00E645D7" w:rsidP="009C0838">
            <w:pPr>
              <w:spacing w:after="0" w:line="240" w:lineRule="auto"/>
              <w:ind w:left="170"/>
              <w:rPr>
                <w:rFonts w:ascii="Arial" w:hAnsi="Arial" w:cs="Arial"/>
                <w:sz w:val="16"/>
                <w:szCs w:val="16"/>
              </w:rPr>
            </w:pPr>
            <w:r w:rsidRPr="00E645D7">
              <w:rPr>
                <w:rFonts w:ascii="Arial" w:hAnsi="Arial" w:cs="Arial"/>
                <w:sz w:val="16"/>
                <w:szCs w:val="16"/>
              </w:rPr>
              <w:t>Trade and other receivables</w:t>
            </w:r>
          </w:p>
        </w:tc>
        <w:tc>
          <w:tcPr>
            <w:tcW w:w="612" w:type="pct"/>
            <w:tcBorders>
              <w:top w:val="nil"/>
              <w:left w:val="nil"/>
              <w:bottom w:val="nil"/>
              <w:right w:val="nil"/>
            </w:tcBorders>
            <w:shd w:val="clear" w:color="auto" w:fill="auto"/>
            <w:noWrap/>
            <w:vAlign w:val="bottom"/>
            <w:hideMark/>
          </w:tcPr>
          <w:p w14:paraId="73B04CAC"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3,382</w:t>
            </w:r>
          </w:p>
        </w:tc>
        <w:tc>
          <w:tcPr>
            <w:tcW w:w="612" w:type="pct"/>
            <w:tcBorders>
              <w:top w:val="nil"/>
              <w:left w:val="nil"/>
              <w:bottom w:val="nil"/>
              <w:right w:val="nil"/>
            </w:tcBorders>
            <w:shd w:val="clear" w:color="000000" w:fill="E6E6E6"/>
            <w:noWrap/>
            <w:vAlign w:val="bottom"/>
            <w:hideMark/>
          </w:tcPr>
          <w:p w14:paraId="4D7A60BD"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3,382</w:t>
            </w:r>
          </w:p>
        </w:tc>
        <w:tc>
          <w:tcPr>
            <w:tcW w:w="612" w:type="pct"/>
            <w:tcBorders>
              <w:top w:val="nil"/>
              <w:left w:val="nil"/>
              <w:bottom w:val="nil"/>
              <w:right w:val="nil"/>
            </w:tcBorders>
            <w:shd w:val="clear" w:color="auto" w:fill="auto"/>
            <w:noWrap/>
            <w:vAlign w:val="bottom"/>
            <w:hideMark/>
          </w:tcPr>
          <w:p w14:paraId="6ADE0F0B"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3,382</w:t>
            </w:r>
          </w:p>
        </w:tc>
        <w:tc>
          <w:tcPr>
            <w:tcW w:w="612" w:type="pct"/>
            <w:tcBorders>
              <w:top w:val="nil"/>
              <w:left w:val="nil"/>
              <w:bottom w:val="nil"/>
              <w:right w:val="nil"/>
            </w:tcBorders>
            <w:shd w:val="clear" w:color="auto" w:fill="auto"/>
            <w:noWrap/>
            <w:vAlign w:val="bottom"/>
            <w:hideMark/>
          </w:tcPr>
          <w:p w14:paraId="63F417C6"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3,382</w:t>
            </w:r>
          </w:p>
        </w:tc>
        <w:tc>
          <w:tcPr>
            <w:tcW w:w="611" w:type="pct"/>
            <w:tcBorders>
              <w:top w:val="nil"/>
              <w:left w:val="nil"/>
              <w:bottom w:val="nil"/>
              <w:right w:val="nil"/>
            </w:tcBorders>
            <w:shd w:val="clear" w:color="auto" w:fill="auto"/>
            <w:noWrap/>
            <w:vAlign w:val="bottom"/>
            <w:hideMark/>
          </w:tcPr>
          <w:p w14:paraId="2640EDA9"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3,382</w:t>
            </w:r>
          </w:p>
        </w:tc>
      </w:tr>
      <w:tr w:rsidR="00E645D7" w:rsidRPr="00E645D7" w14:paraId="1BB20DC0" w14:textId="77777777" w:rsidTr="009C0838">
        <w:trPr>
          <w:divId w:val="948127689"/>
          <w:trHeight w:hRule="exact" w:val="210"/>
        </w:trPr>
        <w:tc>
          <w:tcPr>
            <w:tcW w:w="1941" w:type="pct"/>
            <w:tcBorders>
              <w:top w:val="nil"/>
              <w:left w:val="nil"/>
              <w:bottom w:val="nil"/>
              <w:right w:val="nil"/>
            </w:tcBorders>
            <w:shd w:val="clear" w:color="auto" w:fill="auto"/>
            <w:noWrap/>
            <w:vAlign w:val="center"/>
            <w:hideMark/>
          </w:tcPr>
          <w:p w14:paraId="68009DBE" w14:textId="77777777" w:rsidR="00E645D7" w:rsidRPr="00E645D7" w:rsidRDefault="00E645D7" w:rsidP="00E645D7">
            <w:pPr>
              <w:spacing w:after="0" w:line="240" w:lineRule="auto"/>
              <w:rPr>
                <w:rFonts w:ascii="Arial" w:hAnsi="Arial" w:cs="Arial"/>
                <w:b/>
                <w:bCs/>
                <w:i/>
                <w:iCs/>
                <w:color w:val="000000"/>
                <w:sz w:val="16"/>
                <w:szCs w:val="16"/>
              </w:rPr>
            </w:pPr>
            <w:r w:rsidRPr="00E645D7">
              <w:rPr>
                <w:rFonts w:ascii="Arial" w:hAnsi="Arial" w:cs="Arial"/>
                <w:b/>
                <w:bCs/>
                <w:i/>
                <w:iCs/>
                <w:color w:val="000000"/>
                <w:sz w:val="16"/>
                <w:szCs w:val="16"/>
              </w:rPr>
              <w:t>Total financial assets</w:t>
            </w:r>
          </w:p>
        </w:tc>
        <w:tc>
          <w:tcPr>
            <w:tcW w:w="612" w:type="pct"/>
            <w:tcBorders>
              <w:top w:val="single" w:sz="4" w:space="0" w:color="000000"/>
              <w:left w:val="nil"/>
              <w:bottom w:val="single" w:sz="4" w:space="0" w:color="000000"/>
              <w:right w:val="nil"/>
            </w:tcBorders>
            <w:shd w:val="clear" w:color="auto" w:fill="auto"/>
            <w:noWrap/>
            <w:vAlign w:val="bottom"/>
            <w:hideMark/>
          </w:tcPr>
          <w:p w14:paraId="7AB06A52"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3,432 </w:t>
            </w:r>
          </w:p>
        </w:tc>
        <w:tc>
          <w:tcPr>
            <w:tcW w:w="612" w:type="pct"/>
            <w:tcBorders>
              <w:top w:val="single" w:sz="4" w:space="0" w:color="000000"/>
              <w:left w:val="nil"/>
              <w:bottom w:val="single" w:sz="4" w:space="0" w:color="000000"/>
              <w:right w:val="nil"/>
            </w:tcBorders>
            <w:shd w:val="clear" w:color="000000" w:fill="E6E6E6"/>
            <w:noWrap/>
            <w:vAlign w:val="bottom"/>
            <w:hideMark/>
          </w:tcPr>
          <w:p w14:paraId="5CEBC5FF"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3,432 </w:t>
            </w:r>
          </w:p>
        </w:tc>
        <w:tc>
          <w:tcPr>
            <w:tcW w:w="612" w:type="pct"/>
            <w:tcBorders>
              <w:top w:val="single" w:sz="4" w:space="0" w:color="000000"/>
              <w:left w:val="nil"/>
              <w:bottom w:val="single" w:sz="4" w:space="0" w:color="000000"/>
              <w:right w:val="nil"/>
            </w:tcBorders>
            <w:shd w:val="clear" w:color="auto" w:fill="auto"/>
            <w:noWrap/>
            <w:vAlign w:val="bottom"/>
            <w:hideMark/>
          </w:tcPr>
          <w:p w14:paraId="5C17AB5D"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3,432 </w:t>
            </w:r>
          </w:p>
        </w:tc>
        <w:tc>
          <w:tcPr>
            <w:tcW w:w="612" w:type="pct"/>
            <w:tcBorders>
              <w:top w:val="single" w:sz="4" w:space="0" w:color="000000"/>
              <w:left w:val="nil"/>
              <w:bottom w:val="single" w:sz="4" w:space="0" w:color="000000"/>
              <w:right w:val="nil"/>
            </w:tcBorders>
            <w:shd w:val="clear" w:color="auto" w:fill="auto"/>
            <w:noWrap/>
            <w:vAlign w:val="bottom"/>
            <w:hideMark/>
          </w:tcPr>
          <w:p w14:paraId="131605ED"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3,432 </w:t>
            </w:r>
          </w:p>
        </w:tc>
        <w:tc>
          <w:tcPr>
            <w:tcW w:w="611" w:type="pct"/>
            <w:tcBorders>
              <w:top w:val="single" w:sz="4" w:space="0" w:color="000000"/>
              <w:left w:val="nil"/>
              <w:bottom w:val="single" w:sz="4" w:space="0" w:color="000000"/>
              <w:right w:val="nil"/>
            </w:tcBorders>
            <w:shd w:val="clear" w:color="auto" w:fill="auto"/>
            <w:noWrap/>
            <w:vAlign w:val="bottom"/>
            <w:hideMark/>
          </w:tcPr>
          <w:p w14:paraId="4EEE013B"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3,432 </w:t>
            </w:r>
          </w:p>
        </w:tc>
      </w:tr>
      <w:tr w:rsidR="00E645D7" w:rsidRPr="00E645D7" w14:paraId="5D8538AF"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18C64602" w14:textId="112C432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Non</w:t>
            </w:r>
            <w:r w:rsidR="009E2237">
              <w:rPr>
                <w:rFonts w:ascii="Arial" w:hAnsi="Arial" w:cs="Arial"/>
                <w:b/>
                <w:bCs/>
                <w:color w:val="000000"/>
                <w:sz w:val="16"/>
                <w:szCs w:val="16"/>
              </w:rPr>
              <w:noBreakHyphen/>
            </w:r>
            <w:r w:rsidRPr="00E645D7">
              <w:rPr>
                <w:rFonts w:ascii="Arial" w:hAnsi="Arial" w:cs="Arial"/>
                <w:b/>
                <w:bCs/>
                <w:color w:val="000000"/>
                <w:sz w:val="16"/>
                <w:szCs w:val="16"/>
              </w:rPr>
              <w:t>financial assets</w:t>
            </w:r>
          </w:p>
        </w:tc>
        <w:tc>
          <w:tcPr>
            <w:tcW w:w="612" w:type="pct"/>
            <w:tcBorders>
              <w:top w:val="nil"/>
              <w:left w:val="nil"/>
              <w:bottom w:val="nil"/>
              <w:right w:val="nil"/>
            </w:tcBorders>
            <w:shd w:val="clear" w:color="auto" w:fill="auto"/>
            <w:noWrap/>
            <w:vAlign w:val="bottom"/>
            <w:hideMark/>
          </w:tcPr>
          <w:p w14:paraId="09788A9B"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706A018C"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2DCA3C44"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4276BF77"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609C0C00"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204E9C1F"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5ADC85DD" w14:textId="5842BF89"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Other non</w:t>
            </w:r>
            <w:r w:rsidR="009E2237">
              <w:rPr>
                <w:rFonts w:ascii="Arial" w:hAnsi="Arial" w:cs="Arial"/>
                <w:color w:val="000000"/>
                <w:sz w:val="16"/>
                <w:szCs w:val="16"/>
              </w:rPr>
              <w:noBreakHyphen/>
            </w:r>
            <w:r w:rsidRPr="00E645D7">
              <w:rPr>
                <w:rFonts w:ascii="Arial" w:hAnsi="Arial" w:cs="Arial"/>
                <w:color w:val="000000"/>
                <w:sz w:val="16"/>
                <w:szCs w:val="16"/>
              </w:rPr>
              <w:t>financial assets</w:t>
            </w:r>
          </w:p>
        </w:tc>
        <w:tc>
          <w:tcPr>
            <w:tcW w:w="612" w:type="pct"/>
            <w:tcBorders>
              <w:top w:val="nil"/>
              <w:left w:val="nil"/>
              <w:bottom w:val="nil"/>
              <w:right w:val="nil"/>
            </w:tcBorders>
            <w:shd w:val="clear" w:color="auto" w:fill="auto"/>
            <w:noWrap/>
            <w:vAlign w:val="bottom"/>
            <w:hideMark/>
          </w:tcPr>
          <w:p w14:paraId="59084587"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213</w:t>
            </w:r>
          </w:p>
        </w:tc>
        <w:tc>
          <w:tcPr>
            <w:tcW w:w="612" w:type="pct"/>
            <w:tcBorders>
              <w:top w:val="nil"/>
              <w:left w:val="nil"/>
              <w:bottom w:val="nil"/>
              <w:right w:val="nil"/>
            </w:tcBorders>
            <w:shd w:val="clear" w:color="000000" w:fill="E6E6E6"/>
            <w:noWrap/>
            <w:vAlign w:val="bottom"/>
            <w:hideMark/>
          </w:tcPr>
          <w:p w14:paraId="2D602882"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213</w:t>
            </w:r>
          </w:p>
        </w:tc>
        <w:tc>
          <w:tcPr>
            <w:tcW w:w="612" w:type="pct"/>
            <w:tcBorders>
              <w:top w:val="nil"/>
              <w:left w:val="nil"/>
              <w:bottom w:val="nil"/>
              <w:right w:val="nil"/>
            </w:tcBorders>
            <w:shd w:val="clear" w:color="auto" w:fill="auto"/>
            <w:noWrap/>
            <w:vAlign w:val="bottom"/>
            <w:hideMark/>
          </w:tcPr>
          <w:p w14:paraId="5CFEBC3F"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213</w:t>
            </w:r>
          </w:p>
        </w:tc>
        <w:tc>
          <w:tcPr>
            <w:tcW w:w="612" w:type="pct"/>
            <w:tcBorders>
              <w:top w:val="nil"/>
              <w:left w:val="nil"/>
              <w:bottom w:val="nil"/>
              <w:right w:val="nil"/>
            </w:tcBorders>
            <w:shd w:val="clear" w:color="auto" w:fill="auto"/>
            <w:noWrap/>
            <w:vAlign w:val="bottom"/>
            <w:hideMark/>
          </w:tcPr>
          <w:p w14:paraId="33889F7E"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213</w:t>
            </w:r>
          </w:p>
        </w:tc>
        <w:tc>
          <w:tcPr>
            <w:tcW w:w="611" w:type="pct"/>
            <w:tcBorders>
              <w:top w:val="nil"/>
              <w:left w:val="nil"/>
              <w:bottom w:val="nil"/>
              <w:right w:val="nil"/>
            </w:tcBorders>
            <w:shd w:val="clear" w:color="auto" w:fill="auto"/>
            <w:noWrap/>
            <w:vAlign w:val="bottom"/>
            <w:hideMark/>
          </w:tcPr>
          <w:p w14:paraId="1B5B801D"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213</w:t>
            </w:r>
          </w:p>
        </w:tc>
      </w:tr>
      <w:tr w:rsidR="00E645D7" w:rsidRPr="00E645D7" w14:paraId="38C4FF5F" w14:textId="77777777" w:rsidTr="009C0838">
        <w:trPr>
          <w:divId w:val="948127689"/>
          <w:trHeight w:hRule="exact" w:val="210"/>
        </w:trPr>
        <w:tc>
          <w:tcPr>
            <w:tcW w:w="1941" w:type="pct"/>
            <w:tcBorders>
              <w:top w:val="nil"/>
              <w:left w:val="nil"/>
              <w:bottom w:val="nil"/>
              <w:right w:val="nil"/>
            </w:tcBorders>
            <w:shd w:val="clear" w:color="auto" w:fill="auto"/>
            <w:noWrap/>
            <w:vAlign w:val="center"/>
            <w:hideMark/>
          </w:tcPr>
          <w:p w14:paraId="02C824F6" w14:textId="7EBC4A59" w:rsidR="00E645D7" w:rsidRPr="00E645D7" w:rsidRDefault="00E645D7" w:rsidP="00E645D7">
            <w:pPr>
              <w:spacing w:after="0" w:line="240" w:lineRule="auto"/>
              <w:rPr>
                <w:rFonts w:ascii="Arial" w:hAnsi="Arial" w:cs="Arial"/>
                <w:b/>
                <w:bCs/>
                <w:i/>
                <w:iCs/>
                <w:color w:val="000000"/>
                <w:sz w:val="16"/>
                <w:szCs w:val="16"/>
              </w:rPr>
            </w:pPr>
            <w:r w:rsidRPr="00E645D7">
              <w:rPr>
                <w:rFonts w:ascii="Arial" w:hAnsi="Arial" w:cs="Arial"/>
                <w:b/>
                <w:bCs/>
                <w:i/>
                <w:iCs/>
                <w:color w:val="000000"/>
                <w:sz w:val="16"/>
                <w:szCs w:val="16"/>
              </w:rPr>
              <w:t>Total non</w:t>
            </w:r>
            <w:r w:rsidR="009E2237">
              <w:rPr>
                <w:rFonts w:ascii="Arial" w:hAnsi="Arial" w:cs="Arial"/>
                <w:b/>
                <w:bCs/>
                <w:i/>
                <w:iCs/>
                <w:color w:val="000000"/>
                <w:sz w:val="16"/>
                <w:szCs w:val="16"/>
              </w:rPr>
              <w:noBreakHyphen/>
            </w:r>
            <w:r w:rsidRPr="00E645D7">
              <w:rPr>
                <w:rFonts w:ascii="Arial" w:hAnsi="Arial" w:cs="Arial"/>
                <w:b/>
                <w:bCs/>
                <w:i/>
                <w:iCs/>
                <w:color w:val="000000"/>
                <w:sz w:val="16"/>
                <w:szCs w:val="16"/>
              </w:rPr>
              <w:t>financial assets</w:t>
            </w:r>
          </w:p>
        </w:tc>
        <w:tc>
          <w:tcPr>
            <w:tcW w:w="612" w:type="pct"/>
            <w:tcBorders>
              <w:top w:val="single" w:sz="4" w:space="0" w:color="000000"/>
              <w:left w:val="nil"/>
              <w:bottom w:val="single" w:sz="4" w:space="0" w:color="000000"/>
              <w:right w:val="nil"/>
            </w:tcBorders>
            <w:shd w:val="clear" w:color="auto" w:fill="auto"/>
            <w:noWrap/>
            <w:vAlign w:val="bottom"/>
            <w:hideMark/>
          </w:tcPr>
          <w:p w14:paraId="533EA0B9"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213 </w:t>
            </w:r>
          </w:p>
        </w:tc>
        <w:tc>
          <w:tcPr>
            <w:tcW w:w="612" w:type="pct"/>
            <w:tcBorders>
              <w:top w:val="single" w:sz="4" w:space="0" w:color="000000"/>
              <w:left w:val="nil"/>
              <w:bottom w:val="single" w:sz="4" w:space="0" w:color="000000"/>
              <w:right w:val="nil"/>
            </w:tcBorders>
            <w:shd w:val="clear" w:color="000000" w:fill="E6E6E6"/>
            <w:noWrap/>
            <w:vAlign w:val="bottom"/>
            <w:hideMark/>
          </w:tcPr>
          <w:p w14:paraId="24A8AB42"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213 </w:t>
            </w:r>
          </w:p>
        </w:tc>
        <w:tc>
          <w:tcPr>
            <w:tcW w:w="612" w:type="pct"/>
            <w:tcBorders>
              <w:top w:val="single" w:sz="4" w:space="0" w:color="000000"/>
              <w:left w:val="nil"/>
              <w:bottom w:val="single" w:sz="4" w:space="0" w:color="000000"/>
              <w:right w:val="nil"/>
            </w:tcBorders>
            <w:shd w:val="clear" w:color="auto" w:fill="auto"/>
            <w:noWrap/>
            <w:vAlign w:val="bottom"/>
            <w:hideMark/>
          </w:tcPr>
          <w:p w14:paraId="75BEC97B"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213 </w:t>
            </w:r>
          </w:p>
        </w:tc>
        <w:tc>
          <w:tcPr>
            <w:tcW w:w="612" w:type="pct"/>
            <w:tcBorders>
              <w:top w:val="single" w:sz="4" w:space="0" w:color="000000"/>
              <w:left w:val="nil"/>
              <w:bottom w:val="single" w:sz="4" w:space="0" w:color="000000"/>
              <w:right w:val="nil"/>
            </w:tcBorders>
            <w:shd w:val="clear" w:color="auto" w:fill="auto"/>
            <w:noWrap/>
            <w:vAlign w:val="bottom"/>
            <w:hideMark/>
          </w:tcPr>
          <w:p w14:paraId="334470F7"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213 </w:t>
            </w:r>
          </w:p>
        </w:tc>
        <w:tc>
          <w:tcPr>
            <w:tcW w:w="611" w:type="pct"/>
            <w:tcBorders>
              <w:top w:val="single" w:sz="4" w:space="0" w:color="000000"/>
              <w:left w:val="nil"/>
              <w:bottom w:val="single" w:sz="4" w:space="0" w:color="000000"/>
              <w:right w:val="nil"/>
            </w:tcBorders>
            <w:shd w:val="clear" w:color="auto" w:fill="auto"/>
            <w:noWrap/>
            <w:vAlign w:val="bottom"/>
            <w:hideMark/>
          </w:tcPr>
          <w:p w14:paraId="63AE822E"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213 </w:t>
            </w:r>
          </w:p>
        </w:tc>
      </w:tr>
      <w:tr w:rsidR="00E645D7" w:rsidRPr="00E645D7" w14:paraId="316B5FC2"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78859F1F"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Total assets</w:t>
            </w:r>
          </w:p>
        </w:tc>
        <w:tc>
          <w:tcPr>
            <w:tcW w:w="612" w:type="pct"/>
            <w:tcBorders>
              <w:top w:val="nil"/>
              <w:left w:val="nil"/>
              <w:bottom w:val="single" w:sz="4" w:space="0" w:color="000000"/>
              <w:right w:val="nil"/>
            </w:tcBorders>
            <w:shd w:val="clear" w:color="auto" w:fill="auto"/>
            <w:noWrap/>
            <w:vAlign w:val="bottom"/>
            <w:hideMark/>
          </w:tcPr>
          <w:p w14:paraId="393670A2"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3,645 </w:t>
            </w:r>
          </w:p>
        </w:tc>
        <w:tc>
          <w:tcPr>
            <w:tcW w:w="612" w:type="pct"/>
            <w:tcBorders>
              <w:top w:val="nil"/>
              <w:left w:val="nil"/>
              <w:bottom w:val="single" w:sz="4" w:space="0" w:color="000000"/>
              <w:right w:val="nil"/>
            </w:tcBorders>
            <w:shd w:val="clear" w:color="000000" w:fill="E6E6E6"/>
            <w:noWrap/>
            <w:vAlign w:val="bottom"/>
            <w:hideMark/>
          </w:tcPr>
          <w:p w14:paraId="788BC0CD"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3,645 </w:t>
            </w:r>
          </w:p>
        </w:tc>
        <w:tc>
          <w:tcPr>
            <w:tcW w:w="612" w:type="pct"/>
            <w:tcBorders>
              <w:top w:val="nil"/>
              <w:left w:val="nil"/>
              <w:bottom w:val="single" w:sz="4" w:space="0" w:color="000000"/>
              <w:right w:val="nil"/>
            </w:tcBorders>
            <w:shd w:val="clear" w:color="auto" w:fill="auto"/>
            <w:noWrap/>
            <w:vAlign w:val="bottom"/>
            <w:hideMark/>
          </w:tcPr>
          <w:p w14:paraId="24708364"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3,645 </w:t>
            </w:r>
          </w:p>
        </w:tc>
        <w:tc>
          <w:tcPr>
            <w:tcW w:w="612" w:type="pct"/>
            <w:tcBorders>
              <w:top w:val="nil"/>
              <w:left w:val="nil"/>
              <w:bottom w:val="single" w:sz="4" w:space="0" w:color="000000"/>
              <w:right w:val="nil"/>
            </w:tcBorders>
            <w:shd w:val="clear" w:color="auto" w:fill="auto"/>
            <w:noWrap/>
            <w:vAlign w:val="bottom"/>
            <w:hideMark/>
          </w:tcPr>
          <w:p w14:paraId="0B6D642E"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3,645 </w:t>
            </w:r>
          </w:p>
        </w:tc>
        <w:tc>
          <w:tcPr>
            <w:tcW w:w="611" w:type="pct"/>
            <w:tcBorders>
              <w:top w:val="nil"/>
              <w:left w:val="nil"/>
              <w:bottom w:val="single" w:sz="4" w:space="0" w:color="000000"/>
              <w:right w:val="nil"/>
            </w:tcBorders>
            <w:shd w:val="clear" w:color="auto" w:fill="auto"/>
            <w:noWrap/>
            <w:vAlign w:val="bottom"/>
            <w:hideMark/>
          </w:tcPr>
          <w:p w14:paraId="7EA8EBCF"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3,645 </w:t>
            </w:r>
          </w:p>
        </w:tc>
      </w:tr>
      <w:tr w:rsidR="00E645D7" w:rsidRPr="00E645D7" w14:paraId="0B86F1A7"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7F455D2E"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LIABILITIES</w:t>
            </w:r>
          </w:p>
        </w:tc>
        <w:tc>
          <w:tcPr>
            <w:tcW w:w="612" w:type="pct"/>
            <w:tcBorders>
              <w:top w:val="nil"/>
              <w:left w:val="nil"/>
              <w:bottom w:val="nil"/>
              <w:right w:val="nil"/>
            </w:tcBorders>
            <w:shd w:val="clear" w:color="auto" w:fill="auto"/>
            <w:noWrap/>
            <w:vAlign w:val="bottom"/>
            <w:hideMark/>
          </w:tcPr>
          <w:p w14:paraId="2314A766"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6A66A6EE"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F1EDF1C"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5E622F87"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77C63FB5"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7247FD44"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52F1408D"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Payables</w:t>
            </w:r>
          </w:p>
        </w:tc>
        <w:tc>
          <w:tcPr>
            <w:tcW w:w="612" w:type="pct"/>
            <w:tcBorders>
              <w:top w:val="nil"/>
              <w:left w:val="nil"/>
              <w:bottom w:val="nil"/>
              <w:right w:val="nil"/>
            </w:tcBorders>
            <w:shd w:val="clear" w:color="auto" w:fill="auto"/>
            <w:noWrap/>
            <w:vAlign w:val="bottom"/>
            <w:hideMark/>
          </w:tcPr>
          <w:p w14:paraId="0C46337F"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7C32538B"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31BBF57B"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12C53E70"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33F8FE7E"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22BB912E"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4ECBFD35" w14:textId="77777777"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Suppliers</w:t>
            </w:r>
          </w:p>
        </w:tc>
        <w:tc>
          <w:tcPr>
            <w:tcW w:w="612" w:type="pct"/>
            <w:tcBorders>
              <w:top w:val="nil"/>
              <w:left w:val="nil"/>
              <w:bottom w:val="nil"/>
              <w:right w:val="nil"/>
            </w:tcBorders>
            <w:shd w:val="clear" w:color="auto" w:fill="auto"/>
            <w:noWrap/>
            <w:vAlign w:val="bottom"/>
            <w:hideMark/>
          </w:tcPr>
          <w:p w14:paraId="02BDBC7D"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000000" w:fill="E6E6E6"/>
            <w:noWrap/>
            <w:vAlign w:val="bottom"/>
            <w:hideMark/>
          </w:tcPr>
          <w:p w14:paraId="43F4BFE8"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auto" w:fill="auto"/>
            <w:noWrap/>
            <w:vAlign w:val="bottom"/>
            <w:hideMark/>
          </w:tcPr>
          <w:p w14:paraId="1F72FF7A"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auto" w:fill="auto"/>
            <w:noWrap/>
            <w:vAlign w:val="bottom"/>
            <w:hideMark/>
          </w:tcPr>
          <w:p w14:paraId="19BFADC9"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1" w:type="pct"/>
            <w:tcBorders>
              <w:top w:val="nil"/>
              <w:left w:val="nil"/>
              <w:bottom w:val="nil"/>
              <w:right w:val="nil"/>
            </w:tcBorders>
            <w:shd w:val="clear" w:color="auto" w:fill="auto"/>
            <w:noWrap/>
            <w:vAlign w:val="bottom"/>
            <w:hideMark/>
          </w:tcPr>
          <w:p w14:paraId="697AAFEA"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r>
      <w:tr w:rsidR="00E645D7" w:rsidRPr="00E645D7" w14:paraId="6273BD5E"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10BD5E24" w14:textId="77777777"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Other payables</w:t>
            </w:r>
          </w:p>
        </w:tc>
        <w:tc>
          <w:tcPr>
            <w:tcW w:w="612" w:type="pct"/>
            <w:tcBorders>
              <w:top w:val="nil"/>
              <w:left w:val="nil"/>
              <w:bottom w:val="nil"/>
              <w:right w:val="nil"/>
            </w:tcBorders>
            <w:shd w:val="clear" w:color="auto" w:fill="auto"/>
            <w:noWrap/>
            <w:vAlign w:val="bottom"/>
            <w:hideMark/>
          </w:tcPr>
          <w:p w14:paraId="4BD1490B"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000000" w:fill="E6E6E6"/>
            <w:noWrap/>
            <w:vAlign w:val="bottom"/>
            <w:hideMark/>
          </w:tcPr>
          <w:p w14:paraId="36EC0D27"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auto" w:fill="auto"/>
            <w:noWrap/>
            <w:vAlign w:val="bottom"/>
            <w:hideMark/>
          </w:tcPr>
          <w:p w14:paraId="18C16910"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2" w:type="pct"/>
            <w:tcBorders>
              <w:top w:val="nil"/>
              <w:left w:val="nil"/>
              <w:bottom w:val="nil"/>
              <w:right w:val="nil"/>
            </w:tcBorders>
            <w:shd w:val="clear" w:color="auto" w:fill="auto"/>
            <w:noWrap/>
            <w:vAlign w:val="bottom"/>
            <w:hideMark/>
          </w:tcPr>
          <w:p w14:paraId="4EE840C3"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c>
          <w:tcPr>
            <w:tcW w:w="611" w:type="pct"/>
            <w:tcBorders>
              <w:top w:val="nil"/>
              <w:left w:val="nil"/>
              <w:bottom w:val="nil"/>
              <w:right w:val="nil"/>
            </w:tcBorders>
            <w:shd w:val="clear" w:color="auto" w:fill="auto"/>
            <w:noWrap/>
            <w:vAlign w:val="bottom"/>
            <w:hideMark/>
          </w:tcPr>
          <w:p w14:paraId="3F094A4A"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2</w:t>
            </w:r>
          </w:p>
        </w:tc>
      </w:tr>
      <w:tr w:rsidR="00E645D7" w:rsidRPr="00E645D7" w14:paraId="7510DE47" w14:textId="77777777" w:rsidTr="009C0838">
        <w:trPr>
          <w:divId w:val="948127689"/>
          <w:trHeight w:hRule="exact" w:val="210"/>
        </w:trPr>
        <w:tc>
          <w:tcPr>
            <w:tcW w:w="1941" w:type="pct"/>
            <w:tcBorders>
              <w:top w:val="nil"/>
              <w:left w:val="nil"/>
              <w:bottom w:val="nil"/>
              <w:right w:val="nil"/>
            </w:tcBorders>
            <w:shd w:val="clear" w:color="auto" w:fill="auto"/>
            <w:noWrap/>
            <w:vAlign w:val="center"/>
            <w:hideMark/>
          </w:tcPr>
          <w:p w14:paraId="0D3499BD" w14:textId="77777777" w:rsidR="00E645D7" w:rsidRPr="00E645D7" w:rsidRDefault="00E645D7" w:rsidP="00E645D7">
            <w:pPr>
              <w:spacing w:after="0" w:line="240" w:lineRule="auto"/>
              <w:rPr>
                <w:rFonts w:ascii="Arial" w:hAnsi="Arial" w:cs="Arial"/>
                <w:b/>
                <w:bCs/>
                <w:i/>
                <w:iCs/>
                <w:color w:val="000000"/>
                <w:sz w:val="16"/>
                <w:szCs w:val="16"/>
              </w:rPr>
            </w:pPr>
            <w:r w:rsidRPr="00E645D7">
              <w:rPr>
                <w:rFonts w:ascii="Arial" w:hAnsi="Arial" w:cs="Arial"/>
                <w:b/>
                <w:bCs/>
                <w:i/>
                <w:iCs/>
                <w:color w:val="000000"/>
                <w:sz w:val="16"/>
                <w:szCs w:val="16"/>
              </w:rPr>
              <w:t>Total payables</w:t>
            </w:r>
          </w:p>
        </w:tc>
        <w:tc>
          <w:tcPr>
            <w:tcW w:w="612" w:type="pct"/>
            <w:tcBorders>
              <w:top w:val="single" w:sz="4" w:space="0" w:color="000000"/>
              <w:left w:val="nil"/>
              <w:bottom w:val="single" w:sz="4" w:space="0" w:color="000000"/>
              <w:right w:val="nil"/>
            </w:tcBorders>
            <w:shd w:val="clear" w:color="auto" w:fill="auto"/>
            <w:noWrap/>
            <w:vAlign w:val="bottom"/>
            <w:hideMark/>
          </w:tcPr>
          <w:p w14:paraId="35FAB24A"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4 </w:t>
            </w:r>
          </w:p>
        </w:tc>
        <w:tc>
          <w:tcPr>
            <w:tcW w:w="612" w:type="pct"/>
            <w:tcBorders>
              <w:top w:val="single" w:sz="4" w:space="0" w:color="000000"/>
              <w:left w:val="nil"/>
              <w:bottom w:val="single" w:sz="4" w:space="0" w:color="000000"/>
              <w:right w:val="nil"/>
            </w:tcBorders>
            <w:shd w:val="clear" w:color="000000" w:fill="E6E6E6"/>
            <w:noWrap/>
            <w:vAlign w:val="bottom"/>
            <w:hideMark/>
          </w:tcPr>
          <w:p w14:paraId="6D96976C"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4 </w:t>
            </w:r>
          </w:p>
        </w:tc>
        <w:tc>
          <w:tcPr>
            <w:tcW w:w="612" w:type="pct"/>
            <w:tcBorders>
              <w:top w:val="single" w:sz="4" w:space="0" w:color="000000"/>
              <w:left w:val="nil"/>
              <w:bottom w:val="single" w:sz="4" w:space="0" w:color="000000"/>
              <w:right w:val="nil"/>
            </w:tcBorders>
            <w:shd w:val="clear" w:color="auto" w:fill="auto"/>
            <w:noWrap/>
            <w:vAlign w:val="bottom"/>
            <w:hideMark/>
          </w:tcPr>
          <w:p w14:paraId="453C0292"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4 </w:t>
            </w:r>
          </w:p>
        </w:tc>
        <w:tc>
          <w:tcPr>
            <w:tcW w:w="612" w:type="pct"/>
            <w:tcBorders>
              <w:top w:val="single" w:sz="4" w:space="0" w:color="000000"/>
              <w:left w:val="nil"/>
              <w:bottom w:val="single" w:sz="4" w:space="0" w:color="000000"/>
              <w:right w:val="nil"/>
            </w:tcBorders>
            <w:shd w:val="clear" w:color="auto" w:fill="auto"/>
            <w:noWrap/>
            <w:vAlign w:val="bottom"/>
            <w:hideMark/>
          </w:tcPr>
          <w:p w14:paraId="2A3B6A17"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4 </w:t>
            </w:r>
          </w:p>
        </w:tc>
        <w:tc>
          <w:tcPr>
            <w:tcW w:w="611" w:type="pct"/>
            <w:tcBorders>
              <w:top w:val="single" w:sz="4" w:space="0" w:color="000000"/>
              <w:left w:val="nil"/>
              <w:bottom w:val="single" w:sz="4" w:space="0" w:color="000000"/>
              <w:right w:val="nil"/>
            </w:tcBorders>
            <w:shd w:val="clear" w:color="auto" w:fill="auto"/>
            <w:noWrap/>
            <w:vAlign w:val="bottom"/>
            <w:hideMark/>
          </w:tcPr>
          <w:p w14:paraId="4461C008"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               4 </w:t>
            </w:r>
          </w:p>
        </w:tc>
      </w:tr>
      <w:tr w:rsidR="00E645D7" w:rsidRPr="00E645D7" w14:paraId="2B330461"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232C2ECC"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Total liabilities</w:t>
            </w:r>
          </w:p>
        </w:tc>
        <w:tc>
          <w:tcPr>
            <w:tcW w:w="612" w:type="pct"/>
            <w:tcBorders>
              <w:top w:val="nil"/>
              <w:left w:val="nil"/>
              <w:bottom w:val="single" w:sz="4" w:space="0" w:color="auto"/>
              <w:right w:val="nil"/>
            </w:tcBorders>
            <w:shd w:val="clear" w:color="auto" w:fill="auto"/>
            <w:noWrap/>
            <w:vAlign w:val="bottom"/>
            <w:hideMark/>
          </w:tcPr>
          <w:p w14:paraId="710C1C40"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4 </w:t>
            </w:r>
          </w:p>
        </w:tc>
        <w:tc>
          <w:tcPr>
            <w:tcW w:w="612" w:type="pct"/>
            <w:tcBorders>
              <w:top w:val="nil"/>
              <w:left w:val="nil"/>
              <w:bottom w:val="single" w:sz="4" w:space="0" w:color="auto"/>
              <w:right w:val="nil"/>
            </w:tcBorders>
            <w:shd w:val="clear" w:color="000000" w:fill="E6E6E6"/>
            <w:noWrap/>
            <w:vAlign w:val="bottom"/>
            <w:hideMark/>
          </w:tcPr>
          <w:p w14:paraId="78A4C2C6"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4 </w:t>
            </w:r>
          </w:p>
        </w:tc>
        <w:tc>
          <w:tcPr>
            <w:tcW w:w="612" w:type="pct"/>
            <w:tcBorders>
              <w:top w:val="nil"/>
              <w:left w:val="nil"/>
              <w:bottom w:val="single" w:sz="4" w:space="0" w:color="auto"/>
              <w:right w:val="nil"/>
            </w:tcBorders>
            <w:shd w:val="clear" w:color="auto" w:fill="auto"/>
            <w:noWrap/>
            <w:vAlign w:val="bottom"/>
            <w:hideMark/>
          </w:tcPr>
          <w:p w14:paraId="63D12C20"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4 </w:t>
            </w:r>
          </w:p>
        </w:tc>
        <w:tc>
          <w:tcPr>
            <w:tcW w:w="612" w:type="pct"/>
            <w:tcBorders>
              <w:top w:val="nil"/>
              <w:left w:val="nil"/>
              <w:bottom w:val="single" w:sz="4" w:space="0" w:color="auto"/>
              <w:right w:val="nil"/>
            </w:tcBorders>
            <w:shd w:val="clear" w:color="auto" w:fill="auto"/>
            <w:noWrap/>
            <w:vAlign w:val="bottom"/>
            <w:hideMark/>
          </w:tcPr>
          <w:p w14:paraId="6A96ADC0"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4 </w:t>
            </w:r>
          </w:p>
        </w:tc>
        <w:tc>
          <w:tcPr>
            <w:tcW w:w="611" w:type="pct"/>
            <w:tcBorders>
              <w:top w:val="nil"/>
              <w:left w:val="nil"/>
              <w:bottom w:val="single" w:sz="4" w:space="0" w:color="auto"/>
              <w:right w:val="nil"/>
            </w:tcBorders>
            <w:shd w:val="clear" w:color="auto" w:fill="auto"/>
            <w:noWrap/>
            <w:vAlign w:val="bottom"/>
            <w:hideMark/>
          </w:tcPr>
          <w:p w14:paraId="31948EB2"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4 </w:t>
            </w:r>
          </w:p>
        </w:tc>
      </w:tr>
      <w:tr w:rsidR="00E645D7" w:rsidRPr="00E645D7" w14:paraId="2C6F0E03"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5F3BBC2D" w14:textId="77777777" w:rsidR="00E645D7" w:rsidRPr="00E645D7" w:rsidRDefault="00E645D7" w:rsidP="00E645D7">
            <w:pPr>
              <w:spacing w:after="0" w:line="240" w:lineRule="auto"/>
              <w:rPr>
                <w:rFonts w:ascii="Arial" w:hAnsi="Arial" w:cs="Arial"/>
                <w:b/>
                <w:bCs/>
                <w:sz w:val="16"/>
                <w:szCs w:val="16"/>
              </w:rPr>
            </w:pPr>
            <w:r w:rsidRPr="00E645D7">
              <w:rPr>
                <w:rFonts w:ascii="Arial" w:hAnsi="Arial" w:cs="Arial"/>
                <w:b/>
                <w:bCs/>
                <w:sz w:val="16"/>
                <w:szCs w:val="16"/>
              </w:rPr>
              <w:t>Net assets</w:t>
            </w:r>
          </w:p>
        </w:tc>
        <w:tc>
          <w:tcPr>
            <w:tcW w:w="612" w:type="pct"/>
            <w:tcBorders>
              <w:top w:val="nil"/>
              <w:left w:val="nil"/>
              <w:bottom w:val="single" w:sz="4" w:space="0" w:color="auto"/>
              <w:right w:val="nil"/>
            </w:tcBorders>
            <w:shd w:val="clear" w:color="auto" w:fill="auto"/>
            <w:noWrap/>
            <w:vAlign w:val="bottom"/>
            <w:hideMark/>
          </w:tcPr>
          <w:p w14:paraId="11AEFA5E"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3,641 </w:t>
            </w:r>
          </w:p>
        </w:tc>
        <w:tc>
          <w:tcPr>
            <w:tcW w:w="612" w:type="pct"/>
            <w:tcBorders>
              <w:top w:val="nil"/>
              <w:left w:val="nil"/>
              <w:bottom w:val="single" w:sz="4" w:space="0" w:color="auto"/>
              <w:right w:val="nil"/>
            </w:tcBorders>
            <w:shd w:val="clear" w:color="000000" w:fill="E6E6E6"/>
            <w:noWrap/>
            <w:vAlign w:val="bottom"/>
            <w:hideMark/>
          </w:tcPr>
          <w:p w14:paraId="00C7B0D5"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3,641 </w:t>
            </w:r>
          </w:p>
        </w:tc>
        <w:tc>
          <w:tcPr>
            <w:tcW w:w="612" w:type="pct"/>
            <w:tcBorders>
              <w:top w:val="nil"/>
              <w:left w:val="nil"/>
              <w:bottom w:val="single" w:sz="4" w:space="0" w:color="auto"/>
              <w:right w:val="nil"/>
            </w:tcBorders>
            <w:shd w:val="clear" w:color="auto" w:fill="auto"/>
            <w:noWrap/>
            <w:vAlign w:val="bottom"/>
            <w:hideMark/>
          </w:tcPr>
          <w:p w14:paraId="07D79634"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3,641 </w:t>
            </w:r>
          </w:p>
        </w:tc>
        <w:tc>
          <w:tcPr>
            <w:tcW w:w="612" w:type="pct"/>
            <w:tcBorders>
              <w:top w:val="nil"/>
              <w:left w:val="nil"/>
              <w:bottom w:val="single" w:sz="4" w:space="0" w:color="auto"/>
              <w:right w:val="nil"/>
            </w:tcBorders>
            <w:shd w:val="clear" w:color="auto" w:fill="auto"/>
            <w:noWrap/>
            <w:vAlign w:val="bottom"/>
            <w:hideMark/>
          </w:tcPr>
          <w:p w14:paraId="74A9EC8E"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3,641 </w:t>
            </w:r>
          </w:p>
        </w:tc>
        <w:tc>
          <w:tcPr>
            <w:tcW w:w="611" w:type="pct"/>
            <w:tcBorders>
              <w:top w:val="nil"/>
              <w:left w:val="nil"/>
              <w:bottom w:val="single" w:sz="4" w:space="0" w:color="auto"/>
              <w:right w:val="nil"/>
            </w:tcBorders>
            <w:shd w:val="clear" w:color="auto" w:fill="auto"/>
            <w:noWrap/>
            <w:vAlign w:val="bottom"/>
            <w:hideMark/>
          </w:tcPr>
          <w:p w14:paraId="35E4FA9C" w14:textId="77777777" w:rsidR="00E645D7" w:rsidRPr="00E645D7" w:rsidRDefault="00E645D7" w:rsidP="00E645D7">
            <w:pPr>
              <w:spacing w:after="0" w:line="240" w:lineRule="auto"/>
              <w:jc w:val="right"/>
              <w:rPr>
                <w:rFonts w:ascii="Arial" w:hAnsi="Arial" w:cs="Arial"/>
                <w:b/>
                <w:bCs/>
                <w:color w:val="000000"/>
                <w:sz w:val="16"/>
                <w:szCs w:val="16"/>
              </w:rPr>
            </w:pPr>
            <w:r w:rsidRPr="00E645D7">
              <w:rPr>
                <w:rFonts w:ascii="Arial" w:hAnsi="Arial" w:cs="Arial"/>
                <w:b/>
                <w:bCs/>
                <w:color w:val="000000"/>
                <w:sz w:val="16"/>
                <w:szCs w:val="16"/>
              </w:rPr>
              <w:t xml:space="preserve">         3,641 </w:t>
            </w:r>
          </w:p>
        </w:tc>
      </w:tr>
      <w:tr w:rsidR="00E645D7" w:rsidRPr="00E645D7" w14:paraId="5DA223B0"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3B794CAD"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EQUITY*</w:t>
            </w:r>
          </w:p>
        </w:tc>
        <w:tc>
          <w:tcPr>
            <w:tcW w:w="612" w:type="pct"/>
            <w:tcBorders>
              <w:top w:val="nil"/>
              <w:left w:val="nil"/>
              <w:bottom w:val="nil"/>
              <w:right w:val="nil"/>
            </w:tcBorders>
            <w:shd w:val="clear" w:color="auto" w:fill="auto"/>
            <w:noWrap/>
            <w:vAlign w:val="bottom"/>
            <w:hideMark/>
          </w:tcPr>
          <w:p w14:paraId="377F5C8B"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2C0E1637"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33770E07"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7961F868"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3E83B421"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73151840"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303FFEA4"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Parent entity interest</w:t>
            </w:r>
          </w:p>
        </w:tc>
        <w:tc>
          <w:tcPr>
            <w:tcW w:w="612" w:type="pct"/>
            <w:tcBorders>
              <w:top w:val="nil"/>
              <w:left w:val="nil"/>
              <w:bottom w:val="nil"/>
              <w:right w:val="nil"/>
            </w:tcBorders>
            <w:shd w:val="clear" w:color="auto" w:fill="auto"/>
            <w:noWrap/>
            <w:vAlign w:val="bottom"/>
            <w:hideMark/>
          </w:tcPr>
          <w:p w14:paraId="22189C0B" w14:textId="77777777" w:rsidR="00E645D7" w:rsidRPr="00E645D7" w:rsidRDefault="00E645D7" w:rsidP="00E645D7">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252709E5"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65B35CFF" w14:textId="77777777" w:rsidR="00E645D7" w:rsidRPr="00E645D7" w:rsidRDefault="00E645D7" w:rsidP="00E645D7">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2D03956E" w14:textId="77777777" w:rsidR="00E645D7" w:rsidRPr="00E645D7" w:rsidRDefault="00E645D7" w:rsidP="00E645D7">
            <w:pPr>
              <w:spacing w:after="0" w:line="240" w:lineRule="auto"/>
              <w:jc w:val="right"/>
              <w:rPr>
                <w:rFonts w:ascii="Times New Roman" w:hAnsi="Times New Roman"/>
                <w:sz w:val="20"/>
              </w:rPr>
            </w:pPr>
          </w:p>
        </w:tc>
        <w:tc>
          <w:tcPr>
            <w:tcW w:w="611" w:type="pct"/>
            <w:tcBorders>
              <w:top w:val="nil"/>
              <w:left w:val="nil"/>
              <w:bottom w:val="nil"/>
              <w:right w:val="nil"/>
            </w:tcBorders>
            <w:shd w:val="clear" w:color="auto" w:fill="auto"/>
            <w:noWrap/>
            <w:vAlign w:val="bottom"/>
            <w:hideMark/>
          </w:tcPr>
          <w:p w14:paraId="7D885AEC" w14:textId="77777777" w:rsidR="00E645D7" w:rsidRPr="00E645D7" w:rsidRDefault="00E645D7" w:rsidP="00E645D7">
            <w:pPr>
              <w:spacing w:after="0" w:line="240" w:lineRule="auto"/>
              <w:jc w:val="right"/>
              <w:rPr>
                <w:rFonts w:ascii="Times New Roman" w:hAnsi="Times New Roman"/>
                <w:sz w:val="20"/>
              </w:rPr>
            </w:pPr>
          </w:p>
        </w:tc>
      </w:tr>
      <w:tr w:rsidR="00E645D7" w:rsidRPr="00E645D7" w14:paraId="7CF149C5"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0B504DA8" w14:textId="77777777"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Contributed equity</w:t>
            </w:r>
          </w:p>
        </w:tc>
        <w:tc>
          <w:tcPr>
            <w:tcW w:w="612" w:type="pct"/>
            <w:tcBorders>
              <w:top w:val="nil"/>
              <w:left w:val="nil"/>
              <w:bottom w:val="nil"/>
              <w:right w:val="nil"/>
            </w:tcBorders>
            <w:shd w:val="clear" w:color="auto" w:fill="auto"/>
            <w:noWrap/>
            <w:vAlign w:val="bottom"/>
            <w:hideMark/>
          </w:tcPr>
          <w:p w14:paraId="22BFE9FE"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81 </w:t>
            </w:r>
          </w:p>
        </w:tc>
        <w:tc>
          <w:tcPr>
            <w:tcW w:w="612" w:type="pct"/>
            <w:tcBorders>
              <w:top w:val="nil"/>
              <w:left w:val="nil"/>
              <w:bottom w:val="nil"/>
              <w:right w:val="nil"/>
            </w:tcBorders>
            <w:shd w:val="clear" w:color="000000" w:fill="E6E6E6"/>
            <w:noWrap/>
            <w:vAlign w:val="bottom"/>
            <w:hideMark/>
          </w:tcPr>
          <w:p w14:paraId="37808573"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81 </w:t>
            </w:r>
          </w:p>
        </w:tc>
        <w:tc>
          <w:tcPr>
            <w:tcW w:w="612" w:type="pct"/>
            <w:tcBorders>
              <w:top w:val="nil"/>
              <w:left w:val="nil"/>
              <w:bottom w:val="nil"/>
              <w:right w:val="nil"/>
            </w:tcBorders>
            <w:shd w:val="clear" w:color="auto" w:fill="auto"/>
            <w:noWrap/>
            <w:vAlign w:val="bottom"/>
            <w:hideMark/>
          </w:tcPr>
          <w:p w14:paraId="588C4DE4"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81 </w:t>
            </w:r>
          </w:p>
        </w:tc>
        <w:tc>
          <w:tcPr>
            <w:tcW w:w="612" w:type="pct"/>
            <w:tcBorders>
              <w:top w:val="nil"/>
              <w:left w:val="nil"/>
              <w:bottom w:val="nil"/>
              <w:right w:val="nil"/>
            </w:tcBorders>
            <w:shd w:val="clear" w:color="auto" w:fill="auto"/>
            <w:noWrap/>
            <w:vAlign w:val="bottom"/>
            <w:hideMark/>
          </w:tcPr>
          <w:p w14:paraId="1994F7C0"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81 </w:t>
            </w:r>
          </w:p>
        </w:tc>
        <w:tc>
          <w:tcPr>
            <w:tcW w:w="611" w:type="pct"/>
            <w:tcBorders>
              <w:top w:val="nil"/>
              <w:left w:val="nil"/>
              <w:bottom w:val="nil"/>
              <w:right w:val="nil"/>
            </w:tcBorders>
            <w:shd w:val="clear" w:color="auto" w:fill="auto"/>
            <w:noWrap/>
            <w:vAlign w:val="bottom"/>
            <w:hideMark/>
          </w:tcPr>
          <w:p w14:paraId="02F14504"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81 </w:t>
            </w:r>
          </w:p>
        </w:tc>
      </w:tr>
      <w:tr w:rsidR="00E645D7" w:rsidRPr="00E645D7" w14:paraId="12C1E657" w14:textId="77777777" w:rsidTr="009C0838">
        <w:trPr>
          <w:divId w:val="948127689"/>
          <w:trHeight w:hRule="exact" w:val="450"/>
        </w:trPr>
        <w:tc>
          <w:tcPr>
            <w:tcW w:w="1941" w:type="pct"/>
            <w:tcBorders>
              <w:top w:val="nil"/>
              <w:left w:val="nil"/>
              <w:bottom w:val="nil"/>
              <w:right w:val="nil"/>
            </w:tcBorders>
            <w:shd w:val="clear" w:color="auto" w:fill="auto"/>
            <w:vAlign w:val="center"/>
            <w:hideMark/>
          </w:tcPr>
          <w:p w14:paraId="4FA807EC" w14:textId="77777777" w:rsidR="00E645D7" w:rsidRPr="00E645D7" w:rsidRDefault="00E645D7" w:rsidP="009C0838">
            <w:pPr>
              <w:spacing w:after="0" w:line="240" w:lineRule="auto"/>
              <w:ind w:left="170"/>
              <w:rPr>
                <w:rFonts w:ascii="Arial" w:hAnsi="Arial" w:cs="Arial"/>
                <w:color w:val="000000"/>
                <w:sz w:val="16"/>
                <w:szCs w:val="16"/>
              </w:rPr>
            </w:pPr>
            <w:r w:rsidRPr="00E645D7">
              <w:rPr>
                <w:rFonts w:ascii="Arial" w:hAnsi="Arial" w:cs="Arial"/>
                <w:color w:val="000000"/>
                <w:sz w:val="16"/>
                <w:szCs w:val="16"/>
              </w:rPr>
              <w:t>Retained surplus (accumulated</w:t>
            </w:r>
            <w:r w:rsidRPr="00E645D7">
              <w:rPr>
                <w:rFonts w:ascii="Arial" w:hAnsi="Arial" w:cs="Arial"/>
                <w:color w:val="000000"/>
                <w:sz w:val="16"/>
                <w:szCs w:val="16"/>
              </w:rPr>
              <w:br/>
              <w:t xml:space="preserve">  deficit)</w:t>
            </w:r>
          </w:p>
        </w:tc>
        <w:tc>
          <w:tcPr>
            <w:tcW w:w="612" w:type="pct"/>
            <w:tcBorders>
              <w:top w:val="nil"/>
              <w:left w:val="nil"/>
              <w:bottom w:val="nil"/>
              <w:right w:val="nil"/>
            </w:tcBorders>
            <w:shd w:val="clear" w:color="auto" w:fill="auto"/>
            <w:noWrap/>
            <w:vAlign w:val="bottom"/>
            <w:hideMark/>
          </w:tcPr>
          <w:p w14:paraId="7C44D527"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3,560 </w:t>
            </w:r>
          </w:p>
        </w:tc>
        <w:tc>
          <w:tcPr>
            <w:tcW w:w="612" w:type="pct"/>
            <w:tcBorders>
              <w:top w:val="nil"/>
              <w:left w:val="nil"/>
              <w:bottom w:val="nil"/>
              <w:right w:val="nil"/>
            </w:tcBorders>
            <w:shd w:val="clear" w:color="000000" w:fill="E6E6E6"/>
            <w:noWrap/>
            <w:vAlign w:val="bottom"/>
            <w:hideMark/>
          </w:tcPr>
          <w:p w14:paraId="77B23300"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3,560 </w:t>
            </w:r>
          </w:p>
        </w:tc>
        <w:tc>
          <w:tcPr>
            <w:tcW w:w="612" w:type="pct"/>
            <w:tcBorders>
              <w:top w:val="nil"/>
              <w:left w:val="nil"/>
              <w:bottom w:val="nil"/>
              <w:right w:val="nil"/>
            </w:tcBorders>
            <w:shd w:val="clear" w:color="auto" w:fill="auto"/>
            <w:noWrap/>
            <w:vAlign w:val="bottom"/>
            <w:hideMark/>
          </w:tcPr>
          <w:p w14:paraId="0A5B6E54"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3,560 </w:t>
            </w:r>
          </w:p>
        </w:tc>
        <w:tc>
          <w:tcPr>
            <w:tcW w:w="612" w:type="pct"/>
            <w:tcBorders>
              <w:top w:val="nil"/>
              <w:left w:val="nil"/>
              <w:bottom w:val="nil"/>
              <w:right w:val="nil"/>
            </w:tcBorders>
            <w:shd w:val="clear" w:color="auto" w:fill="auto"/>
            <w:noWrap/>
            <w:vAlign w:val="bottom"/>
            <w:hideMark/>
          </w:tcPr>
          <w:p w14:paraId="70A45292"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3,560 </w:t>
            </w:r>
          </w:p>
        </w:tc>
        <w:tc>
          <w:tcPr>
            <w:tcW w:w="611" w:type="pct"/>
            <w:tcBorders>
              <w:top w:val="nil"/>
              <w:left w:val="nil"/>
              <w:bottom w:val="nil"/>
              <w:right w:val="nil"/>
            </w:tcBorders>
            <w:shd w:val="clear" w:color="auto" w:fill="auto"/>
            <w:noWrap/>
            <w:vAlign w:val="bottom"/>
            <w:hideMark/>
          </w:tcPr>
          <w:p w14:paraId="6B00A4DF" w14:textId="77777777" w:rsidR="00E645D7" w:rsidRPr="00E645D7" w:rsidRDefault="00E645D7" w:rsidP="00E645D7">
            <w:pPr>
              <w:spacing w:after="0" w:line="240" w:lineRule="auto"/>
              <w:jc w:val="right"/>
              <w:rPr>
                <w:rFonts w:ascii="Arial" w:hAnsi="Arial" w:cs="Arial"/>
                <w:color w:val="000000"/>
                <w:sz w:val="16"/>
                <w:szCs w:val="16"/>
              </w:rPr>
            </w:pPr>
            <w:r w:rsidRPr="00E645D7">
              <w:rPr>
                <w:rFonts w:ascii="Arial" w:hAnsi="Arial" w:cs="Arial"/>
                <w:color w:val="000000"/>
                <w:sz w:val="16"/>
                <w:szCs w:val="16"/>
              </w:rPr>
              <w:t xml:space="preserve">3,560 </w:t>
            </w:r>
          </w:p>
        </w:tc>
      </w:tr>
      <w:tr w:rsidR="00E645D7" w:rsidRPr="00E645D7" w14:paraId="4EDC939A" w14:textId="77777777" w:rsidTr="009C0838">
        <w:trPr>
          <w:divId w:val="948127689"/>
          <w:trHeight w:hRule="exact" w:val="225"/>
        </w:trPr>
        <w:tc>
          <w:tcPr>
            <w:tcW w:w="1941" w:type="pct"/>
            <w:tcBorders>
              <w:top w:val="nil"/>
              <w:left w:val="nil"/>
              <w:bottom w:val="nil"/>
              <w:right w:val="nil"/>
            </w:tcBorders>
            <w:shd w:val="clear" w:color="auto" w:fill="auto"/>
            <w:noWrap/>
            <w:vAlign w:val="center"/>
            <w:hideMark/>
          </w:tcPr>
          <w:p w14:paraId="33AE5DAA" w14:textId="77777777" w:rsidR="00E645D7" w:rsidRPr="00E645D7" w:rsidRDefault="00E645D7" w:rsidP="00E645D7">
            <w:pPr>
              <w:spacing w:after="0" w:line="240" w:lineRule="auto"/>
              <w:rPr>
                <w:rFonts w:ascii="Arial" w:hAnsi="Arial" w:cs="Arial"/>
                <w:b/>
                <w:bCs/>
                <w:i/>
                <w:iCs/>
                <w:color w:val="000000"/>
                <w:sz w:val="16"/>
                <w:szCs w:val="16"/>
              </w:rPr>
            </w:pPr>
            <w:r w:rsidRPr="00E645D7">
              <w:rPr>
                <w:rFonts w:ascii="Arial" w:hAnsi="Arial" w:cs="Arial"/>
                <w:b/>
                <w:bCs/>
                <w:i/>
                <w:iCs/>
                <w:color w:val="000000"/>
                <w:sz w:val="16"/>
                <w:szCs w:val="16"/>
              </w:rPr>
              <w:t>Total parent entity interest</w:t>
            </w:r>
          </w:p>
        </w:tc>
        <w:tc>
          <w:tcPr>
            <w:tcW w:w="612" w:type="pct"/>
            <w:tcBorders>
              <w:top w:val="single" w:sz="4" w:space="0" w:color="000000"/>
              <w:left w:val="nil"/>
              <w:bottom w:val="single" w:sz="4" w:space="0" w:color="000000"/>
              <w:right w:val="nil"/>
            </w:tcBorders>
            <w:shd w:val="clear" w:color="auto" w:fill="auto"/>
            <w:noWrap/>
            <w:vAlign w:val="bottom"/>
            <w:hideMark/>
          </w:tcPr>
          <w:p w14:paraId="434C163A"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single" w:sz="4" w:space="0" w:color="000000"/>
              <w:left w:val="nil"/>
              <w:bottom w:val="single" w:sz="4" w:space="0" w:color="000000"/>
              <w:right w:val="nil"/>
            </w:tcBorders>
            <w:shd w:val="clear" w:color="000000" w:fill="E6E6E6"/>
            <w:noWrap/>
            <w:vAlign w:val="bottom"/>
            <w:hideMark/>
          </w:tcPr>
          <w:p w14:paraId="58FD963F"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single" w:sz="4" w:space="0" w:color="000000"/>
              <w:left w:val="nil"/>
              <w:bottom w:val="single" w:sz="4" w:space="0" w:color="000000"/>
              <w:right w:val="nil"/>
            </w:tcBorders>
            <w:shd w:val="clear" w:color="auto" w:fill="auto"/>
            <w:noWrap/>
            <w:vAlign w:val="bottom"/>
            <w:hideMark/>
          </w:tcPr>
          <w:p w14:paraId="1379CD4D"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single" w:sz="4" w:space="0" w:color="000000"/>
              <w:left w:val="nil"/>
              <w:bottom w:val="single" w:sz="4" w:space="0" w:color="000000"/>
              <w:right w:val="nil"/>
            </w:tcBorders>
            <w:shd w:val="clear" w:color="auto" w:fill="auto"/>
            <w:noWrap/>
            <w:vAlign w:val="bottom"/>
            <w:hideMark/>
          </w:tcPr>
          <w:p w14:paraId="42C5B15A"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1" w:type="pct"/>
            <w:tcBorders>
              <w:top w:val="single" w:sz="4" w:space="0" w:color="000000"/>
              <w:left w:val="nil"/>
              <w:bottom w:val="single" w:sz="4" w:space="0" w:color="000000"/>
              <w:right w:val="nil"/>
            </w:tcBorders>
            <w:shd w:val="clear" w:color="auto" w:fill="auto"/>
            <w:noWrap/>
            <w:vAlign w:val="bottom"/>
            <w:hideMark/>
          </w:tcPr>
          <w:p w14:paraId="3531B43F"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r>
      <w:tr w:rsidR="00E645D7" w:rsidRPr="00E645D7" w14:paraId="756C39DE" w14:textId="77777777" w:rsidTr="009C0838">
        <w:trPr>
          <w:divId w:val="948127689"/>
          <w:trHeight w:hRule="exact" w:val="225"/>
        </w:trPr>
        <w:tc>
          <w:tcPr>
            <w:tcW w:w="1941" w:type="pct"/>
            <w:tcBorders>
              <w:top w:val="nil"/>
              <w:left w:val="nil"/>
              <w:bottom w:val="single" w:sz="4" w:space="0" w:color="000000"/>
              <w:right w:val="nil"/>
            </w:tcBorders>
            <w:shd w:val="clear" w:color="auto" w:fill="auto"/>
            <w:noWrap/>
            <w:vAlign w:val="center"/>
            <w:hideMark/>
          </w:tcPr>
          <w:p w14:paraId="7F17560E" w14:textId="77777777" w:rsidR="00E645D7" w:rsidRPr="00E645D7" w:rsidRDefault="00E645D7" w:rsidP="00E645D7">
            <w:pPr>
              <w:spacing w:after="0" w:line="240" w:lineRule="auto"/>
              <w:rPr>
                <w:rFonts w:ascii="Arial" w:hAnsi="Arial" w:cs="Arial"/>
                <w:b/>
                <w:bCs/>
                <w:color w:val="000000"/>
                <w:sz w:val="16"/>
                <w:szCs w:val="16"/>
              </w:rPr>
            </w:pPr>
            <w:r w:rsidRPr="00E645D7">
              <w:rPr>
                <w:rFonts w:ascii="Arial" w:hAnsi="Arial" w:cs="Arial"/>
                <w:b/>
                <w:bCs/>
                <w:color w:val="000000"/>
                <w:sz w:val="16"/>
                <w:szCs w:val="16"/>
              </w:rPr>
              <w:t>Total equity</w:t>
            </w:r>
          </w:p>
        </w:tc>
        <w:tc>
          <w:tcPr>
            <w:tcW w:w="612" w:type="pct"/>
            <w:tcBorders>
              <w:top w:val="nil"/>
              <w:left w:val="nil"/>
              <w:bottom w:val="single" w:sz="4" w:space="0" w:color="000000"/>
              <w:right w:val="nil"/>
            </w:tcBorders>
            <w:shd w:val="clear" w:color="auto" w:fill="auto"/>
            <w:noWrap/>
            <w:vAlign w:val="bottom"/>
            <w:hideMark/>
          </w:tcPr>
          <w:p w14:paraId="3D4D527E"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nil"/>
              <w:left w:val="nil"/>
              <w:bottom w:val="single" w:sz="4" w:space="0" w:color="000000"/>
              <w:right w:val="nil"/>
            </w:tcBorders>
            <w:shd w:val="clear" w:color="000000" w:fill="E6E6E6"/>
            <w:noWrap/>
            <w:vAlign w:val="bottom"/>
            <w:hideMark/>
          </w:tcPr>
          <w:p w14:paraId="5A628BE8"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nil"/>
              <w:left w:val="nil"/>
              <w:bottom w:val="single" w:sz="4" w:space="0" w:color="000000"/>
              <w:right w:val="nil"/>
            </w:tcBorders>
            <w:shd w:val="clear" w:color="auto" w:fill="auto"/>
            <w:noWrap/>
            <w:vAlign w:val="bottom"/>
            <w:hideMark/>
          </w:tcPr>
          <w:p w14:paraId="119E1ED9"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2" w:type="pct"/>
            <w:tcBorders>
              <w:top w:val="nil"/>
              <w:left w:val="nil"/>
              <w:bottom w:val="single" w:sz="4" w:space="0" w:color="000000"/>
              <w:right w:val="nil"/>
            </w:tcBorders>
            <w:shd w:val="clear" w:color="auto" w:fill="auto"/>
            <w:noWrap/>
            <w:vAlign w:val="bottom"/>
            <w:hideMark/>
          </w:tcPr>
          <w:p w14:paraId="7A121CF5"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c>
          <w:tcPr>
            <w:tcW w:w="611" w:type="pct"/>
            <w:tcBorders>
              <w:top w:val="nil"/>
              <w:left w:val="nil"/>
              <w:bottom w:val="single" w:sz="4" w:space="0" w:color="000000"/>
              <w:right w:val="nil"/>
            </w:tcBorders>
            <w:shd w:val="clear" w:color="auto" w:fill="auto"/>
            <w:noWrap/>
            <w:vAlign w:val="bottom"/>
            <w:hideMark/>
          </w:tcPr>
          <w:p w14:paraId="23EDD0B3" w14:textId="77777777" w:rsidR="00E645D7" w:rsidRPr="00E645D7" w:rsidRDefault="00E645D7" w:rsidP="00E645D7">
            <w:pPr>
              <w:spacing w:after="0" w:line="240" w:lineRule="auto"/>
              <w:jc w:val="right"/>
              <w:rPr>
                <w:rFonts w:ascii="Arial" w:hAnsi="Arial" w:cs="Arial"/>
                <w:b/>
                <w:bCs/>
                <w:i/>
                <w:iCs/>
                <w:color w:val="000000"/>
                <w:sz w:val="16"/>
                <w:szCs w:val="16"/>
              </w:rPr>
            </w:pPr>
            <w:r w:rsidRPr="00E645D7">
              <w:rPr>
                <w:rFonts w:ascii="Arial" w:hAnsi="Arial" w:cs="Arial"/>
                <w:b/>
                <w:bCs/>
                <w:i/>
                <w:iCs/>
                <w:color w:val="000000"/>
                <w:sz w:val="16"/>
                <w:szCs w:val="16"/>
              </w:rPr>
              <w:t xml:space="preserve">3,641 </w:t>
            </w:r>
          </w:p>
        </w:tc>
      </w:tr>
    </w:tbl>
    <w:p w14:paraId="19DFF065" w14:textId="73AB595C" w:rsidR="000743BE" w:rsidRDefault="000743BE" w:rsidP="00A7427B">
      <w:pPr>
        <w:pStyle w:val="ChartandTableFootnote"/>
      </w:pPr>
      <w:r w:rsidRPr="000743BE">
        <w:t>Prepared on Australian Accounting Standards basis.</w:t>
      </w:r>
    </w:p>
    <w:p w14:paraId="6CCD3F5A" w14:textId="0E248F67" w:rsidR="000743BE" w:rsidRPr="000743BE" w:rsidRDefault="000743BE" w:rsidP="00A7427B">
      <w:pPr>
        <w:pStyle w:val="ChartandTableFootnote"/>
      </w:pPr>
      <w:r w:rsidRPr="000743BE">
        <w:t>*</w:t>
      </w:r>
      <w:r w:rsidR="009E2237">
        <w:t>’</w:t>
      </w:r>
      <w:r w:rsidRPr="000743BE">
        <w:t>Equity</w:t>
      </w:r>
      <w:r w:rsidR="009E2237">
        <w:t>’</w:t>
      </w:r>
      <w:r w:rsidRPr="000743BE">
        <w:t xml:space="preserve"> is the residual interest in assets after deduction of liabilities.</w:t>
      </w:r>
    </w:p>
    <w:p w14:paraId="74D00E9B" w14:textId="77777777" w:rsidR="000743BE" w:rsidRPr="000743BE" w:rsidRDefault="000743BE" w:rsidP="00F9685E">
      <w:pPr>
        <w:pStyle w:val="TableLine"/>
      </w:pPr>
    </w:p>
    <w:p w14:paraId="014B0EBB" w14:textId="77777777" w:rsidR="009234E4" w:rsidRDefault="009234E4">
      <w:pPr>
        <w:spacing w:line="175" w:lineRule="exact"/>
        <w:jc w:val="right"/>
        <w:rPr>
          <w:sz w:val="16"/>
        </w:rPr>
      </w:pPr>
    </w:p>
    <w:p w14:paraId="20DD6A9E" w14:textId="087B67D5" w:rsidR="009234E4" w:rsidRDefault="009234E4">
      <w:pPr>
        <w:spacing w:line="175" w:lineRule="exact"/>
        <w:jc w:val="right"/>
        <w:rPr>
          <w:sz w:val="16"/>
        </w:rPr>
        <w:sectPr w:rsidR="009234E4" w:rsidSect="00142E86">
          <w:footerReference w:type="default" r:id="rId25"/>
          <w:type w:val="nextColumn"/>
          <w:pgSz w:w="11910" w:h="16840"/>
          <w:pgMar w:top="2835" w:right="2098" w:bottom="2466" w:left="2098" w:header="1814" w:footer="1814" w:gutter="0"/>
          <w:cols w:space="720"/>
          <w:docGrid w:linePitch="299"/>
        </w:sectPr>
      </w:pPr>
    </w:p>
    <w:p w14:paraId="43D56D78" w14:textId="267BBA6B" w:rsidR="002706D2" w:rsidRDefault="00264328" w:rsidP="00C1298C">
      <w:pPr>
        <w:pStyle w:val="TableHeading"/>
        <w:rPr>
          <w:rFonts w:asciiTheme="minorHAnsi" w:eastAsiaTheme="minorHAnsi" w:hAnsiTheme="minorHAnsi" w:cstheme="minorBidi"/>
          <w:sz w:val="22"/>
          <w:szCs w:val="22"/>
          <w:lang w:val="en-US" w:eastAsia="en-US"/>
        </w:rPr>
      </w:pPr>
      <w:r>
        <w:lastRenderedPageBreak/>
        <w:t>Table 3.3:</w:t>
      </w:r>
      <w:r>
        <w:rPr>
          <w:spacing w:val="-4"/>
        </w:rPr>
        <w:t xml:space="preserve"> </w:t>
      </w:r>
      <w:r>
        <w:t>Departmental</w:t>
      </w:r>
      <w:r>
        <w:rPr>
          <w:spacing w:val="-2"/>
        </w:rPr>
        <w:t xml:space="preserve"> </w:t>
      </w:r>
      <w:r>
        <w:t>statement</w:t>
      </w:r>
      <w:r>
        <w:rPr>
          <w:spacing w:val="-4"/>
        </w:rPr>
        <w:t xml:space="preserve"> </w:t>
      </w:r>
      <w:r>
        <w:t>of</w:t>
      </w:r>
      <w:r>
        <w:rPr>
          <w:spacing w:val="-4"/>
        </w:rPr>
        <w:t xml:space="preserve"> </w:t>
      </w:r>
      <w:r>
        <w:t>changes</w:t>
      </w:r>
      <w:r>
        <w:rPr>
          <w:spacing w:val="-3"/>
        </w:rPr>
        <w:t xml:space="preserve"> </w:t>
      </w:r>
      <w:r>
        <w:t>in</w:t>
      </w:r>
      <w:r>
        <w:rPr>
          <w:spacing w:val="-4"/>
        </w:rPr>
        <w:t xml:space="preserve"> </w:t>
      </w:r>
      <w:r>
        <w:t>equity</w:t>
      </w:r>
      <w:r w:rsidR="00BF6CCE">
        <w:rPr>
          <w:spacing w:val="-5"/>
        </w:rPr>
        <w:t xml:space="preserve"> – </w:t>
      </w:r>
      <w:r>
        <w:t>summary</w:t>
      </w:r>
      <w:r>
        <w:rPr>
          <w:spacing w:val="-5"/>
        </w:rPr>
        <w:t xml:space="preserve"> </w:t>
      </w:r>
      <w:r>
        <w:t>of movement (Budget year 2023</w:t>
      </w:r>
      <w:r w:rsidR="00A83767">
        <w:t>–</w:t>
      </w:r>
      <w:r>
        <w:t>24)</w:t>
      </w:r>
      <w:r w:rsidR="00225B72">
        <w:t xml:space="preserve"> </w:t>
      </w:r>
    </w:p>
    <w:tbl>
      <w:tblPr>
        <w:tblW w:w="5000" w:type="pct"/>
        <w:tblCellMar>
          <w:left w:w="0" w:type="dxa"/>
          <w:right w:w="28" w:type="dxa"/>
        </w:tblCellMar>
        <w:tblLook w:val="04A0" w:firstRow="1" w:lastRow="0" w:firstColumn="1" w:lastColumn="0" w:noHBand="0" w:noVBand="1"/>
      </w:tblPr>
      <w:tblGrid>
        <w:gridCol w:w="4124"/>
        <w:gridCol w:w="1171"/>
        <w:gridCol w:w="1250"/>
        <w:gridCol w:w="1169"/>
      </w:tblGrid>
      <w:tr w:rsidR="002706D2" w:rsidRPr="002706D2" w14:paraId="65542754" w14:textId="77777777" w:rsidTr="00C1298C">
        <w:trPr>
          <w:trHeight w:hRule="exact" w:val="900"/>
        </w:trPr>
        <w:tc>
          <w:tcPr>
            <w:tcW w:w="2673" w:type="pct"/>
            <w:tcBorders>
              <w:top w:val="single" w:sz="4" w:space="0" w:color="auto"/>
              <w:left w:val="nil"/>
              <w:bottom w:val="nil"/>
              <w:right w:val="nil"/>
            </w:tcBorders>
            <w:shd w:val="clear" w:color="auto" w:fill="auto"/>
            <w:noWrap/>
            <w:vAlign w:val="center"/>
            <w:hideMark/>
          </w:tcPr>
          <w:p w14:paraId="2CC28053" w14:textId="7F7843FE" w:rsidR="002706D2" w:rsidRPr="002706D2" w:rsidRDefault="002706D2">
            <w:pPr>
              <w:jc w:val="right"/>
              <w:rPr>
                <w:rFonts w:ascii="Arial" w:hAnsi="Arial" w:cs="Arial"/>
                <w:color w:val="000000"/>
                <w:sz w:val="16"/>
                <w:szCs w:val="16"/>
              </w:rPr>
            </w:pPr>
            <w:r w:rsidRPr="002706D2">
              <w:rPr>
                <w:rFonts w:ascii="Arial" w:hAnsi="Arial" w:cs="Arial"/>
                <w:color w:val="000000"/>
                <w:sz w:val="16"/>
                <w:szCs w:val="16"/>
              </w:rPr>
              <w:t> </w:t>
            </w:r>
          </w:p>
        </w:tc>
        <w:tc>
          <w:tcPr>
            <w:tcW w:w="759" w:type="pct"/>
            <w:tcBorders>
              <w:top w:val="single" w:sz="4" w:space="0" w:color="auto"/>
              <w:left w:val="nil"/>
              <w:bottom w:val="single" w:sz="4" w:space="0" w:color="000000"/>
              <w:right w:val="nil"/>
            </w:tcBorders>
            <w:shd w:val="clear" w:color="auto" w:fill="auto"/>
            <w:hideMark/>
          </w:tcPr>
          <w:p w14:paraId="3CC1C1C0"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Retained</w:t>
            </w:r>
            <w:r w:rsidRPr="002706D2">
              <w:rPr>
                <w:rFonts w:ascii="Arial" w:hAnsi="Arial" w:cs="Arial"/>
                <w:color w:val="000000"/>
                <w:sz w:val="16"/>
                <w:szCs w:val="16"/>
              </w:rPr>
              <w:br/>
              <w:t>earnings</w:t>
            </w:r>
            <w:r w:rsidRPr="002706D2">
              <w:rPr>
                <w:rFonts w:ascii="Arial" w:hAnsi="Arial" w:cs="Arial"/>
                <w:color w:val="000000"/>
                <w:sz w:val="16"/>
                <w:szCs w:val="16"/>
              </w:rPr>
              <w:br/>
            </w:r>
            <w:r w:rsidRPr="002706D2">
              <w:rPr>
                <w:rFonts w:ascii="Arial" w:hAnsi="Arial" w:cs="Arial"/>
                <w:color w:val="000000"/>
                <w:sz w:val="16"/>
                <w:szCs w:val="16"/>
              </w:rPr>
              <w:br/>
              <w:t>$'000</w:t>
            </w:r>
          </w:p>
        </w:tc>
        <w:tc>
          <w:tcPr>
            <w:tcW w:w="810" w:type="pct"/>
            <w:tcBorders>
              <w:top w:val="single" w:sz="4" w:space="0" w:color="auto"/>
              <w:left w:val="nil"/>
              <w:bottom w:val="single" w:sz="4" w:space="0" w:color="000000"/>
              <w:right w:val="nil"/>
            </w:tcBorders>
            <w:shd w:val="clear" w:color="auto" w:fill="auto"/>
            <w:hideMark/>
          </w:tcPr>
          <w:p w14:paraId="7032B52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Contributed</w:t>
            </w:r>
            <w:r w:rsidRPr="002706D2">
              <w:rPr>
                <w:rFonts w:ascii="Arial" w:hAnsi="Arial" w:cs="Arial"/>
                <w:color w:val="000000"/>
                <w:sz w:val="16"/>
                <w:szCs w:val="16"/>
              </w:rPr>
              <w:br/>
              <w:t>equity/</w:t>
            </w:r>
            <w:r w:rsidRPr="002706D2">
              <w:rPr>
                <w:rFonts w:ascii="Arial" w:hAnsi="Arial" w:cs="Arial"/>
                <w:color w:val="000000"/>
                <w:sz w:val="16"/>
                <w:szCs w:val="16"/>
              </w:rPr>
              <w:br/>
              <w:t>capital</w:t>
            </w:r>
            <w:r w:rsidRPr="002706D2">
              <w:rPr>
                <w:rFonts w:ascii="Arial" w:hAnsi="Arial" w:cs="Arial"/>
                <w:color w:val="000000"/>
                <w:sz w:val="16"/>
                <w:szCs w:val="16"/>
              </w:rPr>
              <w:br/>
              <w:t>$'000</w:t>
            </w:r>
          </w:p>
        </w:tc>
        <w:tc>
          <w:tcPr>
            <w:tcW w:w="758" w:type="pct"/>
            <w:tcBorders>
              <w:top w:val="single" w:sz="4" w:space="0" w:color="auto"/>
              <w:left w:val="nil"/>
              <w:bottom w:val="single" w:sz="4" w:space="0" w:color="000000"/>
              <w:right w:val="nil"/>
            </w:tcBorders>
            <w:shd w:val="clear" w:color="auto" w:fill="auto"/>
            <w:hideMark/>
          </w:tcPr>
          <w:p w14:paraId="645D2B54"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Total</w:t>
            </w:r>
            <w:r w:rsidRPr="002706D2">
              <w:rPr>
                <w:rFonts w:ascii="Arial" w:hAnsi="Arial" w:cs="Arial"/>
                <w:color w:val="000000"/>
                <w:sz w:val="16"/>
                <w:szCs w:val="16"/>
              </w:rPr>
              <w:br/>
              <w:t xml:space="preserve">equity </w:t>
            </w:r>
            <w:r w:rsidRPr="002706D2">
              <w:rPr>
                <w:rFonts w:ascii="Arial" w:hAnsi="Arial" w:cs="Arial"/>
                <w:color w:val="000000"/>
                <w:sz w:val="16"/>
                <w:szCs w:val="16"/>
              </w:rPr>
              <w:br/>
            </w:r>
            <w:r w:rsidRPr="002706D2">
              <w:rPr>
                <w:rFonts w:ascii="Arial" w:hAnsi="Arial" w:cs="Arial"/>
                <w:color w:val="000000"/>
                <w:sz w:val="16"/>
                <w:szCs w:val="16"/>
              </w:rPr>
              <w:br/>
              <w:t>$'000</w:t>
            </w:r>
          </w:p>
        </w:tc>
      </w:tr>
      <w:tr w:rsidR="002706D2" w:rsidRPr="002706D2" w14:paraId="7222A24F" w14:textId="77777777" w:rsidTr="00C1298C">
        <w:trPr>
          <w:trHeight w:hRule="exact" w:val="225"/>
        </w:trPr>
        <w:tc>
          <w:tcPr>
            <w:tcW w:w="2673" w:type="pct"/>
            <w:tcBorders>
              <w:top w:val="nil"/>
              <w:left w:val="nil"/>
              <w:bottom w:val="nil"/>
              <w:right w:val="nil"/>
            </w:tcBorders>
            <w:shd w:val="clear" w:color="auto" w:fill="auto"/>
            <w:vAlign w:val="center"/>
            <w:hideMark/>
          </w:tcPr>
          <w:p w14:paraId="6875BE58"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 xml:space="preserve">Opening balance as </w:t>
            </w:r>
            <w:proofErr w:type="gramStart"/>
            <w:r w:rsidRPr="002706D2">
              <w:rPr>
                <w:rFonts w:ascii="Arial" w:hAnsi="Arial" w:cs="Arial"/>
                <w:b/>
                <w:bCs/>
                <w:color w:val="000000"/>
                <w:sz w:val="16"/>
                <w:szCs w:val="16"/>
              </w:rPr>
              <w:t>at</w:t>
            </w:r>
            <w:proofErr w:type="gramEnd"/>
            <w:r w:rsidRPr="002706D2">
              <w:rPr>
                <w:rFonts w:ascii="Arial" w:hAnsi="Arial" w:cs="Arial"/>
                <w:b/>
                <w:bCs/>
                <w:color w:val="000000"/>
                <w:sz w:val="16"/>
                <w:szCs w:val="16"/>
              </w:rPr>
              <w:t xml:space="preserve"> 1 July 2023</w:t>
            </w:r>
          </w:p>
        </w:tc>
        <w:tc>
          <w:tcPr>
            <w:tcW w:w="759" w:type="pct"/>
            <w:tcBorders>
              <w:top w:val="nil"/>
              <w:left w:val="nil"/>
              <w:bottom w:val="nil"/>
              <w:right w:val="nil"/>
            </w:tcBorders>
            <w:shd w:val="clear" w:color="auto" w:fill="auto"/>
            <w:noWrap/>
            <w:vAlign w:val="center"/>
            <w:hideMark/>
          </w:tcPr>
          <w:p w14:paraId="08142757" w14:textId="77777777" w:rsidR="002706D2" w:rsidRPr="002706D2" w:rsidRDefault="002706D2" w:rsidP="002706D2">
            <w:pPr>
              <w:spacing w:after="0" w:line="240" w:lineRule="auto"/>
              <w:rPr>
                <w:rFonts w:ascii="Arial" w:hAnsi="Arial" w:cs="Arial"/>
                <w:b/>
                <w:bCs/>
                <w:color w:val="000000"/>
                <w:sz w:val="16"/>
                <w:szCs w:val="16"/>
              </w:rPr>
            </w:pPr>
          </w:p>
        </w:tc>
        <w:tc>
          <w:tcPr>
            <w:tcW w:w="810" w:type="pct"/>
            <w:tcBorders>
              <w:top w:val="nil"/>
              <w:left w:val="nil"/>
              <w:bottom w:val="nil"/>
              <w:right w:val="nil"/>
            </w:tcBorders>
            <w:shd w:val="clear" w:color="auto" w:fill="auto"/>
            <w:noWrap/>
            <w:vAlign w:val="center"/>
            <w:hideMark/>
          </w:tcPr>
          <w:p w14:paraId="0835E144" w14:textId="77777777" w:rsidR="002706D2" w:rsidRPr="002706D2" w:rsidRDefault="002706D2" w:rsidP="002706D2">
            <w:pPr>
              <w:spacing w:after="0" w:line="240" w:lineRule="auto"/>
              <w:rPr>
                <w:rFonts w:ascii="Times New Roman" w:hAnsi="Times New Roman"/>
                <w:sz w:val="20"/>
              </w:rPr>
            </w:pPr>
          </w:p>
        </w:tc>
        <w:tc>
          <w:tcPr>
            <w:tcW w:w="758" w:type="pct"/>
            <w:tcBorders>
              <w:top w:val="nil"/>
              <w:left w:val="nil"/>
              <w:bottom w:val="nil"/>
              <w:right w:val="nil"/>
            </w:tcBorders>
            <w:shd w:val="clear" w:color="auto" w:fill="auto"/>
            <w:noWrap/>
            <w:vAlign w:val="center"/>
            <w:hideMark/>
          </w:tcPr>
          <w:p w14:paraId="160FAB13" w14:textId="77777777" w:rsidR="002706D2" w:rsidRPr="002706D2" w:rsidRDefault="002706D2" w:rsidP="002706D2">
            <w:pPr>
              <w:spacing w:after="0" w:line="240" w:lineRule="auto"/>
              <w:rPr>
                <w:rFonts w:ascii="Times New Roman" w:hAnsi="Times New Roman"/>
                <w:sz w:val="20"/>
              </w:rPr>
            </w:pPr>
          </w:p>
        </w:tc>
      </w:tr>
      <w:tr w:rsidR="002706D2" w:rsidRPr="002706D2" w14:paraId="65348A54" w14:textId="77777777" w:rsidTr="00C1298C">
        <w:trPr>
          <w:trHeight w:hRule="exact" w:val="450"/>
        </w:trPr>
        <w:tc>
          <w:tcPr>
            <w:tcW w:w="2673" w:type="pct"/>
            <w:tcBorders>
              <w:top w:val="nil"/>
              <w:left w:val="nil"/>
              <w:bottom w:val="nil"/>
              <w:right w:val="nil"/>
            </w:tcBorders>
            <w:shd w:val="clear" w:color="auto" w:fill="auto"/>
            <w:vAlign w:val="center"/>
            <w:hideMark/>
          </w:tcPr>
          <w:p w14:paraId="35B9A98F"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Balance carried forward from</w:t>
            </w:r>
            <w:r w:rsidRPr="002706D2">
              <w:rPr>
                <w:rFonts w:ascii="Arial" w:hAnsi="Arial" w:cs="Arial"/>
                <w:color w:val="000000"/>
                <w:sz w:val="16"/>
                <w:szCs w:val="16"/>
              </w:rPr>
              <w:br/>
              <w:t xml:space="preserve">  previous period</w:t>
            </w:r>
          </w:p>
        </w:tc>
        <w:tc>
          <w:tcPr>
            <w:tcW w:w="759" w:type="pct"/>
            <w:tcBorders>
              <w:top w:val="nil"/>
              <w:left w:val="nil"/>
              <w:bottom w:val="nil"/>
              <w:right w:val="nil"/>
            </w:tcBorders>
            <w:shd w:val="clear" w:color="auto" w:fill="auto"/>
            <w:noWrap/>
            <w:vAlign w:val="bottom"/>
            <w:hideMark/>
          </w:tcPr>
          <w:p w14:paraId="2EAAAC57"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3,560 </w:t>
            </w:r>
          </w:p>
        </w:tc>
        <w:tc>
          <w:tcPr>
            <w:tcW w:w="810" w:type="pct"/>
            <w:tcBorders>
              <w:top w:val="nil"/>
              <w:left w:val="nil"/>
              <w:bottom w:val="nil"/>
              <w:right w:val="nil"/>
            </w:tcBorders>
            <w:shd w:val="clear" w:color="auto" w:fill="auto"/>
            <w:noWrap/>
            <w:vAlign w:val="bottom"/>
            <w:hideMark/>
          </w:tcPr>
          <w:p w14:paraId="64A253D4"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81 </w:t>
            </w:r>
          </w:p>
        </w:tc>
        <w:tc>
          <w:tcPr>
            <w:tcW w:w="758" w:type="pct"/>
            <w:tcBorders>
              <w:top w:val="nil"/>
              <w:left w:val="nil"/>
              <w:bottom w:val="nil"/>
              <w:right w:val="nil"/>
            </w:tcBorders>
            <w:shd w:val="clear" w:color="auto" w:fill="auto"/>
            <w:noWrap/>
            <w:vAlign w:val="bottom"/>
            <w:hideMark/>
          </w:tcPr>
          <w:p w14:paraId="4276DE22"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3,641 </w:t>
            </w:r>
          </w:p>
        </w:tc>
      </w:tr>
      <w:tr w:rsidR="002706D2" w:rsidRPr="002706D2" w14:paraId="3F3B5C8C" w14:textId="77777777" w:rsidTr="00C1298C">
        <w:trPr>
          <w:trHeight w:hRule="exact" w:val="210"/>
        </w:trPr>
        <w:tc>
          <w:tcPr>
            <w:tcW w:w="2673" w:type="pct"/>
            <w:tcBorders>
              <w:top w:val="nil"/>
              <w:left w:val="nil"/>
              <w:bottom w:val="nil"/>
              <w:right w:val="nil"/>
            </w:tcBorders>
            <w:shd w:val="clear" w:color="auto" w:fill="auto"/>
            <w:vAlign w:val="center"/>
            <w:hideMark/>
          </w:tcPr>
          <w:p w14:paraId="2BAB9966" w14:textId="77777777" w:rsidR="002706D2" w:rsidRPr="002706D2" w:rsidRDefault="002706D2" w:rsidP="002706D2">
            <w:pPr>
              <w:spacing w:after="0" w:line="240" w:lineRule="auto"/>
              <w:rPr>
                <w:rFonts w:ascii="Arial" w:hAnsi="Arial" w:cs="Arial"/>
                <w:b/>
                <w:bCs/>
                <w:i/>
                <w:iCs/>
                <w:color w:val="000000"/>
                <w:sz w:val="16"/>
                <w:szCs w:val="16"/>
              </w:rPr>
            </w:pPr>
            <w:r w:rsidRPr="002706D2">
              <w:rPr>
                <w:rFonts w:ascii="Arial" w:hAnsi="Arial" w:cs="Arial"/>
                <w:b/>
                <w:bCs/>
                <w:i/>
                <w:iCs/>
                <w:color w:val="000000"/>
                <w:sz w:val="16"/>
                <w:szCs w:val="16"/>
              </w:rPr>
              <w:t>Adjusted opening balance</w:t>
            </w:r>
          </w:p>
        </w:tc>
        <w:tc>
          <w:tcPr>
            <w:tcW w:w="759" w:type="pct"/>
            <w:tcBorders>
              <w:top w:val="single" w:sz="4" w:space="0" w:color="000000"/>
              <w:left w:val="nil"/>
              <w:bottom w:val="single" w:sz="4" w:space="0" w:color="000000"/>
              <w:right w:val="nil"/>
            </w:tcBorders>
            <w:shd w:val="clear" w:color="auto" w:fill="auto"/>
            <w:noWrap/>
            <w:vAlign w:val="center"/>
            <w:hideMark/>
          </w:tcPr>
          <w:p w14:paraId="7128B292"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3,560 </w:t>
            </w:r>
          </w:p>
        </w:tc>
        <w:tc>
          <w:tcPr>
            <w:tcW w:w="810" w:type="pct"/>
            <w:tcBorders>
              <w:top w:val="single" w:sz="4" w:space="0" w:color="000000"/>
              <w:left w:val="nil"/>
              <w:bottom w:val="single" w:sz="4" w:space="0" w:color="000000"/>
              <w:right w:val="nil"/>
            </w:tcBorders>
            <w:shd w:val="clear" w:color="auto" w:fill="auto"/>
            <w:noWrap/>
            <w:vAlign w:val="center"/>
            <w:hideMark/>
          </w:tcPr>
          <w:p w14:paraId="4157870C"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81 </w:t>
            </w:r>
          </w:p>
        </w:tc>
        <w:tc>
          <w:tcPr>
            <w:tcW w:w="758" w:type="pct"/>
            <w:tcBorders>
              <w:top w:val="single" w:sz="4" w:space="0" w:color="000000"/>
              <w:left w:val="nil"/>
              <w:bottom w:val="single" w:sz="4" w:space="0" w:color="000000"/>
              <w:right w:val="nil"/>
            </w:tcBorders>
            <w:shd w:val="clear" w:color="auto" w:fill="auto"/>
            <w:noWrap/>
            <w:vAlign w:val="center"/>
            <w:hideMark/>
          </w:tcPr>
          <w:p w14:paraId="55E4A283"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3,641 </w:t>
            </w:r>
          </w:p>
        </w:tc>
      </w:tr>
      <w:tr w:rsidR="002706D2" w:rsidRPr="002706D2" w14:paraId="56BDA7F4" w14:textId="77777777" w:rsidTr="00C1298C">
        <w:trPr>
          <w:trHeight w:hRule="exact" w:val="225"/>
        </w:trPr>
        <w:tc>
          <w:tcPr>
            <w:tcW w:w="2673" w:type="pct"/>
            <w:tcBorders>
              <w:top w:val="nil"/>
              <w:left w:val="nil"/>
              <w:bottom w:val="nil"/>
              <w:right w:val="nil"/>
            </w:tcBorders>
            <w:shd w:val="clear" w:color="auto" w:fill="auto"/>
            <w:noWrap/>
            <w:vAlign w:val="center"/>
            <w:hideMark/>
          </w:tcPr>
          <w:p w14:paraId="635A4258"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Comprehensive income</w:t>
            </w:r>
          </w:p>
        </w:tc>
        <w:tc>
          <w:tcPr>
            <w:tcW w:w="759" w:type="pct"/>
            <w:tcBorders>
              <w:top w:val="nil"/>
              <w:left w:val="nil"/>
              <w:bottom w:val="nil"/>
              <w:right w:val="nil"/>
            </w:tcBorders>
            <w:shd w:val="clear" w:color="auto" w:fill="auto"/>
            <w:noWrap/>
            <w:vAlign w:val="center"/>
            <w:hideMark/>
          </w:tcPr>
          <w:p w14:paraId="18B021DB" w14:textId="77777777" w:rsidR="002706D2" w:rsidRPr="002706D2" w:rsidRDefault="002706D2" w:rsidP="002706D2">
            <w:pPr>
              <w:spacing w:after="0" w:line="240" w:lineRule="auto"/>
              <w:rPr>
                <w:rFonts w:ascii="Arial" w:hAnsi="Arial" w:cs="Arial"/>
                <w:b/>
                <w:bCs/>
                <w:color w:val="000000"/>
                <w:sz w:val="16"/>
                <w:szCs w:val="16"/>
              </w:rPr>
            </w:pPr>
          </w:p>
        </w:tc>
        <w:tc>
          <w:tcPr>
            <w:tcW w:w="810" w:type="pct"/>
            <w:tcBorders>
              <w:top w:val="nil"/>
              <w:left w:val="nil"/>
              <w:bottom w:val="nil"/>
              <w:right w:val="nil"/>
            </w:tcBorders>
            <w:shd w:val="clear" w:color="auto" w:fill="auto"/>
            <w:noWrap/>
            <w:vAlign w:val="center"/>
            <w:hideMark/>
          </w:tcPr>
          <w:p w14:paraId="380F9A03" w14:textId="77777777" w:rsidR="002706D2" w:rsidRPr="002706D2" w:rsidRDefault="002706D2" w:rsidP="002706D2">
            <w:pPr>
              <w:spacing w:after="0" w:line="240" w:lineRule="auto"/>
              <w:rPr>
                <w:rFonts w:ascii="Times New Roman" w:hAnsi="Times New Roman"/>
                <w:sz w:val="20"/>
              </w:rPr>
            </w:pPr>
          </w:p>
        </w:tc>
        <w:tc>
          <w:tcPr>
            <w:tcW w:w="758" w:type="pct"/>
            <w:tcBorders>
              <w:top w:val="nil"/>
              <w:left w:val="nil"/>
              <w:bottom w:val="nil"/>
              <w:right w:val="nil"/>
            </w:tcBorders>
            <w:shd w:val="clear" w:color="auto" w:fill="auto"/>
            <w:noWrap/>
            <w:vAlign w:val="center"/>
            <w:hideMark/>
          </w:tcPr>
          <w:p w14:paraId="49943B8F" w14:textId="77777777" w:rsidR="002706D2" w:rsidRPr="002706D2" w:rsidRDefault="002706D2" w:rsidP="002706D2">
            <w:pPr>
              <w:spacing w:after="0" w:line="240" w:lineRule="auto"/>
              <w:rPr>
                <w:rFonts w:ascii="Times New Roman" w:hAnsi="Times New Roman"/>
                <w:sz w:val="20"/>
              </w:rPr>
            </w:pPr>
          </w:p>
        </w:tc>
      </w:tr>
      <w:tr w:rsidR="002706D2" w:rsidRPr="002706D2" w14:paraId="056EC68B" w14:textId="77777777" w:rsidTr="00C1298C">
        <w:trPr>
          <w:trHeight w:hRule="exact" w:val="225"/>
        </w:trPr>
        <w:tc>
          <w:tcPr>
            <w:tcW w:w="2673" w:type="pct"/>
            <w:tcBorders>
              <w:top w:val="nil"/>
              <w:left w:val="nil"/>
              <w:bottom w:val="nil"/>
              <w:right w:val="nil"/>
            </w:tcBorders>
            <w:shd w:val="clear" w:color="auto" w:fill="auto"/>
            <w:noWrap/>
            <w:vAlign w:val="center"/>
            <w:hideMark/>
          </w:tcPr>
          <w:p w14:paraId="44E10EA9"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Other comprehensive income</w:t>
            </w:r>
          </w:p>
        </w:tc>
        <w:tc>
          <w:tcPr>
            <w:tcW w:w="759" w:type="pct"/>
            <w:tcBorders>
              <w:top w:val="nil"/>
              <w:left w:val="nil"/>
              <w:bottom w:val="nil"/>
              <w:right w:val="nil"/>
            </w:tcBorders>
            <w:shd w:val="clear" w:color="auto" w:fill="auto"/>
            <w:noWrap/>
            <w:vAlign w:val="center"/>
            <w:hideMark/>
          </w:tcPr>
          <w:p w14:paraId="08FC4D21"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c>
          <w:tcPr>
            <w:tcW w:w="810" w:type="pct"/>
            <w:tcBorders>
              <w:top w:val="nil"/>
              <w:left w:val="nil"/>
              <w:bottom w:val="nil"/>
              <w:right w:val="nil"/>
            </w:tcBorders>
            <w:shd w:val="clear" w:color="auto" w:fill="auto"/>
            <w:noWrap/>
            <w:vAlign w:val="center"/>
            <w:hideMark/>
          </w:tcPr>
          <w:p w14:paraId="52279566"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c>
          <w:tcPr>
            <w:tcW w:w="758" w:type="pct"/>
            <w:tcBorders>
              <w:top w:val="nil"/>
              <w:left w:val="nil"/>
              <w:bottom w:val="nil"/>
              <w:right w:val="nil"/>
            </w:tcBorders>
            <w:shd w:val="clear" w:color="auto" w:fill="auto"/>
            <w:noWrap/>
            <w:vAlign w:val="center"/>
            <w:hideMark/>
          </w:tcPr>
          <w:p w14:paraId="539B3C8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r>
      <w:tr w:rsidR="002706D2" w:rsidRPr="002706D2" w14:paraId="212E2A79" w14:textId="77777777" w:rsidTr="00C1298C">
        <w:trPr>
          <w:trHeight w:hRule="exact" w:val="225"/>
        </w:trPr>
        <w:tc>
          <w:tcPr>
            <w:tcW w:w="2673" w:type="pct"/>
            <w:tcBorders>
              <w:top w:val="nil"/>
              <w:left w:val="nil"/>
              <w:bottom w:val="nil"/>
              <w:right w:val="nil"/>
            </w:tcBorders>
            <w:shd w:val="clear" w:color="auto" w:fill="auto"/>
            <w:noWrap/>
            <w:vAlign w:val="center"/>
            <w:hideMark/>
          </w:tcPr>
          <w:p w14:paraId="05C36365" w14:textId="77777777" w:rsidR="002706D2" w:rsidRPr="002706D2" w:rsidRDefault="002706D2" w:rsidP="00C1298C">
            <w:pPr>
              <w:spacing w:after="0" w:line="240" w:lineRule="auto"/>
              <w:ind w:left="170"/>
              <w:rPr>
                <w:rFonts w:ascii="Arial" w:hAnsi="Arial" w:cs="Arial"/>
                <w:sz w:val="16"/>
                <w:szCs w:val="16"/>
              </w:rPr>
            </w:pPr>
            <w:r w:rsidRPr="002706D2">
              <w:rPr>
                <w:rFonts w:ascii="Arial" w:hAnsi="Arial" w:cs="Arial"/>
                <w:sz w:val="16"/>
                <w:szCs w:val="16"/>
              </w:rPr>
              <w:t>Surplus/(deficit) for the period</w:t>
            </w:r>
          </w:p>
        </w:tc>
        <w:tc>
          <w:tcPr>
            <w:tcW w:w="759" w:type="pct"/>
            <w:tcBorders>
              <w:top w:val="nil"/>
              <w:left w:val="nil"/>
              <w:bottom w:val="nil"/>
              <w:right w:val="nil"/>
            </w:tcBorders>
            <w:shd w:val="clear" w:color="auto" w:fill="auto"/>
            <w:noWrap/>
            <w:vAlign w:val="center"/>
            <w:hideMark/>
          </w:tcPr>
          <w:p w14:paraId="33C8C334"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c>
          <w:tcPr>
            <w:tcW w:w="810" w:type="pct"/>
            <w:tcBorders>
              <w:top w:val="nil"/>
              <w:left w:val="nil"/>
              <w:bottom w:val="nil"/>
              <w:right w:val="nil"/>
            </w:tcBorders>
            <w:shd w:val="clear" w:color="auto" w:fill="auto"/>
            <w:noWrap/>
            <w:vAlign w:val="center"/>
            <w:hideMark/>
          </w:tcPr>
          <w:p w14:paraId="37F56D7E"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c>
          <w:tcPr>
            <w:tcW w:w="758" w:type="pct"/>
            <w:tcBorders>
              <w:top w:val="nil"/>
              <w:left w:val="nil"/>
              <w:bottom w:val="nil"/>
              <w:right w:val="nil"/>
            </w:tcBorders>
            <w:shd w:val="clear" w:color="auto" w:fill="auto"/>
            <w:noWrap/>
            <w:vAlign w:val="center"/>
            <w:hideMark/>
          </w:tcPr>
          <w:p w14:paraId="5D765F2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 </w:t>
            </w:r>
          </w:p>
        </w:tc>
      </w:tr>
      <w:tr w:rsidR="002706D2" w:rsidRPr="002706D2" w14:paraId="5091CDA4" w14:textId="77777777" w:rsidTr="00C1298C">
        <w:trPr>
          <w:trHeight w:hRule="exact" w:val="210"/>
        </w:trPr>
        <w:tc>
          <w:tcPr>
            <w:tcW w:w="2673" w:type="pct"/>
            <w:tcBorders>
              <w:top w:val="nil"/>
              <w:left w:val="nil"/>
              <w:bottom w:val="nil"/>
              <w:right w:val="nil"/>
            </w:tcBorders>
            <w:shd w:val="clear" w:color="auto" w:fill="auto"/>
            <w:vAlign w:val="center"/>
            <w:hideMark/>
          </w:tcPr>
          <w:p w14:paraId="032037BB" w14:textId="77777777" w:rsidR="002706D2" w:rsidRPr="002706D2" w:rsidRDefault="002706D2" w:rsidP="002706D2">
            <w:pPr>
              <w:spacing w:after="0" w:line="240" w:lineRule="auto"/>
              <w:rPr>
                <w:rFonts w:ascii="Arial" w:hAnsi="Arial" w:cs="Arial"/>
                <w:b/>
                <w:bCs/>
                <w:i/>
                <w:iCs/>
                <w:color w:val="000000"/>
                <w:sz w:val="16"/>
                <w:szCs w:val="16"/>
              </w:rPr>
            </w:pPr>
            <w:r w:rsidRPr="002706D2">
              <w:rPr>
                <w:rFonts w:ascii="Arial" w:hAnsi="Arial" w:cs="Arial"/>
                <w:b/>
                <w:bCs/>
                <w:i/>
                <w:iCs/>
                <w:color w:val="000000"/>
                <w:sz w:val="16"/>
                <w:szCs w:val="16"/>
              </w:rPr>
              <w:t>Total comprehensive income</w:t>
            </w:r>
          </w:p>
        </w:tc>
        <w:tc>
          <w:tcPr>
            <w:tcW w:w="759" w:type="pct"/>
            <w:tcBorders>
              <w:top w:val="single" w:sz="4" w:space="0" w:color="000000"/>
              <w:left w:val="nil"/>
              <w:bottom w:val="nil"/>
              <w:right w:val="nil"/>
            </w:tcBorders>
            <w:shd w:val="clear" w:color="auto" w:fill="auto"/>
            <w:noWrap/>
            <w:vAlign w:val="center"/>
            <w:hideMark/>
          </w:tcPr>
          <w:p w14:paraId="0606B743"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 </w:t>
            </w:r>
          </w:p>
        </w:tc>
        <w:tc>
          <w:tcPr>
            <w:tcW w:w="810" w:type="pct"/>
            <w:tcBorders>
              <w:top w:val="single" w:sz="4" w:space="0" w:color="000000"/>
              <w:left w:val="nil"/>
              <w:bottom w:val="nil"/>
              <w:right w:val="nil"/>
            </w:tcBorders>
            <w:shd w:val="clear" w:color="auto" w:fill="auto"/>
            <w:noWrap/>
            <w:vAlign w:val="center"/>
            <w:hideMark/>
          </w:tcPr>
          <w:p w14:paraId="4AB12CE7"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 </w:t>
            </w:r>
          </w:p>
        </w:tc>
        <w:tc>
          <w:tcPr>
            <w:tcW w:w="758" w:type="pct"/>
            <w:tcBorders>
              <w:top w:val="single" w:sz="4" w:space="0" w:color="000000"/>
              <w:left w:val="nil"/>
              <w:bottom w:val="nil"/>
              <w:right w:val="nil"/>
            </w:tcBorders>
            <w:shd w:val="clear" w:color="auto" w:fill="auto"/>
            <w:noWrap/>
            <w:vAlign w:val="center"/>
            <w:hideMark/>
          </w:tcPr>
          <w:p w14:paraId="0A148728"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 </w:t>
            </w:r>
          </w:p>
        </w:tc>
      </w:tr>
      <w:tr w:rsidR="002706D2" w:rsidRPr="002706D2" w14:paraId="3D1F6D16" w14:textId="77777777" w:rsidTr="00C1298C">
        <w:trPr>
          <w:trHeight w:hRule="exact" w:val="450"/>
        </w:trPr>
        <w:tc>
          <w:tcPr>
            <w:tcW w:w="2673" w:type="pct"/>
            <w:tcBorders>
              <w:top w:val="nil"/>
              <w:left w:val="nil"/>
              <w:bottom w:val="nil"/>
              <w:right w:val="nil"/>
            </w:tcBorders>
            <w:shd w:val="clear" w:color="auto" w:fill="auto"/>
            <w:vAlign w:val="center"/>
            <w:hideMark/>
          </w:tcPr>
          <w:p w14:paraId="048AEAB1"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Estimated closing balance as at</w:t>
            </w:r>
            <w:r w:rsidRPr="002706D2">
              <w:rPr>
                <w:rFonts w:ascii="Arial" w:hAnsi="Arial" w:cs="Arial"/>
                <w:b/>
                <w:bCs/>
                <w:color w:val="000000"/>
                <w:sz w:val="16"/>
                <w:szCs w:val="16"/>
              </w:rPr>
              <w:br/>
              <w:t xml:space="preserve">  30 June 2024</w:t>
            </w:r>
          </w:p>
        </w:tc>
        <w:tc>
          <w:tcPr>
            <w:tcW w:w="759" w:type="pct"/>
            <w:tcBorders>
              <w:top w:val="single" w:sz="4" w:space="0" w:color="auto"/>
              <w:left w:val="nil"/>
              <w:bottom w:val="single" w:sz="4" w:space="0" w:color="auto"/>
              <w:right w:val="nil"/>
            </w:tcBorders>
            <w:shd w:val="clear" w:color="auto" w:fill="auto"/>
            <w:noWrap/>
            <w:vAlign w:val="bottom"/>
            <w:hideMark/>
          </w:tcPr>
          <w:p w14:paraId="605A412B"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3,560 </w:t>
            </w:r>
          </w:p>
        </w:tc>
        <w:tc>
          <w:tcPr>
            <w:tcW w:w="810" w:type="pct"/>
            <w:tcBorders>
              <w:top w:val="single" w:sz="4" w:space="0" w:color="auto"/>
              <w:left w:val="nil"/>
              <w:bottom w:val="single" w:sz="4" w:space="0" w:color="auto"/>
              <w:right w:val="nil"/>
            </w:tcBorders>
            <w:shd w:val="clear" w:color="auto" w:fill="auto"/>
            <w:noWrap/>
            <w:vAlign w:val="bottom"/>
            <w:hideMark/>
          </w:tcPr>
          <w:p w14:paraId="018309A8"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81 </w:t>
            </w:r>
          </w:p>
        </w:tc>
        <w:tc>
          <w:tcPr>
            <w:tcW w:w="758" w:type="pct"/>
            <w:tcBorders>
              <w:top w:val="single" w:sz="4" w:space="0" w:color="auto"/>
              <w:left w:val="nil"/>
              <w:bottom w:val="single" w:sz="4" w:space="0" w:color="auto"/>
              <w:right w:val="nil"/>
            </w:tcBorders>
            <w:shd w:val="clear" w:color="auto" w:fill="auto"/>
            <w:noWrap/>
            <w:vAlign w:val="bottom"/>
            <w:hideMark/>
          </w:tcPr>
          <w:p w14:paraId="1B162F40"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3,641 </w:t>
            </w:r>
          </w:p>
        </w:tc>
      </w:tr>
      <w:tr w:rsidR="002706D2" w:rsidRPr="002706D2" w14:paraId="7C2E050A" w14:textId="77777777" w:rsidTr="00C1298C">
        <w:trPr>
          <w:trHeight w:hRule="exact" w:val="450"/>
        </w:trPr>
        <w:tc>
          <w:tcPr>
            <w:tcW w:w="2673" w:type="pct"/>
            <w:tcBorders>
              <w:top w:val="nil"/>
              <w:left w:val="nil"/>
              <w:bottom w:val="single" w:sz="4" w:space="0" w:color="000000"/>
              <w:right w:val="nil"/>
            </w:tcBorders>
            <w:shd w:val="clear" w:color="auto" w:fill="auto"/>
            <w:vAlign w:val="center"/>
            <w:hideMark/>
          </w:tcPr>
          <w:p w14:paraId="79A8CB3B"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Closing balance attributable to</w:t>
            </w:r>
            <w:r w:rsidRPr="002706D2">
              <w:rPr>
                <w:rFonts w:ascii="Arial" w:hAnsi="Arial" w:cs="Arial"/>
                <w:b/>
                <w:bCs/>
                <w:color w:val="000000"/>
                <w:sz w:val="16"/>
                <w:szCs w:val="16"/>
              </w:rPr>
              <w:br/>
              <w:t xml:space="preserve">  the Australian Government</w:t>
            </w:r>
          </w:p>
        </w:tc>
        <w:tc>
          <w:tcPr>
            <w:tcW w:w="759" w:type="pct"/>
            <w:tcBorders>
              <w:top w:val="nil"/>
              <w:left w:val="nil"/>
              <w:bottom w:val="single" w:sz="4" w:space="0" w:color="auto"/>
              <w:right w:val="nil"/>
            </w:tcBorders>
            <w:shd w:val="clear" w:color="auto" w:fill="auto"/>
            <w:noWrap/>
            <w:vAlign w:val="bottom"/>
            <w:hideMark/>
          </w:tcPr>
          <w:p w14:paraId="5B897DAF"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3,560 </w:t>
            </w:r>
          </w:p>
        </w:tc>
        <w:tc>
          <w:tcPr>
            <w:tcW w:w="810" w:type="pct"/>
            <w:tcBorders>
              <w:top w:val="nil"/>
              <w:left w:val="nil"/>
              <w:bottom w:val="single" w:sz="4" w:space="0" w:color="auto"/>
              <w:right w:val="nil"/>
            </w:tcBorders>
            <w:shd w:val="clear" w:color="auto" w:fill="auto"/>
            <w:noWrap/>
            <w:vAlign w:val="bottom"/>
            <w:hideMark/>
          </w:tcPr>
          <w:p w14:paraId="44A7881A"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81 </w:t>
            </w:r>
          </w:p>
        </w:tc>
        <w:tc>
          <w:tcPr>
            <w:tcW w:w="758" w:type="pct"/>
            <w:tcBorders>
              <w:top w:val="nil"/>
              <w:left w:val="nil"/>
              <w:bottom w:val="single" w:sz="4" w:space="0" w:color="auto"/>
              <w:right w:val="nil"/>
            </w:tcBorders>
            <w:shd w:val="clear" w:color="auto" w:fill="auto"/>
            <w:noWrap/>
            <w:vAlign w:val="bottom"/>
            <w:hideMark/>
          </w:tcPr>
          <w:p w14:paraId="6A1D2C01"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3,641 </w:t>
            </w:r>
          </w:p>
        </w:tc>
      </w:tr>
    </w:tbl>
    <w:p w14:paraId="27EA64CE" w14:textId="4B8ACA32" w:rsidR="00237A8F" w:rsidRDefault="000743BE" w:rsidP="00AE3F4C">
      <w:pPr>
        <w:pStyle w:val="ChartandTableFootnote"/>
      </w:pPr>
      <w:r w:rsidRPr="00907B8E">
        <w:t>Prepared on Australian Accounting Standards basis.</w:t>
      </w:r>
    </w:p>
    <w:p w14:paraId="22DCE03B" w14:textId="77777777" w:rsidR="009C0838" w:rsidRPr="009C0838" w:rsidRDefault="009C0838" w:rsidP="009E625B">
      <w:pPr>
        <w:pStyle w:val="TableLine"/>
      </w:pPr>
    </w:p>
    <w:p w14:paraId="45ED147E" w14:textId="77777777" w:rsidR="00237A8F" w:rsidRDefault="00237A8F">
      <w:pPr>
        <w:widowControl w:val="0"/>
        <w:autoSpaceDE w:val="0"/>
        <w:autoSpaceDN w:val="0"/>
        <w:spacing w:after="0" w:line="240" w:lineRule="auto"/>
        <w:rPr>
          <w:rFonts w:ascii="Arial" w:hAnsi="Arial"/>
          <w:b/>
          <w:sz w:val="20"/>
        </w:rPr>
      </w:pPr>
      <w:r>
        <w:br w:type="page"/>
      </w:r>
    </w:p>
    <w:p w14:paraId="07E99387" w14:textId="1C42D8FB" w:rsidR="002706D2" w:rsidRDefault="00465A87" w:rsidP="00C1298C">
      <w:pPr>
        <w:pStyle w:val="TableHeading"/>
        <w:rPr>
          <w:rFonts w:asciiTheme="minorHAnsi" w:eastAsiaTheme="minorHAnsi" w:hAnsiTheme="minorHAnsi" w:cstheme="minorBidi"/>
          <w:sz w:val="22"/>
          <w:szCs w:val="22"/>
          <w:lang w:val="en-US" w:eastAsia="en-US"/>
        </w:rPr>
      </w:pPr>
      <w:r>
        <w:lastRenderedPageBreak/>
        <w:t>Table</w:t>
      </w:r>
      <w:r>
        <w:rPr>
          <w:spacing w:val="-4"/>
        </w:rPr>
        <w:t xml:space="preserve"> </w:t>
      </w:r>
      <w:r>
        <w:t>3.4:</w:t>
      </w:r>
      <w:r>
        <w:rPr>
          <w:spacing w:val="-3"/>
        </w:rPr>
        <w:t xml:space="preserve"> </w:t>
      </w:r>
      <w:r>
        <w:t>Budgeted</w:t>
      </w:r>
      <w:r>
        <w:rPr>
          <w:spacing w:val="-3"/>
        </w:rPr>
        <w:t xml:space="preserve"> </w:t>
      </w:r>
      <w:r>
        <w:t>departmental</w:t>
      </w:r>
      <w:r>
        <w:rPr>
          <w:spacing w:val="-4"/>
        </w:rPr>
        <w:t xml:space="preserve"> </w:t>
      </w:r>
      <w:r>
        <w:t>statement</w:t>
      </w:r>
      <w:r>
        <w:rPr>
          <w:spacing w:val="-3"/>
        </w:rPr>
        <w:t xml:space="preserve"> </w:t>
      </w:r>
      <w:r>
        <w:t>of</w:t>
      </w:r>
      <w:r>
        <w:rPr>
          <w:spacing w:val="-3"/>
        </w:rPr>
        <w:t xml:space="preserve"> </w:t>
      </w:r>
      <w:r>
        <w:t>cash</w:t>
      </w:r>
      <w:r>
        <w:rPr>
          <w:spacing w:val="-3"/>
        </w:rPr>
        <w:t xml:space="preserve"> </w:t>
      </w:r>
      <w:r>
        <w:t>flows</w:t>
      </w:r>
      <w:r>
        <w:rPr>
          <w:spacing w:val="-4"/>
        </w:rPr>
        <w:t xml:space="preserve"> </w:t>
      </w:r>
      <w:r>
        <w:t>(for</w:t>
      </w:r>
      <w:r>
        <w:rPr>
          <w:spacing w:val="-5"/>
        </w:rPr>
        <w:t xml:space="preserve"> </w:t>
      </w:r>
      <w:r>
        <w:t>the</w:t>
      </w:r>
      <w:r>
        <w:rPr>
          <w:spacing w:val="-4"/>
        </w:rPr>
        <w:t xml:space="preserve"> </w:t>
      </w:r>
      <w:r>
        <w:t>period</w:t>
      </w:r>
      <w:r>
        <w:rPr>
          <w:spacing w:val="-1"/>
        </w:rPr>
        <w:t xml:space="preserve"> </w:t>
      </w:r>
      <w:r>
        <w:t>ended 30 June)</w:t>
      </w:r>
      <w:r w:rsidR="00612EF5">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2706D2" w:rsidRPr="002706D2" w14:paraId="16C8A5B7" w14:textId="77777777" w:rsidTr="00C1298C">
        <w:trPr>
          <w:trHeight w:hRule="exact" w:val="900"/>
        </w:trPr>
        <w:tc>
          <w:tcPr>
            <w:tcW w:w="2105" w:type="pct"/>
            <w:tcBorders>
              <w:top w:val="single" w:sz="4" w:space="0" w:color="auto"/>
              <w:left w:val="nil"/>
              <w:bottom w:val="nil"/>
              <w:right w:val="nil"/>
            </w:tcBorders>
            <w:shd w:val="clear" w:color="auto" w:fill="auto"/>
            <w:noWrap/>
            <w:hideMark/>
          </w:tcPr>
          <w:p w14:paraId="2B2A9670" w14:textId="444AE2BF" w:rsidR="002706D2" w:rsidRPr="002706D2" w:rsidRDefault="002706D2">
            <w:pPr>
              <w:rPr>
                <w:rFonts w:ascii="Arial" w:hAnsi="Arial" w:cs="Arial"/>
                <w:b/>
                <w:bCs/>
                <w:sz w:val="16"/>
                <w:szCs w:val="16"/>
              </w:rPr>
            </w:pPr>
            <w:r w:rsidRPr="002706D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BD9FF1C" w14:textId="77777777" w:rsidR="002706D2" w:rsidRPr="002706D2" w:rsidRDefault="002706D2" w:rsidP="002706D2">
            <w:pPr>
              <w:spacing w:after="0" w:line="240" w:lineRule="auto"/>
              <w:jc w:val="right"/>
              <w:rPr>
                <w:rFonts w:ascii="Arial" w:hAnsi="Arial" w:cs="Arial"/>
                <w:sz w:val="16"/>
                <w:szCs w:val="16"/>
              </w:rPr>
            </w:pPr>
            <w:r w:rsidRPr="002706D2">
              <w:rPr>
                <w:rFonts w:ascii="Arial" w:hAnsi="Arial" w:cs="Arial"/>
                <w:sz w:val="16"/>
                <w:szCs w:val="16"/>
              </w:rPr>
              <w:t>2022-23 Estimated actual</w:t>
            </w:r>
            <w:r w:rsidRPr="002706D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151CA666" w14:textId="77777777" w:rsidR="002706D2" w:rsidRPr="002706D2" w:rsidRDefault="002706D2" w:rsidP="002706D2">
            <w:pPr>
              <w:spacing w:after="0" w:line="240" w:lineRule="auto"/>
              <w:jc w:val="right"/>
              <w:rPr>
                <w:rFonts w:ascii="Arial" w:hAnsi="Arial" w:cs="Arial"/>
                <w:sz w:val="16"/>
                <w:szCs w:val="16"/>
              </w:rPr>
            </w:pPr>
            <w:r w:rsidRPr="002706D2">
              <w:rPr>
                <w:rFonts w:ascii="Arial" w:hAnsi="Arial" w:cs="Arial"/>
                <w:sz w:val="16"/>
                <w:szCs w:val="16"/>
              </w:rPr>
              <w:t>2023-24</w:t>
            </w:r>
            <w:r w:rsidRPr="002706D2">
              <w:rPr>
                <w:rFonts w:ascii="Arial" w:hAnsi="Arial" w:cs="Arial"/>
                <w:sz w:val="16"/>
                <w:szCs w:val="16"/>
              </w:rPr>
              <w:br/>
              <w:t>Budget</w:t>
            </w:r>
            <w:r w:rsidRPr="002706D2">
              <w:rPr>
                <w:rFonts w:ascii="Arial" w:hAnsi="Arial" w:cs="Arial"/>
                <w:sz w:val="16"/>
                <w:szCs w:val="16"/>
              </w:rPr>
              <w:br/>
            </w:r>
            <w:r w:rsidRPr="002706D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72846A3" w14:textId="77777777" w:rsidR="002706D2" w:rsidRPr="002706D2" w:rsidRDefault="002706D2" w:rsidP="002706D2">
            <w:pPr>
              <w:spacing w:after="0" w:line="240" w:lineRule="auto"/>
              <w:jc w:val="right"/>
              <w:rPr>
                <w:rFonts w:ascii="Arial" w:hAnsi="Arial" w:cs="Arial"/>
                <w:sz w:val="16"/>
                <w:szCs w:val="16"/>
              </w:rPr>
            </w:pPr>
            <w:r w:rsidRPr="002706D2">
              <w:rPr>
                <w:rFonts w:ascii="Arial" w:hAnsi="Arial" w:cs="Arial"/>
                <w:sz w:val="16"/>
                <w:szCs w:val="16"/>
              </w:rPr>
              <w:t>2024-25 Forward estimate</w:t>
            </w:r>
            <w:r w:rsidRPr="002706D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F2A9BCE" w14:textId="77777777" w:rsidR="002706D2" w:rsidRPr="002706D2" w:rsidRDefault="002706D2" w:rsidP="002706D2">
            <w:pPr>
              <w:spacing w:after="0" w:line="240" w:lineRule="auto"/>
              <w:jc w:val="right"/>
              <w:rPr>
                <w:rFonts w:ascii="Arial" w:hAnsi="Arial" w:cs="Arial"/>
                <w:sz w:val="16"/>
                <w:szCs w:val="16"/>
              </w:rPr>
            </w:pPr>
            <w:r w:rsidRPr="002706D2">
              <w:rPr>
                <w:rFonts w:ascii="Arial" w:hAnsi="Arial" w:cs="Arial"/>
                <w:sz w:val="16"/>
                <w:szCs w:val="16"/>
              </w:rPr>
              <w:t>2025-26 Forward estimate</w:t>
            </w:r>
            <w:r w:rsidRPr="002706D2">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0A7F758" w14:textId="77777777" w:rsidR="002706D2" w:rsidRPr="002706D2" w:rsidRDefault="002706D2" w:rsidP="002706D2">
            <w:pPr>
              <w:spacing w:after="0" w:line="240" w:lineRule="auto"/>
              <w:jc w:val="right"/>
              <w:rPr>
                <w:rFonts w:ascii="Arial" w:hAnsi="Arial" w:cs="Arial"/>
                <w:sz w:val="16"/>
                <w:szCs w:val="16"/>
              </w:rPr>
            </w:pPr>
            <w:r w:rsidRPr="002706D2">
              <w:rPr>
                <w:rFonts w:ascii="Arial" w:hAnsi="Arial" w:cs="Arial"/>
                <w:sz w:val="16"/>
                <w:szCs w:val="16"/>
              </w:rPr>
              <w:t>2026-27</w:t>
            </w:r>
            <w:r w:rsidRPr="002706D2">
              <w:rPr>
                <w:rFonts w:ascii="Arial" w:hAnsi="Arial" w:cs="Arial"/>
                <w:sz w:val="16"/>
                <w:szCs w:val="16"/>
              </w:rPr>
              <w:br/>
              <w:t>Forward estimate</w:t>
            </w:r>
            <w:r w:rsidRPr="002706D2">
              <w:rPr>
                <w:rFonts w:ascii="Arial" w:hAnsi="Arial" w:cs="Arial"/>
                <w:sz w:val="16"/>
                <w:szCs w:val="16"/>
              </w:rPr>
              <w:br/>
              <w:t>$'000</w:t>
            </w:r>
          </w:p>
        </w:tc>
      </w:tr>
      <w:tr w:rsidR="002706D2" w:rsidRPr="002706D2" w14:paraId="0D3AE04D" w14:textId="77777777" w:rsidTr="00C1298C">
        <w:trPr>
          <w:trHeight w:hRule="exact" w:val="225"/>
        </w:trPr>
        <w:tc>
          <w:tcPr>
            <w:tcW w:w="2105" w:type="pct"/>
            <w:tcBorders>
              <w:top w:val="nil"/>
              <w:left w:val="nil"/>
              <w:bottom w:val="nil"/>
              <w:right w:val="nil"/>
            </w:tcBorders>
            <w:shd w:val="clear" w:color="auto" w:fill="auto"/>
            <w:noWrap/>
            <w:vAlign w:val="center"/>
            <w:hideMark/>
          </w:tcPr>
          <w:p w14:paraId="2A8A208B"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100F3DC7" w14:textId="77777777" w:rsidR="002706D2" w:rsidRPr="002706D2" w:rsidRDefault="002706D2" w:rsidP="002706D2">
            <w:pPr>
              <w:spacing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3C1C77F"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C0F2290" w14:textId="77777777" w:rsidR="002706D2" w:rsidRPr="002706D2" w:rsidRDefault="002706D2" w:rsidP="002706D2">
            <w:pPr>
              <w:spacing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BADB678" w14:textId="77777777" w:rsidR="002706D2" w:rsidRPr="002706D2" w:rsidRDefault="002706D2" w:rsidP="002706D2">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23DF05D" w14:textId="77777777" w:rsidR="002706D2" w:rsidRPr="002706D2" w:rsidRDefault="002706D2" w:rsidP="002706D2">
            <w:pPr>
              <w:spacing w:after="0" w:line="240" w:lineRule="auto"/>
              <w:rPr>
                <w:rFonts w:ascii="Times New Roman" w:hAnsi="Times New Roman"/>
                <w:sz w:val="20"/>
              </w:rPr>
            </w:pPr>
          </w:p>
        </w:tc>
      </w:tr>
      <w:tr w:rsidR="002706D2" w:rsidRPr="002706D2" w14:paraId="781CB785" w14:textId="77777777" w:rsidTr="00C1298C">
        <w:trPr>
          <w:trHeight w:hRule="exact" w:val="225"/>
        </w:trPr>
        <w:tc>
          <w:tcPr>
            <w:tcW w:w="2105" w:type="pct"/>
            <w:tcBorders>
              <w:top w:val="nil"/>
              <w:left w:val="nil"/>
              <w:bottom w:val="nil"/>
              <w:right w:val="nil"/>
            </w:tcBorders>
            <w:shd w:val="clear" w:color="auto" w:fill="auto"/>
            <w:noWrap/>
            <w:vAlign w:val="center"/>
            <w:hideMark/>
          </w:tcPr>
          <w:p w14:paraId="26BBAC83"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08D5DC75" w14:textId="77777777" w:rsidR="002706D2" w:rsidRPr="002706D2" w:rsidRDefault="002706D2" w:rsidP="002706D2">
            <w:pPr>
              <w:spacing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F773732"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B8D1F9A" w14:textId="77777777" w:rsidR="002706D2" w:rsidRPr="002706D2" w:rsidRDefault="002706D2" w:rsidP="002706D2">
            <w:pPr>
              <w:spacing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00237C1" w14:textId="77777777" w:rsidR="002706D2" w:rsidRPr="002706D2" w:rsidRDefault="002706D2" w:rsidP="002706D2">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021B4AB" w14:textId="77777777" w:rsidR="002706D2" w:rsidRPr="002706D2" w:rsidRDefault="002706D2" w:rsidP="002706D2">
            <w:pPr>
              <w:spacing w:after="0" w:line="240" w:lineRule="auto"/>
              <w:rPr>
                <w:rFonts w:ascii="Times New Roman" w:hAnsi="Times New Roman"/>
                <w:sz w:val="20"/>
              </w:rPr>
            </w:pPr>
          </w:p>
        </w:tc>
      </w:tr>
      <w:tr w:rsidR="002706D2" w:rsidRPr="002706D2" w14:paraId="5465F8F6" w14:textId="77777777" w:rsidTr="00C1298C">
        <w:trPr>
          <w:trHeight w:hRule="exact" w:val="225"/>
        </w:trPr>
        <w:tc>
          <w:tcPr>
            <w:tcW w:w="2105" w:type="pct"/>
            <w:tcBorders>
              <w:top w:val="nil"/>
              <w:left w:val="nil"/>
              <w:bottom w:val="nil"/>
              <w:right w:val="nil"/>
            </w:tcBorders>
            <w:shd w:val="clear" w:color="auto" w:fill="auto"/>
            <w:noWrap/>
            <w:vAlign w:val="center"/>
            <w:hideMark/>
          </w:tcPr>
          <w:p w14:paraId="00B95A63"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61CD3F2F"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1,683 </w:t>
            </w:r>
          </w:p>
        </w:tc>
        <w:tc>
          <w:tcPr>
            <w:tcW w:w="579" w:type="pct"/>
            <w:tcBorders>
              <w:top w:val="nil"/>
              <w:left w:val="nil"/>
              <w:bottom w:val="nil"/>
              <w:right w:val="nil"/>
            </w:tcBorders>
            <w:shd w:val="clear" w:color="000000" w:fill="E6E6E6"/>
            <w:noWrap/>
            <w:vAlign w:val="center"/>
            <w:hideMark/>
          </w:tcPr>
          <w:p w14:paraId="19FDE943"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1,727 </w:t>
            </w:r>
          </w:p>
        </w:tc>
        <w:tc>
          <w:tcPr>
            <w:tcW w:w="579" w:type="pct"/>
            <w:tcBorders>
              <w:top w:val="nil"/>
              <w:left w:val="nil"/>
              <w:bottom w:val="nil"/>
              <w:right w:val="nil"/>
            </w:tcBorders>
            <w:shd w:val="clear" w:color="auto" w:fill="auto"/>
            <w:noWrap/>
            <w:vAlign w:val="center"/>
            <w:hideMark/>
          </w:tcPr>
          <w:p w14:paraId="3CEA5F98"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1,764 </w:t>
            </w:r>
          </w:p>
        </w:tc>
        <w:tc>
          <w:tcPr>
            <w:tcW w:w="579" w:type="pct"/>
            <w:tcBorders>
              <w:top w:val="nil"/>
              <w:left w:val="nil"/>
              <w:bottom w:val="nil"/>
              <w:right w:val="nil"/>
            </w:tcBorders>
            <w:shd w:val="clear" w:color="auto" w:fill="auto"/>
            <w:noWrap/>
            <w:vAlign w:val="center"/>
            <w:hideMark/>
          </w:tcPr>
          <w:p w14:paraId="0662232A"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1,788 </w:t>
            </w:r>
          </w:p>
        </w:tc>
        <w:tc>
          <w:tcPr>
            <w:tcW w:w="579" w:type="pct"/>
            <w:tcBorders>
              <w:top w:val="nil"/>
              <w:left w:val="nil"/>
              <w:bottom w:val="nil"/>
              <w:right w:val="nil"/>
            </w:tcBorders>
            <w:shd w:val="clear" w:color="auto" w:fill="auto"/>
            <w:noWrap/>
            <w:vAlign w:val="center"/>
            <w:hideMark/>
          </w:tcPr>
          <w:p w14:paraId="7DEBA6A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1,824 </w:t>
            </w:r>
          </w:p>
        </w:tc>
      </w:tr>
      <w:tr w:rsidR="002706D2" w:rsidRPr="002706D2" w14:paraId="50711265" w14:textId="77777777" w:rsidTr="00C1298C">
        <w:trPr>
          <w:trHeight w:hRule="exact" w:val="225"/>
        </w:trPr>
        <w:tc>
          <w:tcPr>
            <w:tcW w:w="2105" w:type="pct"/>
            <w:tcBorders>
              <w:top w:val="nil"/>
              <w:left w:val="nil"/>
              <w:bottom w:val="nil"/>
              <w:right w:val="nil"/>
            </w:tcBorders>
            <w:shd w:val="clear" w:color="auto" w:fill="auto"/>
            <w:noWrap/>
            <w:vAlign w:val="center"/>
            <w:hideMark/>
          </w:tcPr>
          <w:p w14:paraId="670CE588"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center"/>
            <w:hideMark/>
          </w:tcPr>
          <w:p w14:paraId="74CE8F62"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165 </w:t>
            </w:r>
          </w:p>
        </w:tc>
        <w:tc>
          <w:tcPr>
            <w:tcW w:w="579" w:type="pct"/>
            <w:tcBorders>
              <w:top w:val="nil"/>
              <w:left w:val="nil"/>
              <w:bottom w:val="nil"/>
              <w:right w:val="nil"/>
            </w:tcBorders>
            <w:shd w:val="clear" w:color="000000" w:fill="E6E6E6"/>
            <w:noWrap/>
            <w:vAlign w:val="center"/>
            <w:hideMark/>
          </w:tcPr>
          <w:p w14:paraId="335FA1E8"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162 </w:t>
            </w:r>
          </w:p>
        </w:tc>
        <w:tc>
          <w:tcPr>
            <w:tcW w:w="579" w:type="pct"/>
            <w:tcBorders>
              <w:top w:val="nil"/>
              <w:left w:val="nil"/>
              <w:bottom w:val="nil"/>
              <w:right w:val="nil"/>
            </w:tcBorders>
            <w:shd w:val="clear" w:color="auto" w:fill="auto"/>
            <w:noWrap/>
            <w:vAlign w:val="center"/>
            <w:hideMark/>
          </w:tcPr>
          <w:p w14:paraId="76D30C22"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center"/>
            <w:hideMark/>
          </w:tcPr>
          <w:p w14:paraId="19855FC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center"/>
            <w:hideMark/>
          </w:tcPr>
          <w:p w14:paraId="2CB9013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169 </w:t>
            </w:r>
          </w:p>
        </w:tc>
      </w:tr>
      <w:tr w:rsidR="002706D2" w:rsidRPr="002706D2" w14:paraId="2C88EDB4" w14:textId="77777777" w:rsidTr="00C1298C">
        <w:trPr>
          <w:trHeight w:hRule="exact" w:val="210"/>
        </w:trPr>
        <w:tc>
          <w:tcPr>
            <w:tcW w:w="2105" w:type="pct"/>
            <w:tcBorders>
              <w:top w:val="nil"/>
              <w:left w:val="nil"/>
              <w:bottom w:val="nil"/>
              <w:right w:val="nil"/>
            </w:tcBorders>
            <w:shd w:val="clear" w:color="auto" w:fill="auto"/>
            <w:noWrap/>
            <w:vAlign w:val="center"/>
            <w:hideMark/>
          </w:tcPr>
          <w:p w14:paraId="1CDB7DFE" w14:textId="77777777" w:rsidR="002706D2" w:rsidRPr="002706D2" w:rsidRDefault="002706D2" w:rsidP="002706D2">
            <w:pPr>
              <w:spacing w:after="0" w:line="240" w:lineRule="auto"/>
              <w:rPr>
                <w:rFonts w:ascii="Arial" w:hAnsi="Arial" w:cs="Arial"/>
                <w:b/>
                <w:bCs/>
                <w:i/>
                <w:iCs/>
                <w:color w:val="000000"/>
                <w:sz w:val="16"/>
                <w:szCs w:val="16"/>
              </w:rPr>
            </w:pPr>
            <w:r w:rsidRPr="002706D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2B7D2FD3"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1,848 </w:t>
            </w:r>
          </w:p>
        </w:tc>
        <w:tc>
          <w:tcPr>
            <w:tcW w:w="579" w:type="pct"/>
            <w:tcBorders>
              <w:top w:val="single" w:sz="4" w:space="0" w:color="000000"/>
              <w:left w:val="nil"/>
              <w:bottom w:val="single" w:sz="4" w:space="0" w:color="000000"/>
              <w:right w:val="nil"/>
            </w:tcBorders>
            <w:shd w:val="clear" w:color="000000" w:fill="E6E6E6"/>
            <w:noWrap/>
            <w:vAlign w:val="center"/>
            <w:hideMark/>
          </w:tcPr>
          <w:p w14:paraId="7CA06E1E"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1,889 </w:t>
            </w:r>
          </w:p>
        </w:tc>
        <w:tc>
          <w:tcPr>
            <w:tcW w:w="579" w:type="pct"/>
            <w:tcBorders>
              <w:top w:val="single" w:sz="4" w:space="0" w:color="000000"/>
              <w:left w:val="nil"/>
              <w:bottom w:val="single" w:sz="4" w:space="0" w:color="000000"/>
              <w:right w:val="nil"/>
            </w:tcBorders>
            <w:shd w:val="clear" w:color="auto" w:fill="auto"/>
            <w:noWrap/>
            <w:vAlign w:val="center"/>
            <w:hideMark/>
          </w:tcPr>
          <w:p w14:paraId="31AD6524"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1,930 </w:t>
            </w:r>
          </w:p>
        </w:tc>
        <w:tc>
          <w:tcPr>
            <w:tcW w:w="579" w:type="pct"/>
            <w:tcBorders>
              <w:top w:val="single" w:sz="4" w:space="0" w:color="000000"/>
              <w:left w:val="nil"/>
              <w:bottom w:val="single" w:sz="4" w:space="0" w:color="000000"/>
              <w:right w:val="nil"/>
            </w:tcBorders>
            <w:shd w:val="clear" w:color="auto" w:fill="auto"/>
            <w:noWrap/>
            <w:vAlign w:val="center"/>
            <w:hideMark/>
          </w:tcPr>
          <w:p w14:paraId="640DF3D0"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1,954 </w:t>
            </w:r>
          </w:p>
        </w:tc>
        <w:tc>
          <w:tcPr>
            <w:tcW w:w="579" w:type="pct"/>
            <w:tcBorders>
              <w:top w:val="single" w:sz="4" w:space="0" w:color="000000"/>
              <w:left w:val="nil"/>
              <w:bottom w:val="single" w:sz="4" w:space="0" w:color="000000"/>
              <w:right w:val="nil"/>
            </w:tcBorders>
            <w:shd w:val="clear" w:color="auto" w:fill="auto"/>
            <w:noWrap/>
            <w:vAlign w:val="center"/>
            <w:hideMark/>
          </w:tcPr>
          <w:p w14:paraId="064F5552"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1,993 </w:t>
            </w:r>
          </w:p>
        </w:tc>
      </w:tr>
      <w:tr w:rsidR="002706D2" w:rsidRPr="002706D2" w14:paraId="2A5E8B25" w14:textId="77777777" w:rsidTr="00C1298C">
        <w:trPr>
          <w:trHeight w:hRule="exact" w:val="225"/>
        </w:trPr>
        <w:tc>
          <w:tcPr>
            <w:tcW w:w="2105" w:type="pct"/>
            <w:tcBorders>
              <w:top w:val="nil"/>
              <w:left w:val="nil"/>
              <w:bottom w:val="nil"/>
              <w:right w:val="nil"/>
            </w:tcBorders>
            <w:shd w:val="clear" w:color="auto" w:fill="auto"/>
            <w:noWrap/>
            <w:vAlign w:val="center"/>
            <w:hideMark/>
          </w:tcPr>
          <w:p w14:paraId="1C13CDBD"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3EC879BE" w14:textId="77777777" w:rsidR="002706D2" w:rsidRPr="002706D2" w:rsidRDefault="002706D2" w:rsidP="002706D2">
            <w:pPr>
              <w:spacing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BF33CB3" w14:textId="77777777" w:rsidR="002706D2" w:rsidRPr="002706D2" w:rsidRDefault="002706D2" w:rsidP="002706D2">
            <w:pPr>
              <w:spacing w:after="0" w:line="240" w:lineRule="auto"/>
              <w:rPr>
                <w:rFonts w:ascii="Arial" w:hAnsi="Arial" w:cs="Arial"/>
                <w:color w:val="000000"/>
                <w:sz w:val="16"/>
                <w:szCs w:val="16"/>
              </w:rPr>
            </w:pPr>
            <w:r w:rsidRPr="002706D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D6C6E3A" w14:textId="77777777" w:rsidR="002706D2" w:rsidRPr="002706D2" w:rsidRDefault="002706D2" w:rsidP="002706D2">
            <w:pPr>
              <w:spacing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3CD80B0" w14:textId="77777777" w:rsidR="002706D2" w:rsidRPr="002706D2" w:rsidRDefault="002706D2" w:rsidP="002706D2">
            <w:pPr>
              <w:spacing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DCE9CB4" w14:textId="77777777" w:rsidR="002706D2" w:rsidRPr="002706D2" w:rsidRDefault="002706D2" w:rsidP="002706D2">
            <w:pPr>
              <w:spacing w:after="0" w:line="240" w:lineRule="auto"/>
              <w:rPr>
                <w:rFonts w:ascii="Times New Roman" w:hAnsi="Times New Roman"/>
                <w:sz w:val="20"/>
              </w:rPr>
            </w:pPr>
          </w:p>
        </w:tc>
      </w:tr>
      <w:tr w:rsidR="002706D2" w:rsidRPr="002706D2" w14:paraId="25A6099C" w14:textId="77777777" w:rsidTr="00C1298C">
        <w:trPr>
          <w:trHeight w:hRule="exact" w:val="225"/>
        </w:trPr>
        <w:tc>
          <w:tcPr>
            <w:tcW w:w="2105" w:type="pct"/>
            <w:tcBorders>
              <w:top w:val="nil"/>
              <w:left w:val="nil"/>
              <w:bottom w:val="nil"/>
              <w:right w:val="nil"/>
            </w:tcBorders>
            <w:shd w:val="clear" w:color="auto" w:fill="auto"/>
            <w:noWrap/>
            <w:vAlign w:val="center"/>
            <w:hideMark/>
          </w:tcPr>
          <w:p w14:paraId="080CD7B2"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center"/>
            <w:hideMark/>
          </w:tcPr>
          <w:p w14:paraId="6FBB858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104 </w:t>
            </w:r>
          </w:p>
        </w:tc>
        <w:tc>
          <w:tcPr>
            <w:tcW w:w="579" w:type="pct"/>
            <w:tcBorders>
              <w:top w:val="nil"/>
              <w:left w:val="nil"/>
              <w:bottom w:val="nil"/>
              <w:right w:val="nil"/>
            </w:tcBorders>
            <w:shd w:val="clear" w:color="000000" w:fill="E6E6E6"/>
            <w:noWrap/>
            <w:vAlign w:val="center"/>
            <w:hideMark/>
          </w:tcPr>
          <w:p w14:paraId="07FF73C7"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106 </w:t>
            </w:r>
          </w:p>
        </w:tc>
        <w:tc>
          <w:tcPr>
            <w:tcW w:w="579" w:type="pct"/>
            <w:tcBorders>
              <w:top w:val="nil"/>
              <w:left w:val="nil"/>
              <w:bottom w:val="nil"/>
              <w:right w:val="nil"/>
            </w:tcBorders>
            <w:shd w:val="clear" w:color="auto" w:fill="auto"/>
            <w:noWrap/>
            <w:vAlign w:val="center"/>
            <w:hideMark/>
          </w:tcPr>
          <w:p w14:paraId="6E094F04"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108 </w:t>
            </w:r>
          </w:p>
        </w:tc>
        <w:tc>
          <w:tcPr>
            <w:tcW w:w="579" w:type="pct"/>
            <w:tcBorders>
              <w:top w:val="nil"/>
              <w:left w:val="nil"/>
              <w:bottom w:val="nil"/>
              <w:right w:val="nil"/>
            </w:tcBorders>
            <w:shd w:val="clear" w:color="auto" w:fill="auto"/>
            <w:noWrap/>
            <w:vAlign w:val="center"/>
            <w:hideMark/>
          </w:tcPr>
          <w:p w14:paraId="76292F5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130 </w:t>
            </w:r>
          </w:p>
        </w:tc>
        <w:tc>
          <w:tcPr>
            <w:tcW w:w="579" w:type="pct"/>
            <w:tcBorders>
              <w:top w:val="nil"/>
              <w:left w:val="nil"/>
              <w:bottom w:val="nil"/>
              <w:right w:val="nil"/>
            </w:tcBorders>
            <w:shd w:val="clear" w:color="auto" w:fill="auto"/>
            <w:noWrap/>
            <w:vAlign w:val="center"/>
            <w:hideMark/>
          </w:tcPr>
          <w:p w14:paraId="250AAD45"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130 </w:t>
            </w:r>
          </w:p>
        </w:tc>
      </w:tr>
      <w:tr w:rsidR="002706D2" w:rsidRPr="002706D2" w14:paraId="23FFC49E" w14:textId="77777777" w:rsidTr="00C1298C">
        <w:trPr>
          <w:trHeight w:hRule="exact" w:val="225"/>
        </w:trPr>
        <w:tc>
          <w:tcPr>
            <w:tcW w:w="2105" w:type="pct"/>
            <w:tcBorders>
              <w:top w:val="nil"/>
              <w:left w:val="nil"/>
              <w:bottom w:val="nil"/>
              <w:right w:val="nil"/>
            </w:tcBorders>
            <w:shd w:val="clear" w:color="auto" w:fill="auto"/>
            <w:noWrap/>
            <w:vAlign w:val="center"/>
            <w:hideMark/>
          </w:tcPr>
          <w:p w14:paraId="6DCB5B78"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2D80F478"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1,579 </w:t>
            </w:r>
          </w:p>
        </w:tc>
        <w:tc>
          <w:tcPr>
            <w:tcW w:w="579" w:type="pct"/>
            <w:tcBorders>
              <w:top w:val="nil"/>
              <w:left w:val="nil"/>
              <w:bottom w:val="nil"/>
              <w:right w:val="nil"/>
            </w:tcBorders>
            <w:shd w:val="clear" w:color="000000" w:fill="E6E6E6"/>
            <w:noWrap/>
            <w:vAlign w:val="center"/>
            <w:hideMark/>
          </w:tcPr>
          <w:p w14:paraId="472F6C65"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1,621 </w:t>
            </w:r>
          </w:p>
        </w:tc>
        <w:tc>
          <w:tcPr>
            <w:tcW w:w="579" w:type="pct"/>
            <w:tcBorders>
              <w:top w:val="nil"/>
              <w:left w:val="nil"/>
              <w:bottom w:val="nil"/>
              <w:right w:val="nil"/>
            </w:tcBorders>
            <w:shd w:val="clear" w:color="auto" w:fill="auto"/>
            <w:noWrap/>
            <w:vAlign w:val="center"/>
            <w:hideMark/>
          </w:tcPr>
          <w:p w14:paraId="015E3F81"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1,656 </w:t>
            </w:r>
          </w:p>
        </w:tc>
        <w:tc>
          <w:tcPr>
            <w:tcW w:w="579" w:type="pct"/>
            <w:tcBorders>
              <w:top w:val="nil"/>
              <w:left w:val="nil"/>
              <w:bottom w:val="nil"/>
              <w:right w:val="nil"/>
            </w:tcBorders>
            <w:shd w:val="clear" w:color="auto" w:fill="auto"/>
            <w:noWrap/>
            <w:vAlign w:val="center"/>
            <w:hideMark/>
          </w:tcPr>
          <w:p w14:paraId="17B6DF0E"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1,658 </w:t>
            </w:r>
          </w:p>
        </w:tc>
        <w:tc>
          <w:tcPr>
            <w:tcW w:w="579" w:type="pct"/>
            <w:tcBorders>
              <w:top w:val="nil"/>
              <w:left w:val="nil"/>
              <w:bottom w:val="nil"/>
              <w:right w:val="nil"/>
            </w:tcBorders>
            <w:shd w:val="clear" w:color="auto" w:fill="auto"/>
            <w:noWrap/>
            <w:vAlign w:val="center"/>
            <w:hideMark/>
          </w:tcPr>
          <w:p w14:paraId="5D97CF7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1,694 </w:t>
            </w:r>
          </w:p>
        </w:tc>
      </w:tr>
      <w:tr w:rsidR="002706D2" w:rsidRPr="002706D2" w14:paraId="61C977F6" w14:textId="77777777" w:rsidTr="00C1298C">
        <w:trPr>
          <w:trHeight w:hRule="exact" w:val="225"/>
        </w:trPr>
        <w:tc>
          <w:tcPr>
            <w:tcW w:w="2105" w:type="pct"/>
            <w:tcBorders>
              <w:top w:val="nil"/>
              <w:left w:val="nil"/>
              <w:bottom w:val="nil"/>
              <w:right w:val="nil"/>
            </w:tcBorders>
            <w:shd w:val="clear" w:color="auto" w:fill="auto"/>
            <w:noWrap/>
            <w:vAlign w:val="center"/>
            <w:hideMark/>
          </w:tcPr>
          <w:p w14:paraId="2626A73C" w14:textId="77777777" w:rsidR="002706D2" w:rsidRPr="002706D2" w:rsidRDefault="002706D2" w:rsidP="00C1298C">
            <w:pPr>
              <w:spacing w:after="0" w:line="240" w:lineRule="auto"/>
              <w:ind w:left="170"/>
              <w:rPr>
                <w:rFonts w:ascii="Arial" w:hAnsi="Arial" w:cs="Arial"/>
                <w:sz w:val="16"/>
                <w:szCs w:val="16"/>
              </w:rPr>
            </w:pPr>
            <w:r w:rsidRPr="002706D2">
              <w:rPr>
                <w:rFonts w:ascii="Arial" w:hAnsi="Arial" w:cs="Arial"/>
                <w:sz w:val="16"/>
                <w:szCs w:val="16"/>
              </w:rPr>
              <w:t>Net GST paid</w:t>
            </w:r>
          </w:p>
        </w:tc>
        <w:tc>
          <w:tcPr>
            <w:tcW w:w="579" w:type="pct"/>
            <w:tcBorders>
              <w:top w:val="nil"/>
              <w:left w:val="nil"/>
              <w:bottom w:val="nil"/>
              <w:right w:val="nil"/>
            </w:tcBorders>
            <w:shd w:val="clear" w:color="auto" w:fill="auto"/>
            <w:noWrap/>
            <w:vAlign w:val="center"/>
            <w:hideMark/>
          </w:tcPr>
          <w:p w14:paraId="33EA675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165 </w:t>
            </w:r>
          </w:p>
        </w:tc>
        <w:tc>
          <w:tcPr>
            <w:tcW w:w="579" w:type="pct"/>
            <w:tcBorders>
              <w:top w:val="nil"/>
              <w:left w:val="nil"/>
              <w:bottom w:val="nil"/>
              <w:right w:val="nil"/>
            </w:tcBorders>
            <w:shd w:val="clear" w:color="000000" w:fill="E6E6E6"/>
            <w:noWrap/>
            <w:vAlign w:val="center"/>
            <w:hideMark/>
          </w:tcPr>
          <w:p w14:paraId="428C27F6"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162 </w:t>
            </w:r>
          </w:p>
        </w:tc>
        <w:tc>
          <w:tcPr>
            <w:tcW w:w="579" w:type="pct"/>
            <w:tcBorders>
              <w:top w:val="nil"/>
              <w:left w:val="nil"/>
              <w:bottom w:val="nil"/>
              <w:right w:val="nil"/>
            </w:tcBorders>
            <w:shd w:val="clear" w:color="auto" w:fill="auto"/>
            <w:noWrap/>
            <w:vAlign w:val="center"/>
            <w:hideMark/>
          </w:tcPr>
          <w:p w14:paraId="15E5E5A8"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center"/>
            <w:hideMark/>
          </w:tcPr>
          <w:p w14:paraId="2FA816FA"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center"/>
            <w:hideMark/>
          </w:tcPr>
          <w:p w14:paraId="5E865075"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169 </w:t>
            </w:r>
          </w:p>
        </w:tc>
      </w:tr>
      <w:tr w:rsidR="002706D2" w:rsidRPr="002706D2" w14:paraId="27E433A4" w14:textId="77777777" w:rsidTr="00C1298C">
        <w:trPr>
          <w:trHeight w:hRule="exact" w:val="210"/>
        </w:trPr>
        <w:tc>
          <w:tcPr>
            <w:tcW w:w="2105" w:type="pct"/>
            <w:tcBorders>
              <w:top w:val="nil"/>
              <w:left w:val="nil"/>
              <w:bottom w:val="nil"/>
              <w:right w:val="nil"/>
            </w:tcBorders>
            <w:shd w:val="clear" w:color="auto" w:fill="auto"/>
            <w:noWrap/>
            <w:vAlign w:val="center"/>
            <w:hideMark/>
          </w:tcPr>
          <w:p w14:paraId="090C01F2" w14:textId="77777777" w:rsidR="002706D2" w:rsidRPr="002706D2" w:rsidRDefault="002706D2" w:rsidP="002706D2">
            <w:pPr>
              <w:spacing w:after="0" w:line="240" w:lineRule="auto"/>
              <w:rPr>
                <w:rFonts w:ascii="Arial" w:hAnsi="Arial" w:cs="Arial"/>
                <w:b/>
                <w:bCs/>
                <w:i/>
                <w:iCs/>
                <w:color w:val="000000"/>
                <w:sz w:val="16"/>
                <w:szCs w:val="16"/>
              </w:rPr>
            </w:pPr>
            <w:r w:rsidRPr="002706D2">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center"/>
            <w:hideMark/>
          </w:tcPr>
          <w:p w14:paraId="2CB351C5"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1,848 </w:t>
            </w:r>
          </w:p>
        </w:tc>
        <w:tc>
          <w:tcPr>
            <w:tcW w:w="579" w:type="pct"/>
            <w:tcBorders>
              <w:top w:val="single" w:sz="4" w:space="0" w:color="000000"/>
              <w:left w:val="nil"/>
              <w:bottom w:val="nil"/>
              <w:right w:val="nil"/>
            </w:tcBorders>
            <w:shd w:val="clear" w:color="000000" w:fill="E6E6E6"/>
            <w:noWrap/>
            <w:vAlign w:val="center"/>
            <w:hideMark/>
          </w:tcPr>
          <w:p w14:paraId="7654B686"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1,889 </w:t>
            </w:r>
          </w:p>
        </w:tc>
        <w:tc>
          <w:tcPr>
            <w:tcW w:w="579" w:type="pct"/>
            <w:tcBorders>
              <w:top w:val="single" w:sz="4" w:space="0" w:color="000000"/>
              <w:left w:val="nil"/>
              <w:bottom w:val="nil"/>
              <w:right w:val="nil"/>
            </w:tcBorders>
            <w:shd w:val="clear" w:color="auto" w:fill="auto"/>
            <w:noWrap/>
            <w:vAlign w:val="center"/>
            <w:hideMark/>
          </w:tcPr>
          <w:p w14:paraId="2AEB2938"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1,930 </w:t>
            </w:r>
          </w:p>
        </w:tc>
        <w:tc>
          <w:tcPr>
            <w:tcW w:w="579" w:type="pct"/>
            <w:tcBorders>
              <w:top w:val="single" w:sz="4" w:space="0" w:color="000000"/>
              <w:left w:val="nil"/>
              <w:bottom w:val="nil"/>
              <w:right w:val="nil"/>
            </w:tcBorders>
            <w:shd w:val="clear" w:color="auto" w:fill="auto"/>
            <w:noWrap/>
            <w:vAlign w:val="center"/>
            <w:hideMark/>
          </w:tcPr>
          <w:p w14:paraId="1A990A9C"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1,954 </w:t>
            </w:r>
          </w:p>
        </w:tc>
        <w:tc>
          <w:tcPr>
            <w:tcW w:w="579" w:type="pct"/>
            <w:tcBorders>
              <w:top w:val="single" w:sz="4" w:space="0" w:color="000000"/>
              <w:left w:val="nil"/>
              <w:bottom w:val="nil"/>
              <w:right w:val="nil"/>
            </w:tcBorders>
            <w:shd w:val="clear" w:color="auto" w:fill="auto"/>
            <w:noWrap/>
            <w:vAlign w:val="center"/>
            <w:hideMark/>
          </w:tcPr>
          <w:p w14:paraId="7C38BE29" w14:textId="77777777" w:rsidR="002706D2" w:rsidRPr="002706D2" w:rsidRDefault="002706D2" w:rsidP="002706D2">
            <w:pPr>
              <w:spacing w:after="0" w:line="240" w:lineRule="auto"/>
              <w:jc w:val="right"/>
              <w:rPr>
                <w:rFonts w:ascii="Arial" w:hAnsi="Arial" w:cs="Arial"/>
                <w:b/>
                <w:bCs/>
                <w:i/>
                <w:iCs/>
                <w:color w:val="000000"/>
                <w:sz w:val="16"/>
                <w:szCs w:val="16"/>
              </w:rPr>
            </w:pPr>
            <w:r w:rsidRPr="002706D2">
              <w:rPr>
                <w:rFonts w:ascii="Arial" w:hAnsi="Arial" w:cs="Arial"/>
                <w:b/>
                <w:bCs/>
                <w:i/>
                <w:iCs/>
                <w:color w:val="000000"/>
                <w:sz w:val="16"/>
                <w:szCs w:val="16"/>
              </w:rPr>
              <w:t xml:space="preserve">1,993 </w:t>
            </w:r>
          </w:p>
        </w:tc>
      </w:tr>
      <w:tr w:rsidR="002706D2" w:rsidRPr="002706D2" w14:paraId="5B1102A0" w14:textId="77777777" w:rsidTr="00C1298C">
        <w:trPr>
          <w:trHeight w:hRule="exact" w:val="450"/>
        </w:trPr>
        <w:tc>
          <w:tcPr>
            <w:tcW w:w="2105" w:type="pct"/>
            <w:tcBorders>
              <w:top w:val="nil"/>
              <w:left w:val="nil"/>
              <w:bottom w:val="nil"/>
              <w:right w:val="nil"/>
            </w:tcBorders>
            <w:shd w:val="clear" w:color="auto" w:fill="auto"/>
            <w:vAlign w:val="center"/>
            <w:hideMark/>
          </w:tcPr>
          <w:p w14:paraId="789DE115"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Net cash from</w:t>
            </w:r>
            <w:proofErr w:type="gramStart"/>
            <w:r w:rsidRPr="002706D2">
              <w:rPr>
                <w:rFonts w:ascii="Arial" w:hAnsi="Arial" w:cs="Arial"/>
                <w:b/>
                <w:bCs/>
                <w:color w:val="000000"/>
                <w:sz w:val="16"/>
                <w:szCs w:val="16"/>
              </w:rPr>
              <w:t>/(</w:t>
            </w:r>
            <w:proofErr w:type="gramEnd"/>
            <w:r w:rsidRPr="002706D2">
              <w:rPr>
                <w:rFonts w:ascii="Arial" w:hAnsi="Arial" w:cs="Arial"/>
                <w:b/>
                <w:bCs/>
                <w:color w:val="000000"/>
                <w:sz w:val="16"/>
                <w:szCs w:val="16"/>
              </w:rPr>
              <w:t>used by)</w:t>
            </w:r>
            <w:r w:rsidRPr="002706D2">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BD0DFE8"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772ABC17"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3D7EC560"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4366DA01"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5BC621F1"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r>
      <w:tr w:rsidR="002706D2" w:rsidRPr="002706D2" w14:paraId="6E40774B" w14:textId="77777777" w:rsidTr="00C1298C">
        <w:trPr>
          <w:trHeight w:hRule="exact" w:val="450"/>
        </w:trPr>
        <w:tc>
          <w:tcPr>
            <w:tcW w:w="2105" w:type="pct"/>
            <w:tcBorders>
              <w:top w:val="nil"/>
              <w:left w:val="nil"/>
              <w:bottom w:val="nil"/>
              <w:right w:val="nil"/>
            </w:tcBorders>
            <w:shd w:val="clear" w:color="auto" w:fill="auto"/>
            <w:vAlign w:val="center"/>
            <w:hideMark/>
          </w:tcPr>
          <w:p w14:paraId="369E996E"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Net increase/(decrease) in cash</w:t>
            </w:r>
            <w:r w:rsidRPr="002706D2">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7D70DA9D"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6D7FA814"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55FE899"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B6B0D9F"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4F67703"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 </w:t>
            </w:r>
          </w:p>
        </w:tc>
      </w:tr>
      <w:tr w:rsidR="002706D2" w:rsidRPr="002706D2" w14:paraId="532E7168" w14:textId="77777777" w:rsidTr="00C1298C">
        <w:trPr>
          <w:trHeight w:hRule="exact" w:val="450"/>
        </w:trPr>
        <w:tc>
          <w:tcPr>
            <w:tcW w:w="2105" w:type="pct"/>
            <w:tcBorders>
              <w:top w:val="nil"/>
              <w:left w:val="nil"/>
              <w:bottom w:val="nil"/>
              <w:right w:val="nil"/>
            </w:tcBorders>
            <w:shd w:val="clear" w:color="auto" w:fill="auto"/>
            <w:vAlign w:val="center"/>
            <w:hideMark/>
          </w:tcPr>
          <w:p w14:paraId="3A2D63D8" w14:textId="77777777" w:rsidR="002706D2" w:rsidRPr="002706D2" w:rsidRDefault="002706D2" w:rsidP="00C1298C">
            <w:pPr>
              <w:spacing w:after="0" w:line="240" w:lineRule="auto"/>
              <w:ind w:left="170"/>
              <w:rPr>
                <w:rFonts w:ascii="Arial" w:hAnsi="Arial" w:cs="Arial"/>
                <w:color w:val="000000"/>
                <w:sz w:val="16"/>
                <w:szCs w:val="16"/>
              </w:rPr>
            </w:pPr>
            <w:r w:rsidRPr="002706D2">
              <w:rPr>
                <w:rFonts w:ascii="Arial" w:hAnsi="Arial" w:cs="Arial"/>
                <w:color w:val="000000"/>
                <w:sz w:val="16"/>
                <w:szCs w:val="16"/>
              </w:rPr>
              <w:t>Cash and cash equivalents at the</w:t>
            </w:r>
            <w:r w:rsidRPr="002706D2">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7A5C2903"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50 </w:t>
            </w:r>
          </w:p>
        </w:tc>
        <w:tc>
          <w:tcPr>
            <w:tcW w:w="579" w:type="pct"/>
            <w:tcBorders>
              <w:top w:val="nil"/>
              <w:left w:val="nil"/>
              <w:bottom w:val="nil"/>
              <w:right w:val="nil"/>
            </w:tcBorders>
            <w:shd w:val="clear" w:color="000000" w:fill="E6E6E6"/>
            <w:noWrap/>
            <w:vAlign w:val="bottom"/>
            <w:hideMark/>
          </w:tcPr>
          <w:p w14:paraId="3C9E463C"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1EF9463D"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5C084EDA"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45C5DFFB" w14:textId="77777777" w:rsidR="002706D2" w:rsidRPr="002706D2" w:rsidRDefault="002706D2" w:rsidP="002706D2">
            <w:pPr>
              <w:spacing w:after="0" w:line="240" w:lineRule="auto"/>
              <w:jc w:val="right"/>
              <w:rPr>
                <w:rFonts w:ascii="Arial" w:hAnsi="Arial" w:cs="Arial"/>
                <w:color w:val="000000"/>
                <w:sz w:val="16"/>
                <w:szCs w:val="16"/>
              </w:rPr>
            </w:pPr>
            <w:r w:rsidRPr="002706D2">
              <w:rPr>
                <w:rFonts w:ascii="Arial" w:hAnsi="Arial" w:cs="Arial"/>
                <w:color w:val="000000"/>
                <w:sz w:val="16"/>
                <w:szCs w:val="16"/>
              </w:rPr>
              <w:t xml:space="preserve">50 </w:t>
            </w:r>
          </w:p>
        </w:tc>
      </w:tr>
      <w:tr w:rsidR="002706D2" w:rsidRPr="002706D2" w14:paraId="455D5BE4" w14:textId="77777777" w:rsidTr="00C1298C">
        <w:trPr>
          <w:trHeight w:hRule="exact" w:val="450"/>
        </w:trPr>
        <w:tc>
          <w:tcPr>
            <w:tcW w:w="2105" w:type="pct"/>
            <w:tcBorders>
              <w:top w:val="nil"/>
              <w:left w:val="nil"/>
              <w:bottom w:val="single" w:sz="4" w:space="0" w:color="auto"/>
              <w:right w:val="nil"/>
            </w:tcBorders>
            <w:shd w:val="clear" w:color="auto" w:fill="auto"/>
            <w:vAlign w:val="center"/>
            <w:hideMark/>
          </w:tcPr>
          <w:p w14:paraId="37C178BA" w14:textId="77777777" w:rsidR="002706D2" w:rsidRPr="002706D2" w:rsidRDefault="002706D2" w:rsidP="002706D2">
            <w:pPr>
              <w:spacing w:after="0" w:line="240" w:lineRule="auto"/>
              <w:rPr>
                <w:rFonts w:ascii="Arial" w:hAnsi="Arial" w:cs="Arial"/>
                <w:b/>
                <w:bCs/>
                <w:color w:val="000000"/>
                <w:sz w:val="16"/>
                <w:szCs w:val="16"/>
              </w:rPr>
            </w:pPr>
            <w:r w:rsidRPr="002706D2">
              <w:rPr>
                <w:rFonts w:ascii="Arial" w:hAnsi="Arial" w:cs="Arial"/>
                <w:b/>
                <w:bCs/>
                <w:color w:val="000000"/>
                <w:sz w:val="16"/>
                <w:szCs w:val="16"/>
              </w:rPr>
              <w:t>Cash and cash equivalents at</w:t>
            </w:r>
            <w:r w:rsidRPr="002706D2">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14413829"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000000" w:fill="E6E6E6"/>
            <w:noWrap/>
            <w:vAlign w:val="bottom"/>
            <w:hideMark/>
          </w:tcPr>
          <w:p w14:paraId="25144667"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15DD982A"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71234651"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714D8111" w14:textId="77777777" w:rsidR="002706D2" w:rsidRPr="002706D2" w:rsidRDefault="002706D2" w:rsidP="002706D2">
            <w:pPr>
              <w:spacing w:after="0" w:line="240" w:lineRule="auto"/>
              <w:jc w:val="right"/>
              <w:rPr>
                <w:rFonts w:ascii="Arial" w:hAnsi="Arial" w:cs="Arial"/>
                <w:b/>
                <w:bCs/>
                <w:color w:val="000000"/>
                <w:sz w:val="16"/>
                <w:szCs w:val="16"/>
              </w:rPr>
            </w:pPr>
            <w:r w:rsidRPr="002706D2">
              <w:rPr>
                <w:rFonts w:ascii="Arial" w:hAnsi="Arial" w:cs="Arial"/>
                <w:b/>
                <w:bCs/>
                <w:color w:val="000000"/>
                <w:sz w:val="16"/>
                <w:szCs w:val="16"/>
              </w:rPr>
              <w:t xml:space="preserve">50 </w:t>
            </w:r>
          </w:p>
        </w:tc>
      </w:tr>
    </w:tbl>
    <w:p w14:paraId="58EA0773" w14:textId="10C2CD18" w:rsidR="008E1FF5" w:rsidRDefault="00465A87" w:rsidP="00237A8F">
      <w:pPr>
        <w:pStyle w:val="ChartandTableFootnote"/>
        <w:rPr>
          <w:spacing w:val="-2"/>
        </w:rPr>
      </w:pPr>
      <w:r>
        <w:t>Prepared</w:t>
      </w:r>
      <w:r>
        <w:rPr>
          <w:spacing w:val="-6"/>
        </w:rPr>
        <w:t xml:space="preserve"> </w:t>
      </w:r>
      <w:r>
        <w:t>on</w:t>
      </w:r>
      <w:r>
        <w:rPr>
          <w:spacing w:val="-6"/>
        </w:rPr>
        <w:t xml:space="preserve"> </w:t>
      </w:r>
      <w:r>
        <w:t>Australian</w:t>
      </w:r>
      <w:r>
        <w:rPr>
          <w:spacing w:val="-8"/>
        </w:rPr>
        <w:t xml:space="preserve"> </w:t>
      </w:r>
      <w:r>
        <w:t>Accounting</w:t>
      </w:r>
      <w:r>
        <w:rPr>
          <w:spacing w:val="-6"/>
        </w:rPr>
        <w:t xml:space="preserve"> </w:t>
      </w:r>
      <w:r>
        <w:t>Standards</w:t>
      </w:r>
      <w:r>
        <w:rPr>
          <w:spacing w:val="-6"/>
        </w:rPr>
        <w:t xml:space="preserve"> </w:t>
      </w:r>
      <w:r>
        <w:rPr>
          <w:spacing w:val="-2"/>
        </w:rPr>
        <w:t>basis.</w:t>
      </w:r>
    </w:p>
    <w:p w14:paraId="7AFCE820" w14:textId="77777777" w:rsidR="009E625B" w:rsidRPr="009E625B" w:rsidRDefault="009E625B" w:rsidP="009E625B">
      <w:pPr>
        <w:pStyle w:val="TableLine"/>
      </w:pPr>
    </w:p>
    <w:p w14:paraId="7234FFD4" w14:textId="18DF09E0" w:rsidR="008E1FF5" w:rsidRDefault="008E1FF5" w:rsidP="007B2B89"/>
    <w:sectPr w:rsidR="008E1FF5" w:rsidSect="00142E86">
      <w:headerReference w:type="default" r:id="rId26"/>
      <w:footerReference w:type="default" r:id="rId27"/>
      <w:type w:val="nextColumn"/>
      <w:pgSz w:w="11910" w:h="16840"/>
      <w:pgMar w:top="2835" w:right="2098" w:bottom="2466" w:left="2098" w:header="1814" w:footer="1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AF80" w14:textId="77777777" w:rsidR="003F738E" w:rsidRDefault="003F738E">
      <w:r>
        <w:separator/>
      </w:r>
    </w:p>
  </w:endnote>
  <w:endnote w:type="continuationSeparator" w:id="0">
    <w:p w14:paraId="551A7D45" w14:textId="77777777" w:rsidR="003F738E" w:rsidRDefault="003F738E">
      <w:r>
        <w:continuationSeparator/>
      </w:r>
    </w:p>
  </w:endnote>
  <w:endnote w:type="continuationNotice" w:id="1">
    <w:p w14:paraId="0A4C42DE" w14:textId="77777777" w:rsidR="003F738E" w:rsidRDefault="003F7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1197" w14:textId="40AF475D" w:rsidR="0083295D" w:rsidRPr="00566EAF" w:rsidRDefault="00C55F2C" w:rsidP="00566EAF">
    <w:pPr>
      <w:pStyle w:val="FooterEven"/>
      <w:rPr>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DF170E">
      <w:rPr>
        <w:rStyle w:val="PageNumber"/>
        <w:noProof/>
        <w:color w:val="000000" w:themeColor="text1"/>
      </w:rPr>
      <w:t>National Competition Council</w:t>
    </w:r>
    <w:r w:rsidRPr="00321DEB">
      <w:rPr>
        <w:rStyle w:val="PageNumber"/>
        <w:color w:val="000000" w:themeColor="text1"/>
      </w:rPr>
      <w:fldChar w:fldCharType="end"/>
    </w:r>
    <w:r w:rsidRPr="00321DEB">
      <w:rPr>
        <w:rStyle w:val="PageNumber"/>
        <w:color w:val="000000" w:themeColor="text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1350" w14:textId="44C985ED" w:rsidR="00765D85" w:rsidRPr="00543F88" w:rsidRDefault="00765D85" w:rsidP="00543F88">
    <w:pPr>
      <w:pStyle w:val="FooterOdd"/>
      <w:rPr>
        <w:rFonts w:cs="Arial"/>
        <w:color w:val="auto"/>
      </w:rPr>
    </w:pPr>
    <w:r>
      <w:rPr>
        <w:rStyle w:val="PageNumber"/>
        <w:color w:val="000000" w:themeColor="text1"/>
      </w:rPr>
      <w:t>National Competition Council</w:t>
    </w:r>
    <w:r w:rsidRPr="00321DEB">
      <w:rPr>
        <w:rStyle w:val="PageNumber"/>
        <w:color w:val="000000" w:themeColor="text1"/>
      </w:rPr>
      <w:t xml:space="preserve"> </w:t>
    </w:r>
    <w:proofErr w:type="gramStart"/>
    <w:r w:rsidRPr="00B628E8">
      <w:rPr>
        <w:rStyle w:val="PageNumber"/>
      </w:rPr>
      <w:t>|</w:t>
    </w:r>
    <w:r>
      <w:rPr>
        <w:rStyle w:val="PageNumber"/>
      </w:rPr>
      <w:t xml:space="preserve"> </w:t>
    </w:r>
    <w:r w:rsidRPr="00B628E8">
      <w:rPr>
        <w:rStyle w:val="PageNumber"/>
      </w:rPr>
      <w:t xml:space="preserve"> </w:t>
    </w:r>
    <w:r w:rsidRPr="00B628E8">
      <w:rPr>
        <w:rStyle w:val="PageNumber"/>
        <w:b/>
        <w:bCs/>
      </w:rPr>
      <w:t>Page</w:t>
    </w:r>
    <w:proofErr w:type="gramEnd"/>
    <w:r w:rsidRPr="00B628E8">
      <w:rPr>
        <w:rStyle w:val="PageNumber"/>
        <w:b/>
        <w:bCs/>
      </w:rPr>
      <w:t xml:space="preserve"> </w:t>
    </w:r>
    <w:r>
      <w:rPr>
        <w:rStyle w:val="PageNumber"/>
        <w:b/>
        <w:bCs/>
      </w:rPr>
      <w:t>13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0E8" w14:textId="77170DDE" w:rsidR="00976BA9" w:rsidRPr="00782467" w:rsidRDefault="00976BA9" w:rsidP="001B7642">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D401" w14:textId="05F7CD5D" w:rsidR="00A66AF8" w:rsidRPr="00782467" w:rsidRDefault="00A66AF8" w:rsidP="001B7642">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0C5D" w14:textId="19E49719" w:rsidR="004C0E4C" w:rsidRPr="00517517" w:rsidRDefault="00517517" w:rsidP="00517517">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DF170E">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003309F1">
      <w:rPr>
        <w:rStyle w:val="PageNumber"/>
        <w:b/>
        <w:bC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406C" w14:textId="223DD271" w:rsidR="008E1FF5" w:rsidRPr="00A76C31" w:rsidRDefault="00517517" w:rsidP="00A76C31">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FA2D" w14:textId="4D658EE1" w:rsidR="00122A77" w:rsidRPr="00321DEB" w:rsidRDefault="00122A77" w:rsidP="001B7642">
    <w:pPr>
      <w:pStyle w:val="FooterEven"/>
      <w:rPr>
        <w:rStyle w:val="PageNumber"/>
        <w:color w:val="000000" w:themeColor="text1"/>
      </w:rPr>
    </w:pPr>
    <w:r w:rsidRPr="007F7051">
      <w:rPr>
        <w:rStyle w:val="PageNumber"/>
        <w:b/>
        <w:bCs/>
        <w:color w:val="000000" w:themeColor="text1"/>
      </w:rPr>
      <w:t xml:space="preserve">Page </w:t>
    </w:r>
    <w:proofErr w:type="gramStart"/>
    <w:r w:rsidR="003309F1">
      <w:rPr>
        <w:rStyle w:val="PageNumber"/>
        <w:b/>
        <w:bCs/>
        <w:color w:val="000000" w:themeColor="text1"/>
      </w:rPr>
      <w:t>6</w:t>
    </w:r>
    <w:r w:rsidRPr="00321DEB">
      <w:rPr>
        <w:rStyle w:val="PageNumber"/>
        <w:color w:val="000000" w:themeColor="text1"/>
      </w:rPr>
      <w:t xml:space="preserve">  |</w:t>
    </w:r>
    <w:proofErr w:type="gramEnd"/>
    <w:r w:rsidRPr="00321DEB">
      <w:rPr>
        <w:rStyle w:val="PageNumber"/>
        <w:color w:val="000000" w:themeColor="text1"/>
      </w:rPr>
      <w:t xml:space="preserve">  </w:t>
    </w:r>
    <w:r>
      <w:rPr>
        <w:rStyle w:val="PageNumber"/>
        <w:color w:val="000000" w:themeColor="text1"/>
      </w:rPr>
      <w:t>National Competition Council</w:t>
    </w:r>
    <w:r w:rsidRPr="00321DEB">
      <w:rPr>
        <w:rStyle w:val="PageNumber"/>
        <w:color w:val="000000" w:themeColor="text1"/>
      </w:rPr>
      <w:t xml:space="preserve"> </w:t>
    </w:r>
  </w:p>
  <w:p w14:paraId="155C4D13" w14:textId="637257FA" w:rsidR="008E1FF5" w:rsidRDefault="008E1FF5" w:rsidP="006A37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6C25" w14:textId="56DCBA2D" w:rsidR="0046745E" w:rsidRPr="00A76C31" w:rsidRDefault="005D6984" w:rsidP="005D6984">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741" w14:textId="44CC3F06" w:rsidR="008E1FF5" w:rsidRPr="00BF60DA" w:rsidRDefault="00BF60DA" w:rsidP="00BF60DA">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7B0643">
      <w:rPr>
        <w:rStyle w:val="PageNumber"/>
        <w:noProof/>
        <w:color w:val="000000" w:themeColor="text1"/>
      </w:rPr>
      <w:t>National Competition Council</w:t>
    </w:r>
    <w:r w:rsidRPr="00321DEB">
      <w:rPr>
        <w:rStyle w:val="PageNumber"/>
        <w:color w:val="000000" w:themeColor="text1"/>
      </w:rPr>
      <w:fldChar w:fldCharType="end"/>
    </w:r>
    <w:r w:rsidRPr="00321DEB">
      <w:rPr>
        <w:rStyle w:val="PageNumber"/>
        <w:color w:val="000000" w:themeColor="text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D840" w14:textId="715497C0" w:rsidR="002E324C" w:rsidRPr="00850ADA" w:rsidRDefault="005D6984" w:rsidP="005D6984">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1610" w14:textId="7B2CFB89" w:rsidR="002D055C" w:rsidRPr="00321DEB" w:rsidRDefault="002D055C" w:rsidP="001B7642">
    <w:pPr>
      <w:pStyle w:val="FooterEven"/>
      <w:rPr>
        <w:rStyle w:val="PageNumber"/>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7B0643">
      <w:rPr>
        <w:rStyle w:val="PageNumber"/>
        <w:noProof/>
        <w:color w:val="000000" w:themeColor="text1"/>
      </w:rPr>
      <w:t>National Competition Council</w:t>
    </w:r>
    <w:r w:rsidRPr="00321DEB">
      <w:rPr>
        <w:rStyle w:val="PageNumber"/>
        <w:color w:val="000000" w:themeColor="text1"/>
      </w:rPr>
      <w:fldChar w:fldCharType="end"/>
    </w:r>
    <w:r w:rsidRPr="00321DEB">
      <w:rPr>
        <w:rStyle w:val="PageNumber"/>
        <w:color w:val="000000" w:themeColor="text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C67E" w14:textId="45BAFD94" w:rsidR="00765D85" w:rsidRPr="00550315" w:rsidRDefault="00550315" w:rsidP="00550315">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7B0643">
      <w:rPr>
        <w:rStyle w:val="PageNumber"/>
        <w:noProof/>
      </w:rPr>
      <w:t>National Competition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0330" w14:textId="77777777" w:rsidR="003F738E" w:rsidRDefault="003F738E">
      <w:r>
        <w:separator/>
      </w:r>
    </w:p>
  </w:footnote>
  <w:footnote w:type="continuationSeparator" w:id="0">
    <w:p w14:paraId="52855842" w14:textId="77777777" w:rsidR="003F738E" w:rsidRDefault="003F738E">
      <w:r>
        <w:continuationSeparator/>
      </w:r>
    </w:p>
  </w:footnote>
  <w:footnote w:type="continuationNotice" w:id="1">
    <w:p w14:paraId="38DBD0F1" w14:textId="77777777" w:rsidR="003F738E" w:rsidRDefault="003F7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5BE9" w14:textId="5D1252AA" w:rsidR="008E1FF5" w:rsidRDefault="008E1FF5" w:rsidP="006A37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F0A7" w14:textId="41F9D624" w:rsidR="008E1FF5" w:rsidRDefault="008E1FF5" w:rsidP="006A37A5">
    <w:pP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7C31" w14:textId="6B3C8675" w:rsidR="008E1FF5" w:rsidRDefault="008E1FF5" w:rsidP="006A37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0315" w14:paraId="439DD0D6" w14:textId="77777777" w:rsidTr="001B7642">
      <w:trPr>
        <w:trHeight w:hRule="exact" w:val="340"/>
      </w:trPr>
      <w:tc>
        <w:tcPr>
          <w:tcW w:w="7797" w:type="dxa"/>
        </w:tcPr>
        <w:p w14:paraId="420B3930" w14:textId="77777777" w:rsidR="00550315" w:rsidRDefault="00550315" w:rsidP="001B7642">
          <w:pPr>
            <w:pStyle w:val="HeaderEven"/>
            <w:ind w:left="-113"/>
          </w:pPr>
          <w:r w:rsidRPr="00D47C6E">
            <w:rPr>
              <w:noProof/>
              <w:position w:val="-6"/>
            </w:rPr>
            <w:drawing>
              <wp:inline distT="0" distB="0" distL="0" distR="0" wp14:anchorId="186178E3" wp14:editId="43F8FC3F">
                <wp:extent cx="919093" cy="1548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w:t>
          </w:r>
          <w:proofErr w:type="gramStart"/>
          <w:r>
            <w:t>|  Portfolio</w:t>
          </w:r>
          <w:proofErr w:type="gramEnd"/>
          <w:r>
            <w:t xml:space="preserve"> Budget Statements</w:t>
          </w:r>
        </w:p>
      </w:tc>
    </w:tr>
  </w:tbl>
  <w:p w14:paraId="752F2EAD" w14:textId="430337D1" w:rsidR="008E1FF5" w:rsidRDefault="008E1FF5" w:rsidP="006A37A5">
    <w:pPr>
      <w:rPr>
        <w:i/>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0315" w14:paraId="7EC79944" w14:textId="77777777" w:rsidTr="001B7642">
      <w:trPr>
        <w:trHeight w:hRule="exact" w:val="340"/>
      </w:trPr>
      <w:tc>
        <w:tcPr>
          <w:tcW w:w="7797" w:type="dxa"/>
        </w:tcPr>
        <w:p w14:paraId="4AFA48CC" w14:textId="77777777" w:rsidR="00550315" w:rsidRDefault="00550315" w:rsidP="001B7642">
          <w:pPr>
            <w:pStyle w:val="HeaderOdd"/>
          </w:pPr>
          <w:r>
            <w:t xml:space="preserve">Portfolio Budget </w:t>
          </w:r>
          <w:proofErr w:type="gramStart"/>
          <w:r>
            <w:t>Statements  |</w:t>
          </w:r>
          <w:proofErr w:type="gramEnd"/>
          <w:r>
            <w:t xml:space="preserve">  </w:t>
          </w:r>
          <w:r w:rsidRPr="00D47C6E">
            <w:rPr>
              <w:noProof/>
              <w:position w:val="-6"/>
            </w:rPr>
            <w:drawing>
              <wp:inline distT="0" distB="0" distL="0" distR="0" wp14:anchorId="4A4FB9C4" wp14:editId="12609D4B">
                <wp:extent cx="919093" cy="1548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6731492D" w14:textId="6499EB3F" w:rsidR="008E1FF5" w:rsidRDefault="008E1FF5" w:rsidP="006A37A5">
    <w:pPr>
      <w:rPr>
        <w:i/>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755F03" w14:paraId="57C41BE6" w14:textId="77777777" w:rsidTr="001B7642">
      <w:trPr>
        <w:trHeight w:hRule="exact" w:val="340"/>
      </w:trPr>
      <w:tc>
        <w:tcPr>
          <w:tcW w:w="7797" w:type="dxa"/>
        </w:tcPr>
        <w:p w14:paraId="69B17436" w14:textId="77777777" w:rsidR="00755F03" w:rsidRDefault="00755F03" w:rsidP="001B7642">
          <w:pPr>
            <w:pStyle w:val="HeaderOdd"/>
          </w:pPr>
          <w:r>
            <w:t xml:space="preserve">Portfolio Budget </w:t>
          </w:r>
          <w:proofErr w:type="gramStart"/>
          <w:r>
            <w:t>Statements  |</w:t>
          </w:r>
          <w:proofErr w:type="gramEnd"/>
          <w:r>
            <w:t xml:space="preserve">  </w:t>
          </w:r>
          <w:r w:rsidRPr="00D47C6E">
            <w:rPr>
              <w:noProof/>
              <w:position w:val="-6"/>
            </w:rPr>
            <w:drawing>
              <wp:inline distT="0" distB="0" distL="0" distR="0" wp14:anchorId="196F300E" wp14:editId="0FB3C06A">
                <wp:extent cx="919093" cy="15480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3A0E5D63" w14:textId="77777777" w:rsidR="00C36B8F" w:rsidRPr="00566EAF" w:rsidRDefault="00C36B8F" w:rsidP="00566EAF">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400"/>
    <w:multiLevelType w:val="multilevel"/>
    <w:tmpl w:val="92566680"/>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FF0000"/>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6020E7"/>
    <w:multiLevelType w:val="hybridMultilevel"/>
    <w:tmpl w:val="05B40852"/>
    <w:lvl w:ilvl="0" w:tplc="09849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A484A74"/>
    <w:multiLevelType w:val="multilevel"/>
    <w:tmpl w:val="055CF5C2"/>
    <w:lvl w:ilvl="0">
      <w:start w:val="2"/>
      <w:numFmt w:val="decimal"/>
      <w:lvlText w:val="%1"/>
      <w:lvlJc w:val="left"/>
      <w:pPr>
        <w:ind w:left="983" w:hanging="567"/>
      </w:pPr>
      <w:rPr>
        <w:rFonts w:hint="default"/>
        <w:lang w:val="en-US" w:eastAsia="en-US" w:bidi="ar-SA"/>
      </w:rPr>
    </w:lvl>
    <w:lvl w:ilvl="1">
      <w:start w:val="1"/>
      <w:numFmt w:val="decimal"/>
      <w:lvlText w:val="%1.%2"/>
      <w:lvlJc w:val="left"/>
      <w:pPr>
        <w:ind w:left="983" w:hanging="567"/>
        <w:jc w:val="right"/>
      </w:pPr>
      <w:rPr>
        <w:rFonts w:hint="default"/>
        <w:spacing w:val="-1"/>
        <w:w w:val="100"/>
        <w:lang w:val="en-US" w:eastAsia="en-US" w:bidi="ar-SA"/>
      </w:rPr>
    </w:lvl>
    <w:lvl w:ilvl="2">
      <w:numFmt w:val="bullet"/>
      <w:lvlText w:val="•"/>
      <w:lvlJc w:val="left"/>
      <w:pPr>
        <w:ind w:left="2493" w:hanging="567"/>
      </w:pPr>
      <w:rPr>
        <w:rFonts w:hint="default"/>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7"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9" w15:restartNumberingAfterBreak="0">
    <w:nsid w:val="441C2246"/>
    <w:multiLevelType w:val="multilevel"/>
    <w:tmpl w:val="C7547676"/>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2351C4"/>
    <w:multiLevelType w:val="hybridMultilevel"/>
    <w:tmpl w:val="3462F8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61537717"/>
    <w:multiLevelType w:val="multilevel"/>
    <w:tmpl w:val="0C8A6CF0"/>
    <w:lvl w:ilvl="0">
      <w:start w:val="3"/>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83" w:hanging="56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13" w15:restartNumberingAfterBreak="0">
    <w:nsid w:val="6A2B3C16"/>
    <w:multiLevelType w:val="multilevel"/>
    <w:tmpl w:val="8A94C73A"/>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75C85184"/>
    <w:multiLevelType w:val="multilevel"/>
    <w:tmpl w:val="1914902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042208"/>
    <w:multiLevelType w:val="multilevel"/>
    <w:tmpl w:val="2730D2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8253547">
    <w:abstractNumId w:val="12"/>
  </w:num>
  <w:num w:numId="2" w16cid:durableId="2009482038">
    <w:abstractNumId w:val="6"/>
  </w:num>
  <w:num w:numId="3" w16cid:durableId="1170606375">
    <w:abstractNumId w:val="0"/>
  </w:num>
  <w:num w:numId="4" w16cid:durableId="516700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2278815">
    <w:abstractNumId w:val="4"/>
  </w:num>
  <w:num w:numId="6" w16cid:durableId="2051685703">
    <w:abstractNumId w:val="8"/>
  </w:num>
  <w:num w:numId="7" w16cid:durableId="403531193">
    <w:abstractNumId w:val="1"/>
  </w:num>
  <w:num w:numId="8" w16cid:durableId="1061322185">
    <w:abstractNumId w:val="14"/>
  </w:num>
  <w:num w:numId="9" w16cid:durableId="1547646461">
    <w:abstractNumId w:val="7"/>
  </w:num>
  <w:num w:numId="10" w16cid:durableId="1529757096">
    <w:abstractNumId w:val="11"/>
  </w:num>
  <w:num w:numId="11" w16cid:durableId="1150171528">
    <w:abstractNumId w:val="5"/>
  </w:num>
  <w:num w:numId="12" w16cid:durableId="1866558072">
    <w:abstractNumId w:val="2"/>
  </w:num>
  <w:num w:numId="13" w16cid:durableId="40252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770257">
    <w:abstractNumId w:val="3"/>
  </w:num>
  <w:num w:numId="15" w16cid:durableId="142934170">
    <w:abstractNumId w:val="3"/>
    <w:lvlOverride w:ilvl="0">
      <w:startOverride w:val="1"/>
    </w:lvlOverride>
  </w:num>
  <w:num w:numId="16" w16cid:durableId="671184755">
    <w:abstractNumId w:val="3"/>
    <w:lvlOverride w:ilvl="0">
      <w:startOverride w:val="1"/>
    </w:lvlOverride>
  </w:num>
  <w:num w:numId="17" w16cid:durableId="1103065768">
    <w:abstractNumId w:val="3"/>
    <w:lvlOverride w:ilvl="0">
      <w:startOverride w:val="1"/>
    </w:lvlOverride>
  </w:num>
  <w:num w:numId="18" w16cid:durableId="255133792">
    <w:abstractNumId w:val="3"/>
    <w:lvlOverride w:ilvl="0">
      <w:startOverride w:val="1"/>
    </w:lvlOverride>
  </w:num>
  <w:num w:numId="19" w16cid:durableId="85155813">
    <w:abstractNumId w:val="3"/>
    <w:lvlOverride w:ilvl="0">
      <w:startOverride w:val="1"/>
    </w:lvlOverride>
  </w:num>
  <w:num w:numId="20" w16cid:durableId="982740023">
    <w:abstractNumId w:val="3"/>
    <w:lvlOverride w:ilvl="0">
      <w:startOverride w:val="1"/>
    </w:lvlOverride>
  </w:num>
  <w:num w:numId="21" w16cid:durableId="1041320693">
    <w:abstractNumId w:val="3"/>
    <w:lvlOverride w:ilvl="0">
      <w:startOverride w:val="1"/>
    </w:lvlOverride>
  </w:num>
  <w:num w:numId="22" w16cid:durableId="188110296">
    <w:abstractNumId w:val="3"/>
    <w:lvlOverride w:ilvl="0">
      <w:startOverride w:val="1"/>
    </w:lvlOverride>
  </w:num>
  <w:num w:numId="23" w16cid:durableId="42683506">
    <w:abstractNumId w:val="3"/>
    <w:lvlOverride w:ilvl="0">
      <w:startOverride w:val="1"/>
    </w:lvlOverride>
  </w:num>
  <w:num w:numId="24" w16cid:durableId="1385326037">
    <w:abstractNumId w:val="3"/>
    <w:lvlOverride w:ilvl="0">
      <w:startOverride w:val="1"/>
    </w:lvlOverride>
  </w:num>
  <w:num w:numId="25" w16cid:durableId="256716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2249963">
    <w:abstractNumId w:val="9"/>
  </w:num>
  <w:num w:numId="27" w16cid:durableId="2063097478">
    <w:abstractNumId w:val="15"/>
  </w:num>
  <w:num w:numId="28" w16cid:durableId="1325359992">
    <w:abstractNumId w:val="13"/>
  </w:num>
  <w:num w:numId="29" w16cid:durableId="1382054640">
    <w:abstractNumId w:val="16"/>
  </w:num>
  <w:num w:numId="30" w16cid:durableId="14949090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5"/>
    <w:rsid w:val="000061CA"/>
    <w:rsid w:val="00007D63"/>
    <w:rsid w:val="00013133"/>
    <w:rsid w:val="00013AEF"/>
    <w:rsid w:val="0001469F"/>
    <w:rsid w:val="00034907"/>
    <w:rsid w:val="000357AB"/>
    <w:rsid w:val="00036784"/>
    <w:rsid w:val="0004075A"/>
    <w:rsid w:val="0005200B"/>
    <w:rsid w:val="00055254"/>
    <w:rsid w:val="00072634"/>
    <w:rsid w:val="00072A0D"/>
    <w:rsid w:val="000743BE"/>
    <w:rsid w:val="0008409C"/>
    <w:rsid w:val="00097D1B"/>
    <w:rsid w:val="000A2767"/>
    <w:rsid w:val="000A7792"/>
    <w:rsid w:val="000B3BC5"/>
    <w:rsid w:val="000B57B3"/>
    <w:rsid w:val="000B635D"/>
    <w:rsid w:val="000B67FE"/>
    <w:rsid w:val="000C204B"/>
    <w:rsid w:val="000C6F82"/>
    <w:rsid w:val="000D2E4E"/>
    <w:rsid w:val="000D4690"/>
    <w:rsid w:val="000D5BDF"/>
    <w:rsid w:val="000E04D2"/>
    <w:rsid w:val="000F3EE1"/>
    <w:rsid w:val="000F6D6E"/>
    <w:rsid w:val="001014C7"/>
    <w:rsid w:val="001040F8"/>
    <w:rsid w:val="00116D58"/>
    <w:rsid w:val="00122A77"/>
    <w:rsid w:val="0012366D"/>
    <w:rsid w:val="00136D02"/>
    <w:rsid w:val="00142E86"/>
    <w:rsid w:val="00145301"/>
    <w:rsid w:val="00145899"/>
    <w:rsid w:val="00150484"/>
    <w:rsid w:val="00151A9A"/>
    <w:rsid w:val="00151F7B"/>
    <w:rsid w:val="00160A39"/>
    <w:rsid w:val="001721B9"/>
    <w:rsid w:val="00175ECB"/>
    <w:rsid w:val="00176D70"/>
    <w:rsid w:val="001841E6"/>
    <w:rsid w:val="0019665E"/>
    <w:rsid w:val="001A15B0"/>
    <w:rsid w:val="001A2354"/>
    <w:rsid w:val="001A68F6"/>
    <w:rsid w:val="001B201C"/>
    <w:rsid w:val="001B3D66"/>
    <w:rsid w:val="001B44F8"/>
    <w:rsid w:val="001B492F"/>
    <w:rsid w:val="001B5C17"/>
    <w:rsid w:val="001B7642"/>
    <w:rsid w:val="001C4DE5"/>
    <w:rsid w:val="001C7E7C"/>
    <w:rsid w:val="001D38DE"/>
    <w:rsid w:val="001E04CC"/>
    <w:rsid w:val="001E2FD2"/>
    <w:rsid w:val="002010A5"/>
    <w:rsid w:val="00206188"/>
    <w:rsid w:val="00207C98"/>
    <w:rsid w:val="002167EE"/>
    <w:rsid w:val="00221F98"/>
    <w:rsid w:val="00225B72"/>
    <w:rsid w:val="002362E3"/>
    <w:rsid w:val="0023643C"/>
    <w:rsid w:val="00237A8F"/>
    <w:rsid w:val="00255BF1"/>
    <w:rsid w:val="0025602A"/>
    <w:rsid w:val="00262CF6"/>
    <w:rsid w:val="00264328"/>
    <w:rsid w:val="00267FD1"/>
    <w:rsid w:val="002706D2"/>
    <w:rsid w:val="00274F87"/>
    <w:rsid w:val="00283C16"/>
    <w:rsid w:val="00286BF2"/>
    <w:rsid w:val="00287D8F"/>
    <w:rsid w:val="002914EF"/>
    <w:rsid w:val="00292848"/>
    <w:rsid w:val="00296425"/>
    <w:rsid w:val="00296433"/>
    <w:rsid w:val="00296C5D"/>
    <w:rsid w:val="002A4537"/>
    <w:rsid w:val="002A6720"/>
    <w:rsid w:val="002B172F"/>
    <w:rsid w:val="002C7907"/>
    <w:rsid w:val="002D055C"/>
    <w:rsid w:val="002D4922"/>
    <w:rsid w:val="002E1280"/>
    <w:rsid w:val="002E324C"/>
    <w:rsid w:val="002E49AF"/>
    <w:rsid w:val="002E6516"/>
    <w:rsid w:val="002E6F0A"/>
    <w:rsid w:val="002F0704"/>
    <w:rsid w:val="002F78FE"/>
    <w:rsid w:val="003002FD"/>
    <w:rsid w:val="00304D45"/>
    <w:rsid w:val="00306D07"/>
    <w:rsid w:val="003114A9"/>
    <w:rsid w:val="00320AA0"/>
    <w:rsid w:val="003309F1"/>
    <w:rsid w:val="003318BF"/>
    <w:rsid w:val="003362ED"/>
    <w:rsid w:val="00346AB2"/>
    <w:rsid w:val="003521DC"/>
    <w:rsid w:val="00365CE1"/>
    <w:rsid w:val="00366F9D"/>
    <w:rsid w:val="0037513B"/>
    <w:rsid w:val="00376ABE"/>
    <w:rsid w:val="003842E8"/>
    <w:rsid w:val="00394484"/>
    <w:rsid w:val="00395C26"/>
    <w:rsid w:val="00396837"/>
    <w:rsid w:val="00397DBF"/>
    <w:rsid w:val="003B6D96"/>
    <w:rsid w:val="003C2AD0"/>
    <w:rsid w:val="003C5ACE"/>
    <w:rsid w:val="003C714E"/>
    <w:rsid w:val="003E6F0E"/>
    <w:rsid w:val="003E72E8"/>
    <w:rsid w:val="003F1FB5"/>
    <w:rsid w:val="003F738E"/>
    <w:rsid w:val="003F7A01"/>
    <w:rsid w:val="003F7DDA"/>
    <w:rsid w:val="004028B9"/>
    <w:rsid w:val="0041013E"/>
    <w:rsid w:val="00426CA2"/>
    <w:rsid w:val="00444EB0"/>
    <w:rsid w:val="00457FC4"/>
    <w:rsid w:val="00462B2F"/>
    <w:rsid w:val="00465A87"/>
    <w:rsid w:val="0046745E"/>
    <w:rsid w:val="00474ACB"/>
    <w:rsid w:val="00475931"/>
    <w:rsid w:val="004875A5"/>
    <w:rsid w:val="004A221A"/>
    <w:rsid w:val="004B119B"/>
    <w:rsid w:val="004B1519"/>
    <w:rsid w:val="004B4645"/>
    <w:rsid w:val="004C0E4C"/>
    <w:rsid w:val="004C28D8"/>
    <w:rsid w:val="004C59D7"/>
    <w:rsid w:val="004D6DAA"/>
    <w:rsid w:val="004E2B9E"/>
    <w:rsid w:val="004E3C4E"/>
    <w:rsid w:val="004E4233"/>
    <w:rsid w:val="004F4516"/>
    <w:rsid w:val="00504A5B"/>
    <w:rsid w:val="00517517"/>
    <w:rsid w:val="005271B3"/>
    <w:rsid w:val="00527311"/>
    <w:rsid w:val="00540D22"/>
    <w:rsid w:val="0054153C"/>
    <w:rsid w:val="00542D4E"/>
    <w:rsid w:val="00543F88"/>
    <w:rsid w:val="00550315"/>
    <w:rsid w:val="00562DC6"/>
    <w:rsid w:val="0056332D"/>
    <w:rsid w:val="00563D94"/>
    <w:rsid w:val="00566EAF"/>
    <w:rsid w:val="00567012"/>
    <w:rsid w:val="0056716C"/>
    <w:rsid w:val="00570AE9"/>
    <w:rsid w:val="00580BEA"/>
    <w:rsid w:val="00585704"/>
    <w:rsid w:val="005861D5"/>
    <w:rsid w:val="005A1D02"/>
    <w:rsid w:val="005A65B0"/>
    <w:rsid w:val="005B064B"/>
    <w:rsid w:val="005B0CDC"/>
    <w:rsid w:val="005B1385"/>
    <w:rsid w:val="005B2832"/>
    <w:rsid w:val="005C00AD"/>
    <w:rsid w:val="005C402C"/>
    <w:rsid w:val="005C62A0"/>
    <w:rsid w:val="005C64B7"/>
    <w:rsid w:val="005C7EAE"/>
    <w:rsid w:val="005D1EF7"/>
    <w:rsid w:val="005D4062"/>
    <w:rsid w:val="005D6984"/>
    <w:rsid w:val="005D6FD0"/>
    <w:rsid w:val="005E71C1"/>
    <w:rsid w:val="005F2E8B"/>
    <w:rsid w:val="005F5595"/>
    <w:rsid w:val="00601990"/>
    <w:rsid w:val="00602838"/>
    <w:rsid w:val="006069D4"/>
    <w:rsid w:val="00612EF5"/>
    <w:rsid w:val="00624951"/>
    <w:rsid w:val="006353C6"/>
    <w:rsid w:val="00640257"/>
    <w:rsid w:val="00641E26"/>
    <w:rsid w:val="0064563A"/>
    <w:rsid w:val="00652F11"/>
    <w:rsid w:val="006703B8"/>
    <w:rsid w:val="006733F9"/>
    <w:rsid w:val="0067553C"/>
    <w:rsid w:val="006762A7"/>
    <w:rsid w:val="006768A2"/>
    <w:rsid w:val="006818C6"/>
    <w:rsid w:val="00683B05"/>
    <w:rsid w:val="006860AD"/>
    <w:rsid w:val="0068777A"/>
    <w:rsid w:val="006911C9"/>
    <w:rsid w:val="00696A3A"/>
    <w:rsid w:val="006A19CF"/>
    <w:rsid w:val="006A37A5"/>
    <w:rsid w:val="006B464C"/>
    <w:rsid w:val="006B59BB"/>
    <w:rsid w:val="006D00A9"/>
    <w:rsid w:val="006D3C48"/>
    <w:rsid w:val="006F02A0"/>
    <w:rsid w:val="006F3D46"/>
    <w:rsid w:val="006F54E5"/>
    <w:rsid w:val="007018FB"/>
    <w:rsid w:val="00712F6F"/>
    <w:rsid w:val="007224CF"/>
    <w:rsid w:val="007439E8"/>
    <w:rsid w:val="007506A5"/>
    <w:rsid w:val="007527D5"/>
    <w:rsid w:val="00755F03"/>
    <w:rsid w:val="0076329F"/>
    <w:rsid w:val="00764759"/>
    <w:rsid w:val="00765D85"/>
    <w:rsid w:val="0077437F"/>
    <w:rsid w:val="00783C33"/>
    <w:rsid w:val="00783FC6"/>
    <w:rsid w:val="0079520F"/>
    <w:rsid w:val="007B0643"/>
    <w:rsid w:val="007B0D30"/>
    <w:rsid w:val="007B24C0"/>
    <w:rsid w:val="007B2B89"/>
    <w:rsid w:val="007B714A"/>
    <w:rsid w:val="007C1FC5"/>
    <w:rsid w:val="007C2CDC"/>
    <w:rsid w:val="007C3072"/>
    <w:rsid w:val="007D06AA"/>
    <w:rsid w:val="007D0E9C"/>
    <w:rsid w:val="007D65BB"/>
    <w:rsid w:val="007E1B98"/>
    <w:rsid w:val="007E2860"/>
    <w:rsid w:val="007E4661"/>
    <w:rsid w:val="007E747B"/>
    <w:rsid w:val="007F17B4"/>
    <w:rsid w:val="007F651A"/>
    <w:rsid w:val="00805995"/>
    <w:rsid w:val="0081222F"/>
    <w:rsid w:val="00812CA5"/>
    <w:rsid w:val="00815539"/>
    <w:rsid w:val="008270EB"/>
    <w:rsid w:val="00831EC9"/>
    <w:rsid w:val="0083295D"/>
    <w:rsid w:val="00844623"/>
    <w:rsid w:val="008452A5"/>
    <w:rsid w:val="00850ADA"/>
    <w:rsid w:val="008525CE"/>
    <w:rsid w:val="008572DC"/>
    <w:rsid w:val="008615A4"/>
    <w:rsid w:val="00863618"/>
    <w:rsid w:val="00865352"/>
    <w:rsid w:val="00866F6C"/>
    <w:rsid w:val="00867C5F"/>
    <w:rsid w:val="00885D7E"/>
    <w:rsid w:val="00894AC1"/>
    <w:rsid w:val="00895DE3"/>
    <w:rsid w:val="008A181B"/>
    <w:rsid w:val="008A362E"/>
    <w:rsid w:val="008B6275"/>
    <w:rsid w:val="008C1E92"/>
    <w:rsid w:val="008D15BB"/>
    <w:rsid w:val="008D43AC"/>
    <w:rsid w:val="008D66B7"/>
    <w:rsid w:val="008E0B6F"/>
    <w:rsid w:val="008E1FF5"/>
    <w:rsid w:val="008E3687"/>
    <w:rsid w:val="008E3729"/>
    <w:rsid w:val="008F1FB7"/>
    <w:rsid w:val="008F3D9B"/>
    <w:rsid w:val="008F6AB6"/>
    <w:rsid w:val="00900FB1"/>
    <w:rsid w:val="009036BD"/>
    <w:rsid w:val="009066D8"/>
    <w:rsid w:val="0090758A"/>
    <w:rsid w:val="00907B8E"/>
    <w:rsid w:val="0091178B"/>
    <w:rsid w:val="00916130"/>
    <w:rsid w:val="009234E4"/>
    <w:rsid w:val="00943D5C"/>
    <w:rsid w:val="00947B2C"/>
    <w:rsid w:val="00953387"/>
    <w:rsid w:val="00955C50"/>
    <w:rsid w:val="00961A64"/>
    <w:rsid w:val="0096219C"/>
    <w:rsid w:val="009717CE"/>
    <w:rsid w:val="00976BA9"/>
    <w:rsid w:val="00985700"/>
    <w:rsid w:val="00986045"/>
    <w:rsid w:val="00992D8B"/>
    <w:rsid w:val="009A0303"/>
    <w:rsid w:val="009B3EC9"/>
    <w:rsid w:val="009B4C43"/>
    <w:rsid w:val="009C0838"/>
    <w:rsid w:val="009C49EA"/>
    <w:rsid w:val="009D0C0A"/>
    <w:rsid w:val="009D4B65"/>
    <w:rsid w:val="009E2237"/>
    <w:rsid w:val="009E41C7"/>
    <w:rsid w:val="009E625B"/>
    <w:rsid w:val="009E737E"/>
    <w:rsid w:val="009F00F9"/>
    <w:rsid w:val="009F3B23"/>
    <w:rsid w:val="009F5AE2"/>
    <w:rsid w:val="009F6DCC"/>
    <w:rsid w:val="00A00F44"/>
    <w:rsid w:val="00A02CA7"/>
    <w:rsid w:val="00A068F9"/>
    <w:rsid w:val="00A366FE"/>
    <w:rsid w:val="00A3756C"/>
    <w:rsid w:val="00A42D8A"/>
    <w:rsid w:val="00A540EF"/>
    <w:rsid w:val="00A66AF8"/>
    <w:rsid w:val="00A7427B"/>
    <w:rsid w:val="00A76C31"/>
    <w:rsid w:val="00A83767"/>
    <w:rsid w:val="00A8507B"/>
    <w:rsid w:val="00A852A2"/>
    <w:rsid w:val="00A90693"/>
    <w:rsid w:val="00A970F0"/>
    <w:rsid w:val="00AA70D8"/>
    <w:rsid w:val="00AB1634"/>
    <w:rsid w:val="00AB3CBF"/>
    <w:rsid w:val="00AB5C8B"/>
    <w:rsid w:val="00AB72CF"/>
    <w:rsid w:val="00AD0047"/>
    <w:rsid w:val="00AD0230"/>
    <w:rsid w:val="00AD1010"/>
    <w:rsid w:val="00AD1791"/>
    <w:rsid w:val="00AD7103"/>
    <w:rsid w:val="00AE3D79"/>
    <w:rsid w:val="00AE3F4C"/>
    <w:rsid w:val="00AF0073"/>
    <w:rsid w:val="00AF5CD1"/>
    <w:rsid w:val="00AF6607"/>
    <w:rsid w:val="00AF6A91"/>
    <w:rsid w:val="00B00F47"/>
    <w:rsid w:val="00B10F57"/>
    <w:rsid w:val="00B14B1A"/>
    <w:rsid w:val="00B251AB"/>
    <w:rsid w:val="00B25F83"/>
    <w:rsid w:val="00B463BB"/>
    <w:rsid w:val="00B54449"/>
    <w:rsid w:val="00B6228A"/>
    <w:rsid w:val="00B70467"/>
    <w:rsid w:val="00B70A5F"/>
    <w:rsid w:val="00B7726B"/>
    <w:rsid w:val="00B77AD2"/>
    <w:rsid w:val="00B84094"/>
    <w:rsid w:val="00B8471F"/>
    <w:rsid w:val="00B9107C"/>
    <w:rsid w:val="00B93CAB"/>
    <w:rsid w:val="00BA10B4"/>
    <w:rsid w:val="00BA28FE"/>
    <w:rsid w:val="00BA74A2"/>
    <w:rsid w:val="00BB6FCF"/>
    <w:rsid w:val="00BC28D2"/>
    <w:rsid w:val="00BC3E5A"/>
    <w:rsid w:val="00BD0635"/>
    <w:rsid w:val="00BE39FF"/>
    <w:rsid w:val="00BE7F77"/>
    <w:rsid w:val="00BF4A55"/>
    <w:rsid w:val="00BF60DA"/>
    <w:rsid w:val="00BF6CCE"/>
    <w:rsid w:val="00C0579A"/>
    <w:rsid w:val="00C1298C"/>
    <w:rsid w:val="00C2019A"/>
    <w:rsid w:val="00C33FB6"/>
    <w:rsid w:val="00C36B8F"/>
    <w:rsid w:val="00C44F62"/>
    <w:rsid w:val="00C54A41"/>
    <w:rsid w:val="00C55F2C"/>
    <w:rsid w:val="00C57374"/>
    <w:rsid w:val="00C57EAA"/>
    <w:rsid w:val="00C62F16"/>
    <w:rsid w:val="00C652BB"/>
    <w:rsid w:val="00C81FBD"/>
    <w:rsid w:val="00C8735B"/>
    <w:rsid w:val="00C875F4"/>
    <w:rsid w:val="00C92E8C"/>
    <w:rsid w:val="00C93D98"/>
    <w:rsid w:val="00CA11CD"/>
    <w:rsid w:val="00CA168D"/>
    <w:rsid w:val="00CA3DDC"/>
    <w:rsid w:val="00CB1DE9"/>
    <w:rsid w:val="00CB3C00"/>
    <w:rsid w:val="00CB4CD6"/>
    <w:rsid w:val="00CB594E"/>
    <w:rsid w:val="00CC76D4"/>
    <w:rsid w:val="00CE0A09"/>
    <w:rsid w:val="00CE49EC"/>
    <w:rsid w:val="00CF7F58"/>
    <w:rsid w:val="00D107A5"/>
    <w:rsid w:val="00D16C65"/>
    <w:rsid w:val="00D26AEA"/>
    <w:rsid w:val="00D27D60"/>
    <w:rsid w:val="00D30ACF"/>
    <w:rsid w:val="00D342C8"/>
    <w:rsid w:val="00D52E0D"/>
    <w:rsid w:val="00D57107"/>
    <w:rsid w:val="00D66E3B"/>
    <w:rsid w:val="00D72DC4"/>
    <w:rsid w:val="00D753F9"/>
    <w:rsid w:val="00D96752"/>
    <w:rsid w:val="00DA65FE"/>
    <w:rsid w:val="00DC4955"/>
    <w:rsid w:val="00DC4D0B"/>
    <w:rsid w:val="00DE02CD"/>
    <w:rsid w:val="00DF170E"/>
    <w:rsid w:val="00E01454"/>
    <w:rsid w:val="00E04F82"/>
    <w:rsid w:val="00E116A7"/>
    <w:rsid w:val="00E12C52"/>
    <w:rsid w:val="00E20149"/>
    <w:rsid w:val="00E26105"/>
    <w:rsid w:val="00E26DC1"/>
    <w:rsid w:val="00E33A0B"/>
    <w:rsid w:val="00E34AF9"/>
    <w:rsid w:val="00E36121"/>
    <w:rsid w:val="00E374D9"/>
    <w:rsid w:val="00E645D7"/>
    <w:rsid w:val="00E70FE5"/>
    <w:rsid w:val="00E74DB0"/>
    <w:rsid w:val="00E810FD"/>
    <w:rsid w:val="00E83E1E"/>
    <w:rsid w:val="00E84BAA"/>
    <w:rsid w:val="00E87717"/>
    <w:rsid w:val="00E94399"/>
    <w:rsid w:val="00E96644"/>
    <w:rsid w:val="00EA4F5F"/>
    <w:rsid w:val="00EA696B"/>
    <w:rsid w:val="00EB0136"/>
    <w:rsid w:val="00EB4F22"/>
    <w:rsid w:val="00EB730F"/>
    <w:rsid w:val="00EC7B36"/>
    <w:rsid w:val="00ED278D"/>
    <w:rsid w:val="00ED36A2"/>
    <w:rsid w:val="00ED6C04"/>
    <w:rsid w:val="00EE068B"/>
    <w:rsid w:val="00EE697A"/>
    <w:rsid w:val="00EF2582"/>
    <w:rsid w:val="00EF288E"/>
    <w:rsid w:val="00EF463B"/>
    <w:rsid w:val="00F01083"/>
    <w:rsid w:val="00F024B8"/>
    <w:rsid w:val="00F02B0D"/>
    <w:rsid w:val="00F05861"/>
    <w:rsid w:val="00F07E37"/>
    <w:rsid w:val="00F110C2"/>
    <w:rsid w:val="00F31939"/>
    <w:rsid w:val="00F31DD2"/>
    <w:rsid w:val="00F334CC"/>
    <w:rsid w:val="00F34278"/>
    <w:rsid w:val="00F35DB8"/>
    <w:rsid w:val="00F40A5A"/>
    <w:rsid w:val="00F424DA"/>
    <w:rsid w:val="00F4294F"/>
    <w:rsid w:val="00F46D03"/>
    <w:rsid w:val="00F53E89"/>
    <w:rsid w:val="00F54A4A"/>
    <w:rsid w:val="00F620F5"/>
    <w:rsid w:val="00F65964"/>
    <w:rsid w:val="00F66E46"/>
    <w:rsid w:val="00F71399"/>
    <w:rsid w:val="00F75A9D"/>
    <w:rsid w:val="00F76CC4"/>
    <w:rsid w:val="00F84027"/>
    <w:rsid w:val="00F86A01"/>
    <w:rsid w:val="00F86C40"/>
    <w:rsid w:val="00F87F24"/>
    <w:rsid w:val="00F9685E"/>
    <w:rsid w:val="00FA015E"/>
    <w:rsid w:val="00FA4F9F"/>
    <w:rsid w:val="00FB338D"/>
    <w:rsid w:val="00FC035B"/>
    <w:rsid w:val="00FC5AE2"/>
    <w:rsid w:val="00FD43A4"/>
    <w:rsid w:val="00FE24A7"/>
    <w:rsid w:val="00FE455A"/>
    <w:rsid w:val="00FE6B3C"/>
    <w:rsid w:val="00FF31DA"/>
    <w:rsid w:val="00FF7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43"/>
    <w:pPr>
      <w:widowControl/>
      <w:autoSpaceDE/>
      <w:autoSpaceDN/>
      <w:spacing w:after="160" w:line="259" w:lineRule="auto"/>
    </w:pPr>
    <w:rPr>
      <w:lang w:val="en-AU"/>
    </w:rPr>
  </w:style>
  <w:style w:type="paragraph" w:styleId="Heading1">
    <w:name w:val="heading 1"/>
    <w:basedOn w:val="HeadingBase"/>
    <w:next w:val="Normal"/>
    <w:link w:val="Heading1Char"/>
    <w:qFormat/>
    <w:rsid w:val="007B064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7B0643"/>
    <w:pPr>
      <w:spacing w:before="240" w:after="240"/>
      <w:outlineLvl w:val="1"/>
    </w:pPr>
    <w:rPr>
      <w:rFonts w:ascii="Arial Bold" w:hAnsi="Arial Bold"/>
      <w:b/>
      <w:sz w:val="26"/>
    </w:rPr>
  </w:style>
  <w:style w:type="paragraph" w:styleId="Heading3">
    <w:name w:val="heading 3"/>
    <w:basedOn w:val="HeadingBase"/>
    <w:next w:val="Normal"/>
    <w:link w:val="Heading3Char"/>
    <w:qFormat/>
    <w:rsid w:val="007B0643"/>
    <w:pPr>
      <w:spacing w:before="120" w:after="120"/>
      <w:outlineLvl w:val="2"/>
    </w:pPr>
    <w:rPr>
      <w:rFonts w:ascii="Arial Bold" w:hAnsi="Arial Bold"/>
      <w:b/>
      <w:sz w:val="22"/>
    </w:rPr>
  </w:style>
  <w:style w:type="paragraph" w:styleId="Heading4">
    <w:name w:val="heading 4"/>
    <w:basedOn w:val="HeadingBase"/>
    <w:next w:val="Normal"/>
    <w:link w:val="Heading4Char"/>
    <w:qFormat/>
    <w:rsid w:val="007B0643"/>
    <w:pPr>
      <w:spacing w:after="120"/>
      <w:outlineLvl w:val="3"/>
    </w:pPr>
    <w:rPr>
      <w:rFonts w:ascii="Arial Bold" w:hAnsi="Arial Bold"/>
      <w:b/>
      <w:sz w:val="20"/>
    </w:rPr>
  </w:style>
  <w:style w:type="paragraph" w:styleId="Heading5">
    <w:name w:val="heading 5"/>
    <w:basedOn w:val="HeadingBase"/>
    <w:next w:val="Normal"/>
    <w:link w:val="Heading5Char"/>
    <w:qFormat/>
    <w:rsid w:val="007B0643"/>
    <w:pPr>
      <w:spacing w:after="120"/>
      <w:outlineLvl w:val="4"/>
    </w:pPr>
    <w:rPr>
      <w:bCs/>
      <w:i/>
      <w:iCs/>
      <w:sz w:val="20"/>
      <w:szCs w:val="26"/>
    </w:rPr>
  </w:style>
  <w:style w:type="paragraph" w:styleId="Heading6">
    <w:name w:val="heading 6"/>
    <w:basedOn w:val="HeadingBase"/>
    <w:next w:val="Normal"/>
    <w:link w:val="Heading6Char"/>
    <w:rsid w:val="007B0643"/>
    <w:pPr>
      <w:spacing w:after="120"/>
      <w:outlineLvl w:val="5"/>
    </w:pPr>
    <w:rPr>
      <w:bCs/>
      <w:sz w:val="20"/>
      <w:szCs w:val="22"/>
    </w:rPr>
  </w:style>
  <w:style w:type="paragraph" w:styleId="Heading7">
    <w:name w:val="heading 7"/>
    <w:basedOn w:val="HeadingBase"/>
    <w:next w:val="Normal"/>
    <w:link w:val="Heading7Char"/>
    <w:rsid w:val="007B0643"/>
    <w:pPr>
      <w:spacing w:before="120"/>
      <w:outlineLvl w:val="6"/>
    </w:pPr>
    <w:rPr>
      <w:sz w:val="20"/>
      <w:szCs w:val="24"/>
    </w:rPr>
  </w:style>
  <w:style w:type="paragraph" w:styleId="Heading8">
    <w:name w:val="heading 8"/>
    <w:basedOn w:val="HeadingBase"/>
    <w:next w:val="Normal"/>
    <w:link w:val="Heading8Char"/>
    <w:rsid w:val="007B064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7B0643"/>
    <w:pPr>
      <w:spacing w:after="60"/>
      <w:outlineLvl w:val="8"/>
    </w:pPr>
    <w:rPr>
      <w:rFonts w:ascii="Cambria" w:hAnsi="Cambria"/>
    </w:rPr>
  </w:style>
  <w:style w:type="character" w:default="1" w:styleId="DefaultParagraphFont">
    <w:name w:val="Default Paragraph Font"/>
    <w:uiPriority w:val="1"/>
    <w:semiHidden/>
    <w:unhideWhenUsed/>
    <w:rsid w:val="007B06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0643"/>
  </w:style>
  <w:style w:type="paragraph" w:styleId="TOC1">
    <w:name w:val="toc 1"/>
    <w:basedOn w:val="HeaderBase"/>
    <w:next w:val="Normal"/>
    <w:uiPriority w:val="2"/>
    <w:rsid w:val="007B064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7B0643"/>
    <w:pPr>
      <w:keepNext w:val="0"/>
      <w:tabs>
        <w:tab w:val="left" w:pos="992"/>
        <w:tab w:val="right" w:leader="dot" w:pos="7700"/>
      </w:tabs>
      <w:spacing w:before="60" w:after="60"/>
      <w:ind w:left="851" w:right="851" w:hanging="851"/>
    </w:pPr>
    <w:rPr>
      <w:sz w:val="18"/>
    </w:rPr>
  </w:style>
  <w:style w:type="paragraph" w:styleId="ListParagraph">
    <w:name w:val="List Paragraph"/>
    <w:basedOn w:val="Normal"/>
    <w:qFormat/>
    <w:rsid w:val="007B0643"/>
    <w:pPr>
      <w:spacing w:after="200" w:line="276" w:lineRule="auto"/>
      <w:ind w:left="720"/>
      <w:contextualSpacing/>
    </w:pPr>
    <w:rPr>
      <w:rFonts w:ascii="Calibri" w:eastAsia="Calibri" w:hAnsi="Calibri"/>
      <w:lang w:val="en-US"/>
    </w:rPr>
  </w:style>
  <w:style w:type="paragraph" w:customStyle="1" w:styleId="TableParagraph">
    <w:name w:val="Table Paragraph"/>
    <w:basedOn w:val="Normal"/>
    <w:uiPriority w:val="1"/>
    <w:qFormat/>
  </w:style>
  <w:style w:type="paragraph" w:customStyle="1" w:styleId="ContentsHeading">
    <w:name w:val="Contents Heading"/>
    <w:basedOn w:val="HeadingBase"/>
    <w:next w:val="Normal"/>
    <w:rsid w:val="007B0643"/>
    <w:pPr>
      <w:spacing w:after="720"/>
    </w:pPr>
    <w:rPr>
      <w:b/>
      <w:bCs/>
      <w:sz w:val="36"/>
    </w:rPr>
  </w:style>
  <w:style w:type="paragraph" w:styleId="Header">
    <w:name w:val="header"/>
    <w:basedOn w:val="HeaderBase"/>
    <w:link w:val="HeaderChar"/>
    <w:qFormat/>
    <w:rsid w:val="007B0643"/>
    <w:pPr>
      <w:tabs>
        <w:tab w:val="center" w:pos="4153"/>
        <w:tab w:val="right" w:pos="8306"/>
      </w:tabs>
    </w:pPr>
    <w:rPr>
      <w:color w:val="auto"/>
    </w:rPr>
  </w:style>
  <w:style w:type="character" w:customStyle="1" w:styleId="HeaderChar">
    <w:name w:val="Header Char"/>
    <w:basedOn w:val="DefaultParagraphFont"/>
    <w:link w:val="Header"/>
    <w:rsid w:val="007B0643"/>
    <w:rPr>
      <w:rFonts w:ascii="Arial" w:eastAsia="Times New Roman" w:hAnsi="Arial" w:cs="Times New Roman"/>
      <w:sz w:val="18"/>
      <w:szCs w:val="20"/>
      <w:lang w:val="en-AU" w:eastAsia="en-AU"/>
    </w:rPr>
  </w:style>
  <w:style w:type="paragraph" w:styleId="Footer">
    <w:name w:val="footer"/>
    <w:basedOn w:val="FooterBase"/>
    <w:link w:val="FooterChar"/>
    <w:rsid w:val="007B0643"/>
    <w:pPr>
      <w:tabs>
        <w:tab w:val="center" w:pos="4153"/>
        <w:tab w:val="right" w:pos="8306"/>
      </w:tabs>
    </w:pPr>
  </w:style>
  <w:style w:type="character" w:customStyle="1" w:styleId="FooterChar">
    <w:name w:val="Footer Char"/>
    <w:basedOn w:val="DefaultParagraphFont"/>
    <w:link w:val="Footer"/>
    <w:rsid w:val="007B0643"/>
    <w:rPr>
      <w:rFonts w:ascii="Arial" w:eastAsia="Times New Roman" w:hAnsi="Arial" w:cs="Times New Roman"/>
      <w:color w:val="000000" w:themeColor="text1"/>
      <w:sz w:val="20"/>
      <w:szCs w:val="20"/>
      <w:lang w:val="en-AU" w:eastAsia="en-AU"/>
    </w:rPr>
  </w:style>
  <w:style w:type="character" w:styleId="Hyperlink">
    <w:name w:val="Hyperlink"/>
    <w:basedOn w:val="DefaultParagraphFont"/>
    <w:uiPriority w:val="99"/>
    <w:unhideWhenUsed/>
    <w:rsid w:val="007B0643"/>
    <w:rPr>
      <w:color w:val="auto"/>
      <w:u w:val="single"/>
    </w:rPr>
  </w:style>
  <w:style w:type="character" w:styleId="UnresolvedMention">
    <w:name w:val="Unresolved Mention"/>
    <w:basedOn w:val="DefaultParagraphFont"/>
    <w:uiPriority w:val="99"/>
    <w:semiHidden/>
    <w:unhideWhenUsed/>
    <w:rsid w:val="00E36121"/>
    <w:rPr>
      <w:color w:val="605E5C"/>
      <w:shd w:val="clear" w:color="auto" w:fill="E1DFDD"/>
    </w:rPr>
  </w:style>
  <w:style w:type="character" w:styleId="FollowedHyperlink">
    <w:name w:val="FollowedHyperlink"/>
    <w:rsid w:val="007B0643"/>
    <w:rPr>
      <w:color w:val="800080"/>
      <w:u w:val="single"/>
    </w:rPr>
  </w:style>
  <w:style w:type="paragraph" w:customStyle="1" w:styleId="TableHeading">
    <w:name w:val="Table Heading"/>
    <w:basedOn w:val="HeadingBase"/>
    <w:next w:val="TableGraphic"/>
    <w:link w:val="TableHeadingChar"/>
    <w:qFormat/>
    <w:rsid w:val="007B0643"/>
    <w:pPr>
      <w:spacing w:before="120" w:after="20"/>
    </w:pPr>
    <w:rPr>
      <w:b/>
      <w:sz w:val="20"/>
    </w:rPr>
  </w:style>
  <w:style w:type="character" w:customStyle="1" w:styleId="TableHeadingChar">
    <w:name w:val="Table Heading Char"/>
    <w:link w:val="TableHeading"/>
    <w:rsid w:val="007B0643"/>
    <w:rPr>
      <w:rFonts w:ascii="Arial" w:eastAsia="Times New Roman" w:hAnsi="Arial" w:cs="Times New Roman"/>
      <w:b/>
      <w:sz w:val="20"/>
      <w:szCs w:val="20"/>
      <w:lang w:val="en-AU" w:eastAsia="en-AU"/>
    </w:rPr>
  </w:style>
  <w:style w:type="paragraph" w:customStyle="1" w:styleId="HeadingBase">
    <w:name w:val="Heading Base"/>
    <w:link w:val="HeadingBaseChar"/>
    <w:rsid w:val="007B0643"/>
    <w:pPr>
      <w:keepNext/>
      <w:widowControl/>
      <w:autoSpaceDE/>
      <w:autoSpaceDN/>
    </w:pPr>
    <w:rPr>
      <w:rFonts w:ascii="Arial" w:eastAsia="Times New Roman" w:hAnsi="Arial" w:cs="Times New Roman"/>
      <w:sz w:val="24"/>
      <w:szCs w:val="20"/>
      <w:lang w:val="en-AU" w:eastAsia="en-AU"/>
    </w:rPr>
  </w:style>
  <w:style w:type="character" w:customStyle="1" w:styleId="HeadingBaseChar">
    <w:name w:val="Heading Base Char"/>
    <w:link w:val="HeadingBase"/>
    <w:rsid w:val="007B0643"/>
    <w:rPr>
      <w:rFonts w:ascii="Arial" w:eastAsia="Times New Roman" w:hAnsi="Arial" w:cs="Times New Roman"/>
      <w:sz w:val="24"/>
      <w:szCs w:val="20"/>
      <w:lang w:val="en-AU" w:eastAsia="en-AU"/>
    </w:rPr>
  </w:style>
  <w:style w:type="paragraph" w:customStyle="1" w:styleId="TableTextBase">
    <w:name w:val="Table Text Base"/>
    <w:basedOn w:val="Normal"/>
    <w:link w:val="TableTextBaseChar"/>
    <w:rsid w:val="007B0643"/>
    <w:pPr>
      <w:spacing w:before="20" w:after="20" w:line="240" w:lineRule="auto"/>
    </w:pPr>
    <w:rPr>
      <w:rFonts w:ascii="Arial" w:hAnsi="Arial"/>
      <w:sz w:val="16"/>
    </w:rPr>
  </w:style>
  <w:style w:type="character" w:customStyle="1" w:styleId="TableTextBaseChar">
    <w:name w:val="Table Text Base Char"/>
    <w:link w:val="TableTextBase"/>
    <w:rsid w:val="007B0643"/>
    <w:rPr>
      <w:rFonts w:ascii="Arial" w:eastAsia="Times New Roman" w:hAnsi="Arial" w:cs="Times New Roman"/>
      <w:sz w:val="16"/>
      <w:szCs w:val="20"/>
      <w:lang w:val="en-AU" w:eastAsia="en-AU"/>
    </w:rPr>
  </w:style>
  <w:style w:type="paragraph" w:customStyle="1" w:styleId="ChartandTableFootnoteAlpha">
    <w:name w:val="Chart and Table Footnote Alpha"/>
    <w:basedOn w:val="HeadingBase"/>
    <w:next w:val="Normal"/>
    <w:rsid w:val="007B0643"/>
    <w:pPr>
      <w:keepNext w:val="0"/>
      <w:numPr>
        <w:numId w:val="4"/>
      </w:numPr>
      <w:spacing w:before="30"/>
    </w:pPr>
    <w:rPr>
      <w:color w:val="000000"/>
      <w:sz w:val="16"/>
    </w:rPr>
  </w:style>
  <w:style w:type="paragraph" w:customStyle="1" w:styleId="ChartandTableFootnote">
    <w:name w:val="Chart and Table Footnote"/>
    <w:basedOn w:val="HeadingBase"/>
    <w:next w:val="Normal"/>
    <w:link w:val="ChartandTableFootnoteChar"/>
    <w:rsid w:val="007B0643"/>
    <w:pPr>
      <w:keepNext w:val="0"/>
      <w:tabs>
        <w:tab w:val="left" w:pos="709"/>
      </w:tabs>
      <w:spacing w:before="30"/>
    </w:pPr>
    <w:rPr>
      <w:color w:val="000000"/>
      <w:sz w:val="16"/>
    </w:rPr>
  </w:style>
  <w:style w:type="character" w:customStyle="1" w:styleId="ChartandTableFootnoteChar">
    <w:name w:val="Chart and Table Footnote Char"/>
    <w:link w:val="ChartandTableFootnote"/>
    <w:rsid w:val="007B0643"/>
    <w:rPr>
      <w:rFonts w:ascii="Arial" w:eastAsia="Times New Roman" w:hAnsi="Arial" w:cs="Times New Roman"/>
      <w:color w:val="000000"/>
      <w:sz w:val="16"/>
      <w:szCs w:val="20"/>
      <w:lang w:val="en-AU" w:eastAsia="en-AU"/>
    </w:rPr>
  </w:style>
  <w:style w:type="paragraph" w:customStyle="1" w:styleId="Source">
    <w:name w:val="Source"/>
    <w:basedOn w:val="Normal"/>
    <w:rsid w:val="007B0643"/>
    <w:pPr>
      <w:tabs>
        <w:tab w:val="left" w:pos="709"/>
      </w:tabs>
      <w:spacing w:before="30" w:line="240" w:lineRule="auto"/>
      <w:ind w:left="709" w:hanging="709"/>
    </w:pPr>
    <w:rPr>
      <w:rFonts w:ascii="Arial" w:hAnsi="Arial"/>
      <w:sz w:val="16"/>
    </w:rPr>
  </w:style>
  <w:style w:type="paragraph" w:customStyle="1" w:styleId="tabletextbase0">
    <w:name w:val="tabletextbase"/>
    <w:basedOn w:val="Normal"/>
    <w:rsid w:val="00EC7B36"/>
    <w:pPr>
      <w:spacing w:before="100" w:beforeAutospacing="1" w:after="100" w:afterAutospacing="1"/>
    </w:pPr>
    <w:rPr>
      <w:rFonts w:ascii="Calibri" w:hAnsi="Calibri" w:cs="Calibri"/>
    </w:rPr>
  </w:style>
  <w:style w:type="paragraph" w:styleId="Revision">
    <w:name w:val="Revision"/>
    <w:hidden/>
    <w:uiPriority w:val="99"/>
    <w:semiHidden/>
    <w:rsid w:val="007B0643"/>
    <w:pPr>
      <w:widowControl/>
      <w:autoSpaceDE/>
      <w:autoSpaceDN/>
    </w:pPr>
    <w:rPr>
      <w:rFonts w:ascii="Book Antiqua" w:eastAsia="Times New Roman" w:hAnsi="Book Antiqua" w:cs="Times New Roman"/>
      <w:sz w:val="20"/>
      <w:szCs w:val="20"/>
      <w:lang w:val="en-AU" w:eastAsia="en-AU"/>
    </w:rPr>
  </w:style>
  <w:style w:type="paragraph" w:customStyle="1" w:styleId="PartHeading">
    <w:name w:val="Part Heading"/>
    <w:basedOn w:val="Title"/>
    <w:next w:val="Normal"/>
    <w:rsid w:val="007B0643"/>
    <w:pPr>
      <w:spacing w:after="480"/>
      <w:outlineLvl w:val="9"/>
    </w:pPr>
    <w:rPr>
      <w:rFonts w:ascii="Arial Bold" w:hAnsi="Arial Bold"/>
      <w:smallCaps w:val="0"/>
    </w:rPr>
  </w:style>
  <w:style w:type="paragraph" w:customStyle="1" w:styleId="PartHeading-TOC">
    <w:name w:val="Part Heading - TOC"/>
    <w:basedOn w:val="PartHeading"/>
    <w:rsid w:val="007B0643"/>
  </w:style>
  <w:style w:type="paragraph" w:styleId="Title">
    <w:name w:val="Title"/>
    <w:basedOn w:val="Normal"/>
    <w:link w:val="TitleChar"/>
    <w:qFormat/>
    <w:rsid w:val="007B0643"/>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296425"/>
    <w:rPr>
      <w:rFonts w:ascii="Arial" w:eastAsia="Times New Roman" w:hAnsi="Arial" w:cs="Arial"/>
      <w:b/>
      <w:bCs/>
      <w:smallCaps/>
      <w:kern w:val="28"/>
      <w:sz w:val="52"/>
      <w:szCs w:val="32"/>
      <w:lang w:val="en-AU" w:eastAsia="en-AU"/>
    </w:rPr>
  </w:style>
  <w:style w:type="paragraph" w:customStyle="1" w:styleId="FooterBase">
    <w:name w:val="Footer Base"/>
    <w:rsid w:val="007B0643"/>
    <w:pPr>
      <w:widowControl/>
      <w:autoSpaceDE/>
      <w:autoSpaceDN/>
      <w:jc w:val="center"/>
    </w:pPr>
    <w:rPr>
      <w:rFonts w:ascii="Arial" w:eastAsia="Times New Roman" w:hAnsi="Arial" w:cs="Times New Roman"/>
      <w:color w:val="000000" w:themeColor="text1"/>
      <w:sz w:val="20"/>
      <w:szCs w:val="20"/>
      <w:lang w:val="en-AU" w:eastAsia="en-AU"/>
    </w:rPr>
  </w:style>
  <w:style w:type="character" w:styleId="PageNumber">
    <w:name w:val="page number"/>
    <w:basedOn w:val="DefaultParagraphFont"/>
    <w:rsid w:val="007B0643"/>
    <w:rPr>
      <w:rFonts w:ascii="Arial" w:hAnsi="Arial" w:cs="Arial"/>
      <w:color w:val="auto"/>
    </w:rPr>
  </w:style>
  <w:style w:type="paragraph" w:customStyle="1" w:styleId="FooterEven">
    <w:name w:val="Footer Even"/>
    <w:basedOn w:val="Footer"/>
    <w:qFormat/>
    <w:rsid w:val="007B0643"/>
    <w:pPr>
      <w:pBdr>
        <w:top w:val="single" w:sz="4" w:space="10" w:color="000000" w:themeColor="text1"/>
      </w:pBdr>
      <w:jc w:val="left"/>
    </w:pPr>
    <w:rPr>
      <w:color w:val="auto"/>
      <w:sz w:val="18"/>
    </w:rPr>
  </w:style>
  <w:style w:type="paragraph" w:customStyle="1" w:styleId="FooterOdd">
    <w:name w:val="Footer Odd"/>
    <w:basedOn w:val="Footer"/>
    <w:qFormat/>
    <w:rsid w:val="007B0643"/>
    <w:pPr>
      <w:pBdr>
        <w:top w:val="single" w:sz="4" w:space="10" w:color="000000" w:themeColor="text1"/>
      </w:pBdr>
      <w:jc w:val="right"/>
    </w:pPr>
    <w:rPr>
      <w:sz w:val="18"/>
    </w:rPr>
  </w:style>
  <w:style w:type="character" w:styleId="CommentReference">
    <w:name w:val="annotation reference"/>
    <w:basedOn w:val="DefaultParagraphFont"/>
    <w:semiHidden/>
    <w:rsid w:val="007B0643"/>
    <w:rPr>
      <w:sz w:val="16"/>
      <w:szCs w:val="16"/>
    </w:rPr>
  </w:style>
  <w:style w:type="paragraph" w:styleId="CommentText">
    <w:name w:val="annotation text"/>
    <w:basedOn w:val="Normal"/>
    <w:link w:val="CommentTextChar"/>
    <w:rsid w:val="007B0643"/>
  </w:style>
  <w:style w:type="character" w:customStyle="1" w:styleId="CommentTextChar">
    <w:name w:val="Comment Text Char"/>
    <w:basedOn w:val="DefaultParagraphFont"/>
    <w:link w:val="CommentText"/>
    <w:rsid w:val="007B0643"/>
    <w:rPr>
      <w:rFonts w:ascii="Book Antiqua" w:eastAsia="Times New Roman" w:hAnsi="Book Antiqua" w:cs="Times New Roman"/>
      <w:sz w:val="19"/>
      <w:szCs w:val="20"/>
      <w:lang w:val="en-AU" w:eastAsia="en-AU"/>
    </w:rPr>
  </w:style>
  <w:style w:type="paragraph" w:styleId="CommentSubject">
    <w:name w:val="annotation subject"/>
    <w:basedOn w:val="CommentText"/>
    <w:next w:val="CommentText"/>
    <w:link w:val="CommentSubjectChar"/>
    <w:semiHidden/>
    <w:rsid w:val="007B0643"/>
    <w:rPr>
      <w:b/>
      <w:bCs/>
    </w:rPr>
  </w:style>
  <w:style w:type="character" w:customStyle="1" w:styleId="CommentSubjectChar">
    <w:name w:val="Comment Subject Char"/>
    <w:basedOn w:val="CommentTextChar"/>
    <w:link w:val="CommentSubject"/>
    <w:semiHidden/>
    <w:rsid w:val="007B0643"/>
    <w:rPr>
      <w:rFonts w:ascii="Book Antiqua" w:eastAsia="Times New Roman" w:hAnsi="Book Antiqua" w:cs="Times New Roman"/>
      <w:b/>
      <w:bCs/>
      <w:sz w:val="19"/>
      <w:szCs w:val="20"/>
      <w:lang w:val="en-AU" w:eastAsia="en-AU"/>
    </w:rPr>
  </w:style>
  <w:style w:type="table" w:styleId="TableGrid">
    <w:name w:val="Table Grid"/>
    <w:basedOn w:val="TableNormal"/>
    <w:rsid w:val="007B0643"/>
    <w:pPr>
      <w:widowControl/>
      <w:autoSpaceDE/>
      <w:autoSpaceDN/>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HeaderBase"/>
    <w:rsid w:val="007B0643"/>
    <w:pPr>
      <w:jc w:val="right"/>
    </w:pPr>
    <w:rPr>
      <w:color w:val="000000" w:themeColor="text1"/>
    </w:rPr>
  </w:style>
  <w:style w:type="paragraph" w:customStyle="1" w:styleId="HeaderEven">
    <w:name w:val="Header Even"/>
    <w:basedOn w:val="HeaderBase"/>
    <w:rsid w:val="007B0643"/>
    <w:rPr>
      <w:color w:val="auto"/>
    </w:rPr>
  </w:style>
  <w:style w:type="paragraph" w:customStyle="1" w:styleId="TableColumnHeadingLeft">
    <w:name w:val="Table Column Heading Left"/>
    <w:basedOn w:val="TableColumnHeadingBase"/>
    <w:next w:val="Normal"/>
    <w:rsid w:val="007B0643"/>
  </w:style>
  <w:style w:type="paragraph" w:styleId="NormalWeb">
    <w:name w:val="Normal (Web)"/>
    <w:basedOn w:val="Normal"/>
    <w:uiPriority w:val="99"/>
    <w:semiHidden/>
    <w:unhideWhenUsed/>
    <w:rsid w:val="00BF6CCE"/>
    <w:rPr>
      <w:rFonts w:ascii="Times New Roman" w:hAnsi="Times New Roman"/>
      <w:sz w:val="24"/>
      <w:szCs w:val="24"/>
    </w:rPr>
  </w:style>
  <w:style w:type="character" w:customStyle="1" w:styleId="Heading8Char">
    <w:name w:val="Heading 8 Char"/>
    <w:basedOn w:val="DefaultParagraphFont"/>
    <w:link w:val="Heading8"/>
    <w:rsid w:val="007B0643"/>
    <w:rPr>
      <w:rFonts w:ascii="Times New Roman" w:eastAsia="Times New Roman" w:hAnsi="Times New Roman" w:cs="Times New Roman"/>
      <w:i/>
      <w:iCs/>
      <w:sz w:val="16"/>
      <w:szCs w:val="24"/>
      <w:lang w:val="en-AU" w:eastAsia="en-AU"/>
    </w:rPr>
  </w:style>
  <w:style w:type="character" w:customStyle="1" w:styleId="Heading9Char">
    <w:name w:val="Heading 9 Char"/>
    <w:basedOn w:val="DefaultParagraphFont"/>
    <w:link w:val="Heading9"/>
    <w:uiPriority w:val="9"/>
    <w:rsid w:val="007B0643"/>
    <w:rPr>
      <w:rFonts w:ascii="Cambria" w:eastAsia="Times New Roman" w:hAnsi="Cambria" w:cs="Times New Roman"/>
      <w:lang w:val="en-AU" w:eastAsia="en-AU"/>
    </w:rPr>
  </w:style>
  <w:style w:type="paragraph" w:customStyle="1" w:styleId="SingleParagraph">
    <w:name w:val="Single Paragraph"/>
    <w:basedOn w:val="Normal"/>
    <w:rsid w:val="007B0643"/>
    <w:pPr>
      <w:spacing w:after="0" w:line="240" w:lineRule="auto"/>
    </w:pPr>
  </w:style>
  <w:style w:type="paragraph" w:customStyle="1" w:styleId="Exampletext">
    <w:name w:val="Example text"/>
    <w:basedOn w:val="Normal"/>
    <w:link w:val="ExampletextCharChar"/>
    <w:semiHidden/>
    <w:rsid w:val="007B0643"/>
    <w:rPr>
      <w:i/>
      <w:color w:val="FF0000"/>
      <w:lang w:val="x-none" w:eastAsia="x-none"/>
    </w:rPr>
  </w:style>
  <w:style w:type="paragraph" w:customStyle="1" w:styleId="ChartSecondHeading">
    <w:name w:val="Chart Second Heading"/>
    <w:basedOn w:val="HeadingBase"/>
    <w:next w:val="ChartGraphic"/>
    <w:rsid w:val="007B0643"/>
    <w:pPr>
      <w:spacing w:after="60"/>
    </w:pPr>
    <w:rPr>
      <w:sz w:val="19"/>
    </w:rPr>
  </w:style>
  <w:style w:type="paragraph" w:customStyle="1" w:styleId="AlphaParagraph">
    <w:name w:val="Alpha Paragraph"/>
    <w:basedOn w:val="Normal"/>
    <w:rsid w:val="007B0643"/>
    <w:pPr>
      <w:numPr>
        <w:numId w:val="6"/>
      </w:numPr>
      <w:tabs>
        <w:tab w:val="clear" w:pos="567"/>
        <w:tab w:val="num" w:pos="360"/>
      </w:tabs>
    </w:pPr>
  </w:style>
  <w:style w:type="paragraph" w:customStyle="1" w:styleId="Bullet">
    <w:name w:val="Bullet"/>
    <w:basedOn w:val="Normal"/>
    <w:link w:val="BulletChar"/>
    <w:qFormat/>
    <w:rsid w:val="007B0643"/>
    <w:pPr>
      <w:numPr>
        <w:numId w:val="7"/>
      </w:numPr>
    </w:pPr>
  </w:style>
  <w:style w:type="paragraph" w:customStyle="1" w:styleId="Dash">
    <w:name w:val="Dash"/>
    <w:basedOn w:val="Normal"/>
    <w:qFormat/>
    <w:rsid w:val="007B0643"/>
    <w:pPr>
      <w:numPr>
        <w:ilvl w:val="1"/>
        <w:numId w:val="7"/>
      </w:numPr>
      <w:tabs>
        <w:tab w:val="left" w:pos="567"/>
      </w:tabs>
    </w:pPr>
  </w:style>
  <w:style w:type="paragraph" w:customStyle="1" w:styleId="DoubleDot">
    <w:name w:val="Double Dot"/>
    <w:basedOn w:val="Normal"/>
    <w:rsid w:val="007B0643"/>
    <w:pPr>
      <w:numPr>
        <w:ilvl w:val="2"/>
        <w:numId w:val="7"/>
      </w:numPr>
      <w:tabs>
        <w:tab w:val="clear" w:pos="850"/>
        <w:tab w:val="left" w:pos="851"/>
      </w:tabs>
    </w:pPr>
  </w:style>
  <w:style w:type="paragraph" w:customStyle="1" w:styleId="AppendixHeading">
    <w:name w:val="Appendix Heading"/>
    <w:basedOn w:val="HeadingBase"/>
    <w:semiHidden/>
    <w:rsid w:val="007B0643"/>
    <w:pPr>
      <w:spacing w:after="240"/>
      <w:jc w:val="center"/>
      <w:outlineLvl w:val="3"/>
    </w:pPr>
    <w:rPr>
      <w:b/>
      <w:smallCaps/>
      <w:sz w:val="30"/>
    </w:rPr>
  </w:style>
  <w:style w:type="paragraph" w:customStyle="1" w:styleId="BoxText">
    <w:name w:val="Box Text"/>
    <w:basedOn w:val="Normal"/>
    <w:qFormat/>
    <w:rsid w:val="007B0643"/>
    <w:pPr>
      <w:spacing w:before="120" w:after="120" w:line="240" w:lineRule="auto"/>
    </w:pPr>
  </w:style>
  <w:style w:type="paragraph" w:customStyle="1" w:styleId="BoxHeading">
    <w:name w:val="Box Heading"/>
    <w:basedOn w:val="HeadingBase"/>
    <w:next w:val="BoxText"/>
    <w:rsid w:val="007B0643"/>
    <w:pPr>
      <w:spacing w:before="120" w:after="120"/>
    </w:pPr>
    <w:rPr>
      <w:b/>
      <w:sz w:val="20"/>
    </w:rPr>
  </w:style>
  <w:style w:type="paragraph" w:customStyle="1" w:styleId="BoxBullet">
    <w:name w:val="Box Bullet"/>
    <w:basedOn w:val="BoxText"/>
    <w:rsid w:val="007B0643"/>
    <w:pPr>
      <w:numPr>
        <w:numId w:val="12"/>
      </w:numPr>
    </w:pPr>
  </w:style>
  <w:style w:type="paragraph" w:customStyle="1" w:styleId="ChartGraphic">
    <w:name w:val="Chart Graphic"/>
    <w:basedOn w:val="HeadingBase"/>
    <w:rsid w:val="007B0643"/>
    <w:pPr>
      <w:jc w:val="center"/>
    </w:pPr>
    <w:rPr>
      <w:sz w:val="20"/>
    </w:rPr>
  </w:style>
  <w:style w:type="paragraph" w:customStyle="1" w:styleId="FigureHeading">
    <w:name w:val="Figure Heading"/>
    <w:basedOn w:val="HeadingBase"/>
    <w:next w:val="ChartGraphic"/>
    <w:rsid w:val="007B0643"/>
    <w:pPr>
      <w:spacing w:before="120" w:after="20"/>
    </w:pPr>
    <w:rPr>
      <w:b/>
      <w:sz w:val="20"/>
    </w:rPr>
  </w:style>
  <w:style w:type="paragraph" w:customStyle="1" w:styleId="Classification">
    <w:name w:val="Classification"/>
    <w:basedOn w:val="HeadingBase"/>
    <w:rsid w:val="007B0643"/>
    <w:pPr>
      <w:jc w:val="center"/>
    </w:pPr>
    <w:rPr>
      <w:rFonts w:ascii="Arial Bold" w:hAnsi="Arial Bold"/>
      <w:b/>
      <w:caps/>
      <w:sz w:val="22"/>
    </w:rPr>
  </w:style>
  <w:style w:type="character" w:customStyle="1" w:styleId="HiddenSequenceCode">
    <w:name w:val="Hidden Sequence Code"/>
    <w:basedOn w:val="DefaultParagraphFont"/>
    <w:rsid w:val="007B0643"/>
    <w:rPr>
      <w:rFonts w:ascii="Times New Roman" w:hAnsi="Times New Roman"/>
      <w:vanish/>
      <w:sz w:val="16"/>
    </w:rPr>
  </w:style>
  <w:style w:type="paragraph" w:customStyle="1" w:styleId="OverviewParagraph">
    <w:name w:val="Overview Paragraph"/>
    <w:basedOn w:val="Normal"/>
    <w:rsid w:val="007B0643"/>
    <w:pPr>
      <w:spacing w:before="120" w:after="120" w:line="240" w:lineRule="auto"/>
    </w:pPr>
  </w:style>
  <w:style w:type="paragraph" w:customStyle="1" w:styleId="TableGraphic">
    <w:name w:val="Table Graphic"/>
    <w:basedOn w:val="Normal"/>
    <w:next w:val="Normal"/>
    <w:rsid w:val="007B0643"/>
    <w:pPr>
      <w:spacing w:after="0" w:line="240" w:lineRule="auto"/>
      <w:ind w:right="-113"/>
    </w:pPr>
  </w:style>
  <w:style w:type="paragraph" w:customStyle="1" w:styleId="NoteTableHeading">
    <w:name w:val="Note Table Heading"/>
    <w:basedOn w:val="HeadingBase"/>
    <w:next w:val="Normal"/>
    <w:rsid w:val="007B0643"/>
    <w:pPr>
      <w:spacing w:before="240"/>
    </w:pPr>
    <w:rPr>
      <w:b/>
      <w:sz w:val="20"/>
    </w:rPr>
  </w:style>
  <w:style w:type="paragraph" w:customStyle="1" w:styleId="TableColumnHeadingBase">
    <w:name w:val="Table Column Heading Base"/>
    <w:basedOn w:val="Normal"/>
    <w:rsid w:val="007B0643"/>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7B0643"/>
  </w:style>
  <w:style w:type="paragraph" w:customStyle="1" w:styleId="TableTextRight">
    <w:name w:val="Table Text Right"/>
    <w:basedOn w:val="TableTextBase"/>
    <w:rsid w:val="007B0643"/>
    <w:pPr>
      <w:jc w:val="right"/>
    </w:pPr>
  </w:style>
  <w:style w:type="paragraph" w:customStyle="1" w:styleId="TableTextCentred">
    <w:name w:val="Table Text Centred"/>
    <w:basedOn w:val="TableTextBase"/>
    <w:rsid w:val="007B0643"/>
    <w:pPr>
      <w:jc w:val="center"/>
    </w:pPr>
  </w:style>
  <w:style w:type="paragraph" w:customStyle="1" w:styleId="TableTextIndented">
    <w:name w:val="Table Text Indented"/>
    <w:basedOn w:val="TableTextBase"/>
    <w:rsid w:val="007B0643"/>
    <w:pPr>
      <w:ind w:left="284"/>
    </w:pPr>
  </w:style>
  <w:style w:type="paragraph" w:customStyle="1" w:styleId="TableColumnHeadingRight">
    <w:name w:val="Table Column Heading Right"/>
    <w:basedOn w:val="TableColumnHeadingBase"/>
    <w:next w:val="Normal"/>
    <w:rsid w:val="007B0643"/>
    <w:pPr>
      <w:jc w:val="right"/>
    </w:pPr>
  </w:style>
  <w:style w:type="paragraph" w:customStyle="1" w:styleId="TableColumnHeadingCentred">
    <w:name w:val="Table Column Heading Centred"/>
    <w:basedOn w:val="TableColumnHeadingBase"/>
    <w:next w:val="Normal"/>
    <w:rsid w:val="007B0643"/>
    <w:pPr>
      <w:jc w:val="center"/>
    </w:pPr>
  </w:style>
  <w:style w:type="paragraph" w:customStyle="1" w:styleId="Exampletextbullet">
    <w:name w:val="Example text bullet"/>
    <w:basedOn w:val="Exampletext"/>
    <w:semiHidden/>
    <w:rsid w:val="007B0643"/>
    <w:pPr>
      <w:numPr>
        <w:numId w:val="8"/>
      </w:numPr>
    </w:pPr>
  </w:style>
  <w:style w:type="paragraph" w:customStyle="1" w:styleId="TableHeadingcontinued">
    <w:name w:val="Table Heading continued"/>
    <w:basedOn w:val="HeadingBase"/>
    <w:next w:val="TableGraphic"/>
    <w:rsid w:val="007B0643"/>
    <w:pPr>
      <w:spacing w:before="120" w:after="20"/>
    </w:pPr>
    <w:rPr>
      <w:rFonts w:ascii="Arial Bold" w:hAnsi="Arial Bold"/>
      <w:b/>
      <w:sz w:val="20"/>
    </w:rPr>
  </w:style>
  <w:style w:type="paragraph" w:customStyle="1" w:styleId="TPHeading1">
    <w:name w:val="TP Heading 1"/>
    <w:basedOn w:val="HeadingBase"/>
    <w:rsid w:val="007B0643"/>
    <w:pPr>
      <w:spacing w:before="60" w:after="60"/>
      <w:ind w:left="851"/>
    </w:pPr>
    <w:rPr>
      <w:rFonts w:ascii="Arial Bold" w:hAnsi="Arial Bold"/>
      <w:b/>
      <w:caps/>
      <w:spacing w:val="-10"/>
      <w:sz w:val="28"/>
    </w:rPr>
  </w:style>
  <w:style w:type="paragraph" w:customStyle="1" w:styleId="TPHeading2">
    <w:name w:val="TP Heading 2"/>
    <w:basedOn w:val="HeadingBase"/>
    <w:rsid w:val="007B0643"/>
    <w:pPr>
      <w:ind w:left="851"/>
    </w:pPr>
    <w:rPr>
      <w:caps/>
      <w:spacing w:val="-10"/>
      <w:sz w:val="28"/>
    </w:rPr>
  </w:style>
  <w:style w:type="paragraph" w:customStyle="1" w:styleId="TPHeading3">
    <w:name w:val="TP Heading 3"/>
    <w:basedOn w:val="HeadingBase"/>
    <w:rsid w:val="007B0643"/>
    <w:pPr>
      <w:ind w:left="851"/>
    </w:pPr>
    <w:rPr>
      <w:caps/>
      <w:spacing w:val="-10"/>
    </w:rPr>
  </w:style>
  <w:style w:type="paragraph" w:customStyle="1" w:styleId="HeaderBase">
    <w:name w:val="Header Base"/>
    <w:rsid w:val="007B0643"/>
    <w:pPr>
      <w:widowControl/>
      <w:autoSpaceDE/>
      <w:autoSpaceDN/>
    </w:pPr>
    <w:rPr>
      <w:rFonts w:ascii="Arial" w:eastAsia="Times New Roman" w:hAnsi="Arial" w:cs="Times New Roman"/>
      <w:color w:val="1F497D" w:themeColor="text2"/>
      <w:sz w:val="18"/>
      <w:szCs w:val="20"/>
      <w:lang w:val="en-AU" w:eastAsia="en-AU"/>
    </w:rPr>
  </w:style>
  <w:style w:type="paragraph" w:styleId="BalloonText">
    <w:name w:val="Balloon Text"/>
    <w:basedOn w:val="Normal"/>
    <w:link w:val="BalloonTextChar"/>
    <w:semiHidden/>
    <w:rsid w:val="007B0643"/>
    <w:rPr>
      <w:rFonts w:ascii="Tahoma" w:hAnsi="Tahoma" w:cs="Tahoma"/>
      <w:sz w:val="16"/>
      <w:szCs w:val="16"/>
    </w:rPr>
  </w:style>
  <w:style w:type="character" w:customStyle="1" w:styleId="BalloonTextChar">
    <w:name w:val="Balloon Text Char"/>
    <w:basedOn w:val="DefaultParagraphFont"/>
    <w:link w:val="BalloonText"/>
    <w:semiHidden/>
    <w:rsid w:val="00376ABE"/>
    <w:rPr>
      <w:rFonts w:ascii="Tahoma" w:eastAsia="Times New Roman" w:hAnsi="Tahoma" w:cs="Tahoma"/>
      <w:sz w:val="16"/>
      <w:szCs w:val="16"/>
      <w:lang w:val="en-AU" w:eastAsia="en-AU"/>
    </w:rPr>
  </w:style>
  <w:style w:type="paragraph" w:styleId="Caption">
    <w:name w:val="caption"/>
    <w:basedOn w:val="Normal"/>
    <w:next w:val="Normal"/>
    <w:rsid w:val="007B0643"/>
    <w:rPr>
      <w:b/>
      <w:bCs/>
    </w:rPr>
  </w:style>
  <w:style w:type="paragraph" w:styleId="DocumentMap">
    <w:name w:val="Document Map"/>
    <w:basedOn w:val="Normal"/>
    <w:link w:val="DocumentMapChar"/>
    <w:semiHidden/>
    <w:rsid w:val="007B0643"/>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643"/>
    <w:rPr>
      <w:rFonts w:ascii="Tahoma" w:eastAsia="Times New Roman" w:hAnsi="Tahoma" w:cs="Tahoma"/>
      <w:sz w:val="19"/>
      <w:szCs w:val="20"/>
      <w:shd w:val="clear" w:color="auto" w:fill="000080"/>
      <w:lang w:val="en-AU" w:eastAsia="en-AU"/>
    </w:rPr>
  </w:style>
  <w:style w:type="character" w:styleId="EndnoteReference">
    <w:name w:val="endnote reference"/>
    <w:basedOn w:val="DefaultParagraphFont"/>
    <w:unhideWhenUsed/>
    <w:rsid w:val="007B0643"/>
    <w:rPr>
      <w:vertAlign w:val="superscript"/>
    </w:rPr>
  </w:style>
  <w:style w:type="paragraph" w:styleId="EndnoteText">
    <w:name w:val="endnote text"/>
    <w:basedOn w:val="Normal"/>
    <w:link w:val="EndnoteTextChar"/>
    <w:unhideWhenUsed/>
    <w:rsid w:val="007B0643"/>
  </w:style>
  <w:style w:type="character" w:customStyle="1" w:styleId="EndnoteTextChar">
    <w:name w:val="Endnote Text Char"/>
    <w:basedOn w:val="DefaultParagraphFont"/>
    <w:link w:val="EndnoteText"/>
    <w:rsid w:val="007B0643"/>
    <w:rPr>
      <w:rFonts w:ascii="Book Antiqua" w:eastAsia="Times New Roman" w:hAnsi="Book Antiqua" w:cs="Times New Roman"/>
      <w:sz w:val="19"/>
      <w:szCs w:val="20"/>
      <w:lang w:val="en-AU" w:eastAsia="en-AU"/>
    </w:rPr>
  </w:style>
  <w:style w:type="character" w:styleId="FootnoteReference">
    <w:name w:val="footnote reference"/>
    <w:basedOn w:val="DefaultParagraphFont"/>
    <w:rsid w:val="007B0643"/>
    <w:rPr>
      <w:vertAlign w:val="superscript"/>
    </w:rPr>
  </w:style>
  <w:style w:type="paragraph" w:styleId="FootnoteText">
    <w:name w:val="footnote text"/>
    <w:basedOn w:val="Normal"/>
    <w:link w:val="FootnoteTextChar"/>
    <w:rsid w:val="007B064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7B0643"/>
    <w:rPr>
      <w:rFonts w:ascii="Book Antiqua" w:eastAsia="Times New Roman" w:hAnsi="Book Antiqua" w:cs="Times New Roman"/>
      <w:sz w:val="18"/>
      <w:szCs w:val="20"/>
      <w:lang w:val="en-AU" w:eastAsia="en-AU"/>
    </w:rPr>
  </w:style>
  <w:style w:type="paragraph" w:styleId="Index1">
    <w:name w:val="index 1"/>
    <w:basedOn w:val="Normal"/>
    <w:next w:val="Normal"/>
    <w:rsid w:val="007B0643"/>
    <w:pPr>
      <w:ind w:left="200" w:hanging="200"/>
    </w:pPr>
  </w:style>
  <w:style w:type="paragraph" w:styleId="Index2">
    <w:name w:val="index 2"/>
    <w:basedOn w:val="Normal"/>
    <w:next w:val="Normal"/>
    <w:rsid w:val="007B0643"/>
    <w:pPr>
      <w:ind w:left="400" w:hanging="200"/>
    </w:pPr>
  </w:style>
  <w:style w:type="paragraph" w:styleId="Index3">
    <w:name w:val="index 3"/>
    <w:basedOn w:val="Normal"/>
    <w:next w:val="Normal"/>
    <w:rsid w:val="007B0643"/>
    <w:pPr>
      <w:ind w:left="600" w:hanging="200"/>
    </w:pPr>
  </w:style>
  <w:style w:type="paragraph" w:styleId="Index4">
    <w:name w:val="index 4"/>
    <w:basedOn w:val="Normal"/>
    <w:next w:val="Normal"/>
    <w:autoRedefine/>
    <w:semiHidden/>
    <w:rsid w:val="007B0643"/>
    <w:pPr>
      <w:ind w:left="800" w:hanging="200"/>
    </w:pPr>
  </w:style>
  <w:style w:type="paragraph" w:styleId="Index5">
    <w:name w:val="index 5"/>
    <w:basedOn w:val="Normal"/>
    <w:next w:val="Normal"/>
    <w:autoRedefine/>
    <w:semiHidden/>
    <w:rsid w:val="007B0643"/>
    <w:pPr>
      <w:ind w:left="1000" w:hanging="200"/>
    </w:pPr>
  </w:style>
  <w:style w:type="paragraph" w:styleId="Index6">
    <w:name w:val="index 6"/>
    <w:basedOn w:val="Normal"/>
    <w:next w:val="Normal"/>
    <w:autoRedefine/>
    <w:semiHidden/>
    <w:rsid w:val="007B0643"/>
    <w:pPr>
      <w:ind w:left="1200" w:hanging="200"/>
    </w:pPr>
  </w:style>
  <w:style w:type="paragraph" w:styleId="Index7">
    <w:name w:val="index 7"/>
    <w:basedOn w:val="Normal"/>
    <w:next w:val="Normal"/>
    <w:autoRedefine/>
    <w:semiHidden/>
    <w:rsid w:val="007B0643"/>
    <w:pPr>
      <w:ind w:left="1400" w:hanging="200"/>
    </w:pPr>
  </w:style>
  <w:style w:type="paragraph" w:styleId="Index8">
    <w:name w:val="index 8"/>
    <w:basedOn w:val="Normal"/>
    <w:next w:val="Normal"/>
    <w:autoRedefine/>
    <w:semiHidden/>
    <w:rsid w:val="007B0643"/>
    <w:pPr>
      <w:ind w:left="1600" w:hanging="200"/>
    </w:pPr>
  </w:style>
  <w:style w:type="paragraph" w:styleId="Index9">
    <w:name w:val="index 9"/>
    <w:basedOn w:val="Normal"/>
    <w:next w:val="Normal"/>
    <w:autoRedefine/>
    <w:semiHidden/>
    <w:rsid w:val="007B0643"/>
    <w:pPr>
      <w:ind w:left="1800" w:hanging="200"/>
    </w:pPr>
  </w:style>
  <w:style w:type="paragraph" w:styleId="IndexHeading">
    <w:name w:val="index heading"/>
    <w:basedOn w:val="Normal"/>
    <w:next w:val="Index1"/>
    <w:rsid w:val="007B0643"/>
    <w:rPr>
      <w:rFonts w:ascii="Arial Bold" w:hAnsi="Arial Bold" w:cs="Arial"/>
      <w:b/>
      <w:bCs/>
      <w:color w:val="002B54"/>
    </w:rPr>
  </w:style>
  <w:style w:type="paragraph" w:styleId="MacroText">
    <w:name w:val="macro"/>
    <w:link w:val="MacroTextChar"/>
    <w:unhideWhenUsed/>
    <w:rsid w:val="007B0643"/>
    <w:pPr>
      <w:widowControl/>
      <w:tabs>
        <w:tab w:val="left" w:pos="480"/>
        <w:tab w:val="left" w:pos="960"/>
        <w:tab w:val="left" w:pos="1440"/>
        <w:tab w:val="left" w:pos="1920"/>
        <w:tab w:val="left" w:pos="2400"/>
        <w:tab w:val="left" w:pos="2880"/>
        <w:tab w:val="left" w:pos="3360"/>
        <w:tab w:val="left" w:pos="3840"/>
        <w:tab w:val="left" w:pos="4320"/>
      </w:tabs>
      <w:autoSpaceDE/>
      <w:autoSpaceDN/>
      <w:spacing w:after="240" w:line="260" w:lineRule="exact"/>
      <w:jc w:val="both"/>
    </w:pPr>
    <w:rPr>
      <w:rFonts w:ascii="Courier New" w:eastAsia="Times New Roman" w:hAnsi="Courier New" w:cs="Courier New"/>
      <w:sz w:val="20"/>
      <w:szCs w:val="20"/>
      <w:lang w:val="en-AU" w:eastAsia="en-AU"/>
    </w:rPr>
  </w:style>
  <w:style w:type="character" w:customStyle="1" w:styleId="MacroTextChar">
    <w:name w:val="Macro Text Char"/>
    <w:basedOn w:val="DefaultParagraphFont"/>
    <w:link w:val="MacroText"/>
    <w:rsid w:val="007B0643"/>
    <w:rPr>
      <w:rFonts w:ascii="Courier New" w:eastAsia="Times New Roman" w:hAnsi="Courier New" w:cs="Courier New"/>
      <w:sz w:val="20"/>
      <w:szCs w:val="20"/>
      <w:lang w:val="en-AU" w:eastAsia="en-AU"/>
    </w:rPr>
  </w:style>
  <w:style w:type="paragraph" w:styleId="TableofAuthorities">
    <w:name w:val="table of authorities"/>
    <w:basedOn w:val="Normal"/>
    <w:next w:val="Normal"/>
    <w:rsid w:val="007B0643"/>
    <w:pPr>
      <w:ind w:left="200" w:hanging="200"/>
    </w:pPr>
  </w:style>
  <w:style w:type="paragraph" w:styleId="TableofFigures">
    <w:name w:val="table of figures"/>
    <w:basedOn w:val="Normal"/>
    <w:next w:val="Normal"/>
    <w:rsid w:val="007B0643"/>
  </w:style>
  <w:style w:type="paragraph" w:styleId="TOAHeading">
    <w:name w:val="toa heading"/>
    <w:basedOn w:val="Normal"/>
    <w:next w:val="Normal"/>
    <w:rsid w:val="007B0643"/>
    <w:pPr>
      <w:spacing w:before="120"/>
    </w:pPr>
    <w:rPr>
      <w:rFonts w:ascii="Arial" w:hAnsi="Arial" w:cs="Arial"/>
      <w:b/>
      <w:bCs/>
      <w:sz w:val="24"/>
      <w:szCs w:val="24"/>
    </w:rPr>
  </w:style>
  <w:style w:type="paragraph" w:styleId="TOC3">
    <w:name w:val="toc 3"/>
    <w:basedOn w:val="HeadingBase"/>
    <w:next w:val="Normal"/>
    <w:uiPriority w:val="2"/>
    <w:unhideWhenUsed/>
    <w:rsid w:val="007B0643"/>
    <w:pPr>
      <w:tabs>
        <w:tab w:val="right" w:leader="dot" w:pos="7700"/>
      </w:tabs>
      <w:spacing w:before="40"/>
      <w:ind w:right="851"/>
    </w:pPr>
    <w:rPr>
      <w:sz w:val="20"/>
    </w:rPr>
  </w:style>
  <w:style w:type="paragraph" w:styleId="TOC4">
    <w:name w:val="toc 4"/>
    <w:basedOn w:val="HeadingBase"/>
    <w:next w:val="Normal"/>
    <w:uiPriority w:val="2"/>
    <w:unhideWhenUsed/>
    <w:rsid w:val="007B0643"/>
    <w:pPr>
      <w:tabs>
        <w:tab w:val="right" w:leader="dot" w:pos="7700"/>
      </w:tabs>
      <w:spacing w:before="40"/>
      <w:ind w:right="851"/>
    </w:pPr>
    <w:rPr>
      <w:sz w:val="20"/>
    </w:rPr>
  </w:style>
  <w:style w:type="paragraph" w:styleId="TOC5">
    <w:name w:val="toc 5"/>
    <w:basedOn w:val="Normal"/>
    <w:next w:val="Normal"/>
    <w:autoRedefine/>
    <w:uiPriority w:val="2"/>
    <w:rsid w:val="007B064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7B0643"/>
    <w:pPr>
      <w:tabs>
        <w:tab w:val="left" w:pos="851"/>
      </w:tabs>
      <w:ind w:left="851" w:hanging="851"/>
    </w:pPr>
    <w:rPr>
      <w:color w:val="000000"/>
    </w:rPr>
  </w:style>
  <w:style w:type="paragraph" w:styleId="TOC7">
    <w:name w:val="toc 7"/>
    <w:basedOn w:val="Normal"/>
    <w:next w:val="Normal"/>
    <w:autoRedefine/>
    <w:uiPriority w:val="2"/>
    <w:semiHidden/>
    <w:rsid w:val="007B0643"/>
    <w:pPr>
      <w:ind w:left="1200"/>
    </w:pPr>
  </w:style>
  <w:style w:type="paragraph" w:styleId="TOC8">
    <w:name w:val="toc 8"/>
    <w:basedOn w:val="Normal"/>
    <w:next w:val="Normal"/>
    <w:autoRedefine/>
    <w:uiPriority w:val="2"/>
    <w:semiHidden/>
    <w:rsid w:val="007B0643"/>
    <w:pPr>
      <w:ind w:left="1400"/>
    </w:pPr>
  </w:style>
  <w:style w:type="paragraph" w:styleId="TOC9">
    <w:name w:val="toc 9"/>
    <w:basedOn w:val="Normal"/>
    <w:next w:val="Normal"/>
    <w:autoRedefine/>
    <w:uiPriority w:val="2"/>
    <w:semiHidden/>
    <w:rsid w:val="007B0643"/>
    <w:pPr>
      <w:ind w:left="1600"/>
    </w:pPr>
  </w:style>
  <w:style w:type="paragraph" w:customStyle="1" w:styleId="FileProperties">
    <w:name w:val="File Properties"/>
    <w:basedOn w:val="Normal"/>
    <w:rsid w:val="007B0643"/>
    <w:rPr>
      <w:i/>
    </w:rPr>
  </w:style>
  <w:style w:type="character" w:customStyle="1" w:styleId="FramedHeader">
    <w:name w:val="Framed Header"/>
    <w:basedOn w:val="DefaultParagraphFont"/>
    <w:rsid w:val="007B0643"/>
    <w:rPr>
      <w:rFonts w:ascii="Book Antiqua" w:hAnsi="Book Antiqua"/>
      <w:i/>
      <w:dstrike w:val="0"/>
      <w:color w:val="auto"/>
      <w:sz w:val="20"/>
      <w:vertAlign w:val="baseline"/>
    </w:rPr>
  </w:style>
  <w:style w:type="paragraph" w:styleId="NormalIndent">
    <w:name w:val="Normal Indent"/>
    <w:basedOn w:val="Normal"/>
    <w:rsid w:val="007B0643"/>
    <w:pPr>
      <w:ind w:left="567"/>
    </w:pPr>
  </w:style>
  <w:style w:type="paragraph" w:customStyle="1" w:styleId="BlockedQuotation">
    <w:name w:val="Blocked Quotation"/>
    <w:basedOn w:val="Normal"/>
    <w:semiHidden/>
    <w:rsid w:val="007B0643"/>
    <w:pPr>
      <w:ind w:left="567"/>
    </w:pPr>
  </w:style>
  <w:style w:type="paragraph" w:customStyle="1" w:styleId="ChartMainHeading">
    <w:name w:val="Chart Main Heading"/>
    <w:basedOn w:val="ChartHeading"/>
    <w:next w:val="ChartGraphic"/>
    <w:rsid w:val="007B0643"/>
  </w:style>
  <w:style w:type="paragraph" w:customStyle="1" w:styleId="Title2ndLevel">
    <w:name w:val="Title 2nd Level"/>
    <w:basedOn w:val="Title"/>
    <w:rsid w:val="007B0643"/>
    <w:rPr>
      <w:sz w:val="24"/>
    </w:rPr>
  </w:style>
  <w:style w:type="paragraph" w:customStyle="1" w:styleId="Title3rdLevel">
    <w:name w:val="Title 3rd Level"/>
    <w:basedOn w:val="Normal"/>
    <w:next w:val="Title"/>
    <w:rsid w:val="007B0643"/>
    <w:pPr>
      <w:jc w:val="center"/>
    </w:pPr>
    <w:rPr>
      <w:rFonts w:ascii="Arial" w:hAnsi="Arial"/>
      <w:caps/>
    </w:rPr>
  </w:style>
  <w:style w:type="paragraph" w:customStyle="1" w:styleId="Part">
    <w:name w:val="Part"/>
    <w:basedOn w:val="Title"/>
    <w:next w:val="Normal"/>
    <w:rsid w:val="007B0643"/>
    <w:rPr>
      <w:caps/>
      <w:smallCaps w:val="0"/>
    </w:rPr>
  </w:style>
  <w:style w:type="paragraph" w:customStyle="1" w:styleId="TableHeadingNoTable">
    <w:name w:val="Table Heading No Table"/>
    <w:basedOn w:val="TableHeading"/>
    <w:next w:val="Normal"/>
    <w:rsid w:val="007B0643"/>
    <w:pPr>
      <w:spacing w:after="240"/>
    </w:pPr>
  </w:style>
  <w:style w:type="paragraph" w:customStyle="1" w:styleId="TransmittalAddressee">
    <w:name w:val="Transmittal Addressee"/>
    <w:basedOn w:val="Normal"/>
    <w:rsid w:val="007B0643"/>
    <w:pPr>
      <w:spacing w:after="0"/>
    </w:pPr>
  </w:style>
  <w:style w:type="paragraph" w:customStyle="1" w:styleId="TransmittalStyle1">
    <w:name w:val="Transmittal Style 1"/>
    <w:basedOn w:val="HeadingBase"/>
    <w:rsid w:val="007B0643"/>
    <w:pPr>
      <w:spacing w:after="60"/>
      <w:jc w:val="right"/>
    </w:pPr>
    <w:rPr>
      <w:b/>
      <w:smallCaps/>
    </w:rPr>
  </w:style>
  <w:style w:type="paragraph" w:customStyle="1" w:styleId="TransmittalStyle2">
    <w:name w:val="Transmittal Style 2"/>
    <w:basedOn w:val="HeadingBase"/>
    <w:rsid w:val="007B0643"/>
    <w:pPr>
      <w:spacing w:before="60" w:after="60"/>
      <w:jc w:val="right"/>
    </w:pPr>
    <w:rPr>
      <w:rFonts w:ascii="Helvetica" w:hAnsi="Helvetica"/>
      <w:b/>
      <w:caps/>
      <w:sz w:val="16"/>
    </w:rPr>
  </w:style>
  <w:style w:type="paragraph" w:customStyle="1" w:styleId="UserGuidelevelTOC">
    <w:name w:val="UserGuide level TOC"/>
    <w:basedOn w:val="HeadingBase"/>
    <w:next w:val="Normal"/>
    <w:rsid w:val="007B0643"/>
    <w:pPr>
      <w:spacing w:before="360" w:after="360"/>
    </w:pPr>
    <w:rPr>
      <w:sz w:val="30"/>
    </w:rPr>
  </w:style>
  <w:style w:type="paragraph" w:customStyle="1" w:styleId="TableTextJustified">
    <w:name w:val="Table Text Justified"/>
    <w:basedOn w:val="TableTextBase"/>
    <w:rsid w:val="007B0643"/>
    <w:pPr>
      <w:jc w:val="both"/>
    </w:pPr>
  </w:style>
  <w:style w:type="paragraph" w:customStyle="1" w:styleId="Department">
    <w:name w:val="Department"/>
    <w:basedOn w:val="Normal"/>
    <w:rsid w:val="007B0643"/>
    <w:pPr>
      <w:spacing w:after="0" w:line="240" w:lineRule="auto"/>
      <w:jc w:val="center"/>
    </w:pPr>
    <w:rPr>
      <w:rFonts w:ascii="Arial" w:hAnsi="Arial"/>
      <w:b/>
      <w:sz w:val="52"/>
    </w:rPr>
  </w:style>
  <w:style w:type="paragraph" w:customStyle="1" w:styleId="DepartmentSubtitle">
    <w:name w:val="Department Subtitle"/>
    <w:basedOn w:val="Department"/>
    <w:rsid w:val="007B0643"/>
    <w:rPr>
      <w:sz w:val="44"/>
    </w:rPr>
  </w:style>
  <w:style w:type="character" w:customStyle="1" w:styleId="ExampletextCharChar">
    <w:name w:val="Example text Char Char"/>
    <w:link w:val="Exampletext"/>
    <w:semiHidden/>
    <w:rsid w:val="007B0643"/>
    <w:rPr>
      <w:rFonts w:ascii="Book Antiqua" w:eastAsia="Times New Roman" w:hAnsi="Book Antiqua" w:cs="Times New Roman"/>
      <w:i/>
      <w:color w:val="FF0000"/>
      <w:sz w:val="19"/>
      <w:szCs w:val="20"/>
      <w:lang w:val="x-none" w:eastAsia="x-none"/>
    </w:rPr>
  </w:style>
  <w:style w:type="paragraph" w:customStyle="1" w:styleId="Crest">
    <w:name w:val="Crest"/>
    <w:basedOn w:val="Normal"/>
    <w:next w:val="TransmittalStyle1"/>
    <w:semiHidden/>
    <w:rsid w:val="007B0643"/>
    <w:pPr>
      <w:spacing w:after="0" w:line="240" w:lineRule="auto"/>
      <w:jc w:val="center"/>
    </w:pPr>
  </w:style>
  <w:style w:type="paragraph" w:customStyle="1" w:styleId="Heading1noTOC">
    <w:name w:val="Heading 1 no TOC"/>
    <w:basedOn w:val="Heading1"/>
    <w:rsid w:val="007B0643"/>
  </w:style>
  <w:style w:type="paragraph" w:customStyle="1" w:styleId="TableColumnOutgroupHeading">
    <w:name w:val="Table Column Outgroup Heading"/>
    <w:basedOn w:val="Normal"/>
    <w:rsid w:val="007B0643"/>
    <w:pPr>
      <w:spacing w:before="60" w:after="120" w:line="240" w:lineRule="auto"/>
    </w:pPr>
    <w:rPr>
      <w:b/>
    </w:rPr>
  </w:style>
  <w:style w:type="paragraph" w:customStyle="1" w:styleId="TableColumnOutgroupSubheading">
    <w:name w:val="Table Column Outgroup Subheading"/>
    <w:basedOn w:val="Normal"/>
    <w:rsid w:val="007B0643"/>
    <w:pPr>
      <w:spacing w:before="60" w:after="120" w:line="240" w:lineRule="auto"/>
      <w:jc w:val="center"/>
    </w:pPr>
  </w:style>
  <w:style w:type="paragraph" w:customStyle="1" w:styleId="TableTextBullet">
    <w:name w:val="Table Text Bullet"/>
    <w:basedOn w:val="TableTextBase"/>
    <w:rsid w:val="007B0643"/>
    <w:pPr>
      <w:numPr>
        <w:numId w:val="9"/>
      </w:numPr>
    </w:pPr>
  </w:style>
  <w:style w:type="paragraph" w:customStyle="1" w:styleId="Exampletextdash">
    <w:name w:val="Example text dash"/>
    <w:basedOn w:val="Exampletextbullet"/>
    <w:semiHidden/>
    <w:rsid w:val="007B0643"/>
    <w:pPr>
      <w:numPr>
        <w:ilvl w:val="1"/>
      </w:numPr>
    </w:pPr>
  </w:style>
  <w:style w:type="character" w:customStyle="1" w:styleId="TableTextLeftChar">
    <w:name w:val="Table Text Left Char"/>
    <w:link w:val="TableTextLeft"/>
    <w:rsid w:val="007B0643"/>
    <w:rPr>
      <w:rFonts w:ascii="Arial" w:eastAsia="Times New Roman" w:hAnsi="Arial" w:cs="Times New Roman"/>
      <w:sz w:val="16"/>
      <w:szCs w:val="20"/>
      <w:lang w:val="en-AU" w:eastAsia="en-AU"/>
    </w:rPr>
  </w:style>
  <w:style w:type="paragraph" w:customStyle="1" w:styleId="TableTextDash">
    <w:name w:val="Table Text Dash"/>
    <w:basedOn w:val="TableTextBase"/>
    <w:rsid w:val="007B0643"/>
    <w:pPr>
      <w:numPr>
        <w:ilvl w:val="1"/>
        <w:numId w:val="9"/>
      </w:numPr>
    </w:pPr>
  </w:style>
  <w:style w:type="character" w:customStyle="1" w:styleId="BulletChar">
    <w:name w:val="Bullet Char"/>
    <w:link w:val="Bullet"/>
    <w:rsid w:val="007B0643"/>
    <w:rPr>
      <w:rFonts w:ascii="Book Antiqua" w:eastAsia="Times New Roman" w:hAnsi="Book Antiqua" w:cs="Times New Roman"/>
      <w:sz w:val="19"/>
      <w:szCs w:val="20"/>
      <w:lang w:val="en-AU" w:eastAsia="en-AU"/>
    </w:rPr>
  </w:style>
  <w:style w:type="paragraph" w:customStyle="1" w:styleId="BoxTextBase">
    <w:name w:val="Box Text Base"/>
    <w:basedOn w:val="Normal"/>
    <w:rsid w:val="007B0643"/>
    <w:pPr>
      <w:spacing w:after="120"/>
    </w:pPr>
    <w:rPr>
      <w:color w:val="000000"/>
    </w:rPr>
  </w:style>
  <w:style w:type="paragraph" w:customStyle="1" w:styleId="BoxDash">
    <w:name w:val="Box Dash"/>
    <w:basedOn w:val="Normal"/>
    <w:rsid w:val="007B0643"/>
    <w:pPr>
      <w:numPr>
        <w:ilvl w:val="1"/>
        <w:numId w:val="10"/>
      </w:numPr>
    </w:pPr>
    <w:rPr>
      <w:color w:val="000000"/>
    </w:rPr>
  </w:style>
  <w:style w:type="paragraph" w:customStyle="1" w:styleId="BoxDoubleDot">
    <w:name w:val="Box Double Dot"/>
    <w:basedOn w:val="BoxTextBase"/>
    <w:rsid w:val="007B0643"/>
    <w:pPr>
      <w:numPr>
        <w:ilvl w:val="2"/>
        <w:numId w:val="10"/>
      </w:numPr>
    </w:pPr>
  </w:style>
  <w:style w:type="paragraph" w:customStyle="1" w:styleId="Outcome">
    <w:name w:val="Outcome"/>
    <w:basedOn w:val="Normal"/>
    <w:rsid w:val="007B0643"/>
    <w:pPr>
      <w:spacing w:before="120" w:after="120" w:line="280" w:lineRule="exact"/>
    </w:pPr>
    <w:rPr>
      <w:rFonts w:ascii="Arial" w:hAnsi="Arial" w:cs="Arial"/>
      <w:b/>
    </w:rPr>
  </w:style>
  <w:style w:type="paragraph" w:customStyle="1" w:styleId="ProgramHeading">
    <w:name w:val="Program Heading"/>
    <w:basedOn w:val="HeadingBase"/>
    <w:rsid w:val="007B0643"/>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7B0643"/>
  </w:style>
  <w:style w:type="character" w:customStyle="1" w:styleId="Heading3Char">
    <w:name w:val="Heading 3 Char"/>
    <w:basedOn w:val="DefaultParagraphFont"/>
    <w:link w:val="Heading3"/>
    <w:rsid w:val="007B0643"/>
    <w:rPr>
      <w:rFonts w:ascii="Arial Bold" w:eastAsia="Times New Roman" w:hAnsi="Arial Bold" w:cs="Times New Roman"/>
      <w:b/>
      <w:szCs w:val="20"/>
      <w:lang w:val="en-AU" w:eastAsia="en-AU"/>
    </w:rPr>
  </w:style>
  <w:style w:type="paragraph" w:customStyle="1" w:styleId="ExampleText0">
    <w:name w:val="Example Text"/>
    <w:basedOn w:val="Normal"/>
    <w:semiHidden/>
    <w:rsid w:val="007B0643"/>
    <w:rPr>
      <w:i/>
      <w:color w:val="FF0000"/>
    </w:rPr>
  </w:style>
  <w:style w:type="paragraph" w:styleId="NoSpacing">
    <w:name w:val="No Spacing"/>
    <w:uiPriority w:val="1"/>
    <w:qFormat/>
    <w:rsid w:val="007B0643"/>
    <w:pPr>
      <w:widowControl/>
      <w:autoSpaceDE/>
      <w:autoSpaceDN/>
    </w:pPr>
    <w:rPr>
      <w:rFonts w:ascii="Book Antiqua" w:eastAsia="Times New Roman" w:hAnsi="Book Antiqua" w:cs="Times New Roman"/>
      <w:sz w:val="19"/>
      <w:szCs w:val="20"/>
      <w:lang w:val="en-AU" w:eastAsia="en-AU"/>
    </w:rPr>
  </w:style>
  <w:style w:type="character" w:customStyle="1" w:styleId="A5">
    <w:name w:val="A5"/>
    <w:uiPriority w:val="99"/>
    <w:rsid w:val="007B0643"/>
    <w:rPr>
      <w:rFonts w:ascii="Swiss 721 BT" w:hAnsi="Swiss 721 BT" w:cs="Swiss 721 BT" w:hint="default"/>
      <w:color w:val="000000"/>
      <w:sz w:val="20"/>
      <w:szCs w:val="20"/>
    </w:rPr>
  </w:style>
  <w:style w:type="character" w:styleId="Strong">
    <w:name w:val="Strong"/>
    <w:basedOn w:val="DefaultParagraphFont"/>
    <w:uiPriority w:val="22"/>
    <w:qFormat/>
    <w:rsid w:val="007B0643"/>
    <w:rPr>
      <w:b/>
      <w:bCs/>
    </w:rPr>
  </w:style>
  <w:style w:type="paragraph" w:customStyle="1" w:styleId="Heading2NoTOC">
    <w:name w:val="Heading 2 No TOC"/>
    <w:basedOn w:val="Heading2"/>
    <w:qFormat/>
    <w:rsid w:val="007B0643"/>
    <w:pPr>
      <w:outlineLvl w:val="9"/>
    </w:pPr>
  </w:style>
  <w:style w:type="paragraph" w:styleId="NoteHeading">
    <w:name w:val="Note Heading"/>
    <w:basedOn w:val="Normal"/>
    <w:next w:val="Normal"/>
    <w:link w:val="NoteHeadingChar"/>
    <w:rsid w:val="007B0643"/>
  </w:style>
  <w:style w:type="character" w:customStyle="1" w:styleId="NoteHeadingChar">
    <w:name w:val="Note Heading Char"/>
    <w:basedOn w:val="DefaultParagraphFont"/>
    <w:link w:val="NoteHeading"/>
    <w:rsid w:val="007B0643"/>
    <w:rPr>
      <w:rFonts w:ascii="Book Antiqua" w:eastAsia="Times New Roman" w:hAnsi="Book Antiqua" w:cs="Times New Roman"/>
      <w:sz w:val="19"/>
      <w:szCs w:val="20"/>
      <w:lang w:val="en-AU" w:eastAsia="en-AU"/>
    </w:rPr>
  </w:style>
  <w:style w:type="paragraph" w:customStyle="1" w:styleId="SecurityClassificationHeader">
    <w:name w:val="Security Classification Header"/>
    <w:link w:val="SecurityClassificationHeaderChar"/>
    <w:rsid w:val="007B0643"/>
    <w:pPr>
      <w:widowControl/>
      <w:autoSpaceDE/>
      <w:autoSpaceDN/>
      <w:spacing w:before="240" w:after="6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HeaderChar">
    <w:name w:val="Security Classification Header Char"/>
    <w:basedOn w:val="HeaderChar"/>
    <w:link w:val="SecurityClassificationHeader"/>
    <w:rsid w:val="007B0643"/>
    <w:rPr>
      <w:rFonts w:ascii="Calibri" w:eastAsia="Times New Roman" w:hAnsi="Calibri" w:cs="Calibri"/>
      <w:b/>
      <w:caps/>
      <w:color w:val="1F497D" w:themeColor="text2"/>
      <w:sz w:val="24"/>
      <w:szCs w:val="20"/>
      <w:lang w:val="en-AU" w:eastAsia="en-AU"/>
    </w:rPr>
  </w:style>
  <w:style w:type="paragraph" w:customStyle="1" w:styleId="SecurityClassificationFooter">
    <w:name w:val="Security Classification Footer"/>
    <w:link w:val="SecurityClassificationFooterChar"/>
    <w:rsid w:val="007B0643"/>
    <w:pPr>
      <w:widowControl/>
      <w:autoSpaceDE/>
      <w:autoSpaceDN/>
      <w:spacing w:before="60" w:after="24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FooterChar">
    <w:name w:val="Security Classification Footer Char"/>
    <w:basedOn w:val="HeaderChar"/>
    <w:link w:val="SecurityClassificationFooter"/>
    <w:rsid w:val="007B0643"/>
    <w:rPr>
      <w:rFonts w:ascii="Calibri" w:eastAsia="Times New Roman" w:hAnsi="Calibri" w:cs="Calibri"/>
      <w:b/>
      <w:caps/>
      <w:color w:val="1F497D" w:themeColor="text2"/>
      <w:sz w:val="24"/>
      <w:szCs w:val="20"/>
      <w:lang w:val="en-AU" w:eastAsia="en-AU"/>
    </w:rPr>
  </w:style>
  <w:style w:type="paragraph" w:customStyle="1" w:styleId="DLMSecurityHeader">
    <w:name w:val="DLM Security Header"/>
    <w:link w:val="DLMSecurityHeaderChar"/>
    <w:rsid w:val="007B0643"/>
    <w:pPr>
      <w:widowControl/>
      <w:autoSpaceDE/>
      <w:autoSpaceDN/>
      <w:spacing w:before="60" w:after="24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HeaderChar">
    <w:name w:val="DLM Security Header Char"/>
    <w:basedOn w:val="HeaderChar"/>
    <w:link w:val="DLMSecurityHeader"/>
    <w:rsid w:val="007B0643"/>
    <w:rPr>
      <w:rFonts w:ascii="Calibri" w:eastAsia="Times New Roman" w:hAnsi="Calibri" w:cs="Calibri"/>
      <w:b/>
      <w:caps/>
      <w:color w:val="1F497D" w:themeColor="text2"/>
      <w:sz w:val="24"/>
      <w:szCs w:val="20"/>
      <w:lang w:val="x-none" w:eastAsia="en-AU"/>
    </w:rPr>
  </w:style>
  <w:style w:type="paragraph" w:customStyle="1" w:styleId="DLMSecurityFooter">
    <w:name w:val="DLM Security Footer"/>
    <w:link w:val="DLMSecurityFooterChar"/>
    <w:rsid w:val="007B0643"/>
    <w:pPr>
      <w:widowControl/>
      <w:autoSpaceDE/>
      <w:autoSpaceDN/>
      <w:spacing w:before="240" w:after="6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FooterChar">
    <w:name w:val="DLM Security Footer Char"/>
    <w:basedOn w:val="HeaderChar"/>
    <w:link w:val="DLMSecurityFooter"/>
    <w:rsid w:val="007B0643"/>
    <w:rPr>
      <w:rFonts w:ascii="Calibri" w:eastAsia="Times New Roman" w:hAnsi="Calibri" w:cs="Calibri"/>
      <w:b/>
      <w:caps/>
      <w:color w:val="1F497D" w:themeColor="text2"/>
      <w:sz w:val="24"/>
      <w:szCs w:val="20"/>
      <w:lang w:val="x-none" w:eastAsia="en-AU"/>
    </w:rPr>
  </w:style>
  <w:style w:type="paragraph" w:customStyle="1" w:styleId="ChartandTableFootnoteAlpha-Bullet">
    <w:name w:val="Chart and Table Footnote Alpha - Bullet"/>
    <w:basedOn w:val="ChartandTableFootnoteAlpha"/>
    <w:rsid w:val="007B0643"/>
    <w:pPr>
      <w:numPr>
        <w:numId w:val="11"/>
      </w:numPr>
      <w:tabs>
        <w:tab w:val="left" w:pos="454"/>
      </w:tabs>
      <w:ind w:left="454" w:hanging="170"/>
    </w:pPr>
    <w:rPr>
      <w:rFonts w:cs="Arial"/>
      <w:szCs w:val="16"/>
    </w:rPr>
  </w:style>
  <w:style w:type="paragraph" w:customStyle="1" w:styleId="ChartandTableFootnote-Dash">
    <w:name w:val="Chart and Table Footnote - Dash"/>
    <w:basedOn w:val="Normal"/>
    <w:rsid w:val="007B0643"/>
    <w:pPr>
      <w:tabs>
        <w:tab w:val="left" w:pos="680"/>
      </w:tabs>
      <w:spacing w:after="0" w:line="240" w:lineRule="auto"/>
      <w:ind w:left="681" w:hanging="397"/>
    </w:pPr>
    <w:rPr>
      <w:rFonts w:ascii="Arial" w:hAnsi="Arial"/>
      <w:sz w:val="16"/>
    </w:rPr>
  </w:style>
  <w:style w:type="paragraph" w:customStyle="1" w:styleId="Box-continuedon">
    <w:name w:val="Box - continued on"/>
    <w:basedOn w:val="Normal"/>
    <w:qFormat/>
    <w:rsid w:val="007B0643"/>
    <w:pPr>
      <w:jc w:val="right"/>
    </w:pPr>
    <w:rPr>
      <w:rFonts w:asciiTheme="majorHAnsi" w:hAnsiTheme="majorHAnsi" w:cstheme="majorHAnsi"/>
      <w:i/>
      <w:iCs/>
      <w:szCs w:val="24"/>
    </w:rPr>
  </w:style>
  <w:style w:type="character" w:customStyle="1" w:styleId="BoxHeading-Continued">
    <w:name w:val="Box Heading - Continued"/>
    <w:uiPriority w:val="1"/>
    <w:qFormat/>
    <w:rsid w:val="007B0643"/>
    <w:rPr>
      <w:sz w:val="22"/>
    </w:rPr>
  </w:style>
  <w:style w:type="character" w:customStyle="1" w:styleId="Heading6Char">
    <w:name w:val="Heading 6 Char"/>
    <w:basedOn w:val="DefaultParagraphFont"/>
    <w:link w:val="Heading6"/>
    <w:rsid w:val="007B0643"/>
    <w:rPr>
      <w:rFonts w:ascii="Arial" w:eastAsia="Times New Roman" w:hAnsi="Arial" w:cs="Times New Roman"/>
      <w:bCs/>
      <w:sz w:val="20"/>
      <w:lang w:val="en-AU" w:eastAsia="en-AU"/>
    </w:rPr>
  </w:style>
  <w:style w:type="paragraph" w:customStyle="1" w:styleId="BoxSubHeading">
    <w:name w:val="Box Sub Heading"/>
    <w:basedOn w:val="Heading6"/>
    <w:rsid w:val="007B0643"/>
    <w:pPr>
      <w:spacing w:before="120" w:after="40"/>
    </w:pPr>
  </w:style>
  <w:style w:type="paragraph" w:customStyle="1" w:styleId="ChartHeading">
    <w:name w:val="Chart Heading"/>
    <w:basedOn w:val="HeadingBase"/>
    <w:next w:val="ChartGraphic"/>
    <w:qFormat/>
    <w:rsid w:val="007B0643"/>
    <w:pPr>
      <w:spacing w:before="120" w:after="20"/>
    </w:pPr>
    <w:rPr>
      <w:b/>
      <w:sz w:val="20"/>
    </w:rPr>
  </w:style>
  <w:style w:type="paragraph" w:customStyle="1" w:styleId="ChartLine">
    <w:name w:val="Chart Line"/>
    <w:basedOn w:val="NoSpacing"/>
    <w:autoRedefine/>
    <w:qFormat/>
    <w:rsid w:val="007B0643"/>
    <w:pPr>
      <w:pBdr>
        <w:bottom w:val="single" w:sz="4" w:space="2" w:color="DDD9C3" w:themeColor="background2" w:themeShade="E6"/>
      </w:pBdr>
      <w:spacing w:after="240"/>
    </w:pPr>
    <w:rPr>
      <w:rFonts w:asciiTheme="minorHAnsi" w:hAnsiTheme="minorHAnsi"/>
      <w:noProof/>
      <w:sz w:val="4"/>
      <w:szCs w:val="4"/>
    </w:rPr>
  </w:style>
  <w:style w:type="character" w:customStyle="1" w:styleId="Heading1Char">
    <w:name w:val="Heading 1 Char"/>
    <w:basedOn w:val="DefaultParagraphFont"/>
    <w:link w:val="Heading1"/>
    <w:rsid w:val="007B0643"/>
    <w:rPr>
      <w:rFonts w:ascii="Arial Bold" w:eastAsia="Times New Roman" w:hAnsi="Arial Bold" w:cs="Times New Roman"/>
      <w:b/>
      <w:kern w:val="34"/>
      <w:sz w:val="36"/>
      <w:szCs w:val="20"/>
      <w:lang w:val="en-AU" w:eastAsia="en-AU"/>
    </w:rPr>
  </w:style>
  <w:style w:type="character" w:customStyle="1" w:styleId="Heading2Char">
    <w:name w:val="Heading 2 Char"/>
    <w:basedOn w:val="DefaultParagraphFont"/>
    <w:link w:val="Heading2"/>
    <w:rsid w:val="007B0643"/>
    <w:rPr>
      <w:rFonts w:ascii="Arial Bold" w:eastAsia="Times New Roman" w:hAnsi="Arial Bold" w:cs="Times New Roman"/>
      <w:b/>
      <w:sz w:val="26"/>
      <w:szCs w:val="20"/>
      <w:lang w:val="en-AU" w:eastAsia="en-AU"/>
    </w:rPr>
  </w:style>
  <w:style w:type="paragraph" w:customStyle="1" w:styleId="Heading3noTOC">
    <w:name w:val="Heading 3 no TOC"/>
    <w:basedOn w:val="Heading3"/>
    <w:rsid w:val="007B0643"/>
    <w:pPr>
      <w:outlineLvl w:val="9"/>
    </w:pPr>
  </w:style>
  <w:style w:type="character" w:customStyle="1" w:styleId="Heading4Char">
    <w:name w:val="Heading 4 Char"/>
    <w:basedOn w:val="DefaultParagraphFont"/>
    <w:link w:val="Heading4"/>
    <w:rsid w:val="007B0643"/>
    <w:rPr>
      <w:rFonts w:ascii="Arial Bold" w:eastAsia="Times New Roman" w:hAnsi="Arial Bold" w:cs="Times New Roman"/>
      <w:b/>
      <w:sz w:val="20"/>
      <w:szCs w:val="20"/>
      <w:lang w:val="en-AU" w:eastAsia="en-AU"/>
    </w:rPr>
  </w:style>
  <w:style w:type="character" w:customStyle="1" w:styleId="Heading5Char">
    <w:name w:val="Heading 5 Char"/>
    <w:basedOn w:val="DefaultParagraphFont"/>
    <w:link w:val="Heading5"/>
    <w:rsid w:val="007B0643"/>
    <w:rPr>
      <w:rFonts w:ascii="Arial" w:eastAsia="Times New Roman" w:hAnsi="Arial" w:cs="Times New Roman"/>
      <w:bCs/>
      <w:i/>
      <w:iCs/>
      <w:sz w:val="20"/>
      <w:szCs w:val="26"/>
      <w:lang w:val="en-AU" w:eastAsia="en-AU"/>
    </w:rPr>
  </w:style>
  <w:style w:type="character" w:customStyle="1" w:styleId="Heading7Char">
    <w:name w:val="Heading 7 Char"/>
    <w:basedOn w:val="DefaultParagraphFont"/>
    <w:link w:val="Heading7"/>
    <w:rsid w:val="007B0643"/>
    <w:rPr>
      <w:rFonts w:ascii="Arial" w:eastAsia="Times New Roman" w:hAnsi="Arial" w:cs="Times New Roman"/>
      <w:sz w:val="20"/>
      <w:szCs w:val="24"/>
      <w:lang w:val="en-AU" w:eastAsia="en-AU"/>
    </w:rPr>
  </w:style>
  <w:style w:type="paragraph" w:customStyle="1" w:styleId="Statement">
    <w:name w:val="Statement"/>
    <w:basedOn w:val="Normal"/>
    <w:autoRedefine/>
    <w:qFormat/>
    <w:rsid w:val="007B0643"/>
    <w:pPr>
      <w:textboxTightWrap w:val="firstAndLastLine"/>
    </w:pPr>
    <w:rPr>
      <w:rFonts w:cstheme="minorHAnsi"/>
      <w:kern w:val="18"/>
      <w:sz w:val="18"/>
    </w:rPr>
  </w:style>
  <w:style w:type="paragraph" w:customStyle="1" w:styleId="Statement-Bullet">
    <w:name w:val="Statement - Bullet"/>
    <w:basedOn w:val="Bullet"/>
    <w:qFormat/>
    <w:rsid w:val="007B0643"/>
    <w:pPr>
      <w:ind w:left="284" w:hanging="284"/>
    </w:pPr>
  </w:style>
  <w:style w:type="paragraph" w:customStyle="1" w:styleId="TableLine">
    <w:name w:val="Table Line"/>
    <w:basedOn w:val="Normal"/>
    <w:next w:val="Normal"/>
    <w:autoRedefine/>
    <w:rsid w:val="007B0643"/>
    <w:pPr>
      <w:pBdr>
        <w:bottom w:val="single" w:sz="4" w:space="2" w:color="DDD9C3" w:themeColor="background2" w:themeShade="E6"/>
      </w:pBdr>
      <w:spacing w:line="240" w:lineRule="auto"/>
    </w:pPr>
    <w:rPr>
      <w:noProof/>
      <w:sz w:val="4"/>
      <w:szCs w:val="4"/>
    </w:rPr>
  </w:style>
  <w:style w:type="paragraph" w:customStyle="1" w:styleId="TPHeading3bold">
    <w:name w:val="TP Heading 3 bold"/>
    <w:basedOn w:val="TPHeading3"/>
    <w:semiHidden/>
    <w:rsid w:val="007B0643"/>
    <w:rPr>
      <w:rFonts w:cs="Arial"/>
      <w:b/>
      <w:sz w:val="22"/>
      <w:szCs w:val="22"/>
    </w:rPr>
  </w:style>
  <w:style w:type="paragraph" w:customStyle="1" w:styleId="TPHEADING3boldspace">
    <w:name w:val="TP HEADING 3 bold space"/>
    <w:basedOn w:val="TPHeading3bold"/>
    <w:semiHidden/>
    <w:rsid w:val="007B0643"/>
    <w:pPr>
      <w:spacing w:after="120"/>
    </w:pPr>
  </w:style>
  <w:style w:type="paragraph" w:customStyle="1" w:styleId="TPHEADING3space">
    <w:name w:val="TP HEADING 3 space"/>
    <w:basedOn w:val="TPHeading3"/>
    <w:semiHidden/>
    <w:rsid w:val="007B0643"/>
    <w:pPr>
      <w:spacing w:before="120" w:after="120"/>
    </w:pPr>
    <w:rPr>
      <w:rFonts w:cs="Arial"/>
      <w:sz w:val="22"/>
      <w:szCs w:val="22"/>
    </w:rPr>
  </w:style>
  <w:style w:type="paragraph" w:customStyle="1" w:styleId="TPHeading4">
    <w:name w:val="TP Heading 4"/>
    <w:basedOn w:val="TPHeading3"/>
    <w:semiHidden/>
    <w:rsid w:val="007B0643"/>
    <w:rPr>
      <w:sz w:val="20"/>
    </w:rPr>
  </w:style>
  <w:style w:type="paragraph" w:customStyle="1" w:styleId="TPHEADING4space">
    <w:name w:val="TP HEADING 4 space"/>
    <w:basedOn w:val="TPHEADING3space"/>
    <w:semiHidden/>
    <w:rsid w:val="007B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100">
      <w:bodyDiv w:val="1"/>
      <w:marLeft w:val="0"/>
      <w:marRight w:val="0"/>
      <w:marTop w:val="0"/>
      <w:marBottom w:val="0"/>
      <w:divBdr>
        <w:top w:val="none" w:sz="0" w:space="0" w:color="auto"/>
        <w:left w:val="none" w:sz="0" w:space="0" w:color="auto"/>
        <w:bottom w:val="none" w:sz="0" w:space="0" w:color="auto"/>
        <w:right w:val="none" w:sz="0" w:space="0" w:color="auto"/>
      </w:divBdr>
    </w:div>
    <w:div w:id="26610405">
      <w:bodyDiv w:val="1"/>
      <w:marLeft w:val="0"/>
      <w:marRight w:val="0"/>
      <w:marTop w:val="0"/>
      <w:marBottom w:val="0"/>
      <w:divBdr>
        <w:top w:val="none" w:sz="0" w:space="0" w:color="auto"/>
        <w:left w:val="none" w:sz="0" w:space="0" w:color="auto"/>
        <w:bottom w:val="none" w:sz="0" w:space="0" w:color="auto"/>
        <w:right w:val="none" w:sz="0" w:space="0" w:color="auto"/>
      </w:divBdr>
    </w:div>
    <w:div w:id="98765899">
      <w:bodyDiv w:val="1"/>
      <w:marLeft w:val="0"/>
      <w:marRight w:val="0"/>
      <w:marTop w:val="0"/>
      <w:marBottom w:val="0"/>
      <w:divBdr>
        <w:top w:val="none" w:sz="0" w:space="0" w:color="auto"/>
        <w:left w:val="none" w:sz="0" w:space="0" w:color="auto"/>
        <w:bottom w:val="none" w:sz="0" w:space="0" w:color="auto"/>
        <w:right w:val="none" w:sz="0" w:space="0" w:color="auto"/>
      </w:divBdr>
    </w:div>
    <w:div w:id="102652275">
      <w:bodyDiv w:val="1"/>
      <w:marLeft w:val="0"/>
      <w:marRight w:val="0"/>
      <w:marTop w:val="0"/>
      <w:marBottom w:val="0"/>
      <w:divBdr>
        <w:top w:val="none" w:sz="0" w:space="0" w:color="auto"/>
        <w:left w:val="none" w:sz="0" w:space="0" w:color="auto"/>
        <w:bottom w:val="none" w:sz="0" w:space="0" w:color="auto"/>
        <w:right w:val="none" w:sz="0" w:space="0" w:color="auto"/>
      </w:divBdr>
    </w:div>
    <w:div w:id="134294512">
      <w:bodyDiv w:val="1"/>
      <w:marLeft w:val="0"/>
      <w:marRight w:val="0"/>
      <w:marTop w:val="0"/>
      <w:marBottom w:val="0"/>
      <w:divBdr>
        <w:top w:val="none" w:sz="0" w:space="0" w:color="auto"/>
        <w:left w:val="none" w:sz="0" w:space="0" w:color="auto"/>
        <w:bottom w:val="none" w:sz="0" w:space="0" w:color="auto"/>
        <w:right w:val="none" w:sz="0" w:space="0" w:color="auto"/>
      </w:divBdr>
    </w:div>
    <w:div w:id="140660902">
      <w:bodyDiv w:val="1"/>
      <w:marLeft w:val="0"/>
      <w:marRight w:val="0"/>
      <w:marTop w:val="0"/>
      <w:marBottom w:val="0"/>
      <w:divBdr>
        <w:top w:val="none" w:sz="0" w:space="0" w:color="auto"/>
        <w:left w:val="none" w:sz="0" w:space="0" w:color="auto"/>
        <w:bottom w:val="none" w:sz="0" w:space="0" w:color="auto"/>
        <w:right w:val="none" w:sz="0" w:space="0" w:color="auto"/>
      </w:divBdr>
    </w:div>
    <w:div w:id="159736419">
      <w:bodyDiv w:val="1"/>
      <w:marLeft w:val="0"/>
      <w:marRight w:val="0"/>
      <w:marTop w:val="0"/>
      <w:marBottom w:val="0"/>
      <w:divBdr>
        <w:top w:val="none" w:sz="0" w:space="0" w:color="auto"/>
        <w:left w:val="none" w:sz="0" w:space="0" w:color="auto"/>
        <w:bottom w:val="none" w:sz="0" w:space="0" w:color="auto"/>
        <w:right w:val="none" w:sz="0" w:space="0" w:color="auto"/>
      </w:divBdr>
    </w:div>
    <w:div w:id="231500961">
      <w:bodyDiv w:val="1"/>
      <w:marLeft w:val="0"/>
      <w:marRight w:val="0"/>
      <w:marTop w:val="0"/>
      <w:marBottom w:val="0"/>
      <w:divBdr>
        <w:top w:val="none" w:sz="0" w:space="0" w:color="auto"/>
        <w:left w:val="none" w:sz="0" w:space="0" w:color="auto"/>
        <w:bottom w:val="none" w:sz="0" w:space="0" w:color="auto"/>
        <w:right w:val="none" w:sz="0" w:space="0" w:color="auto"/>
      </w:divBdr>
    </w:div>
    <w:div w:id="315839418">
      <w:bodyDiv w:val="1"/>
      <w:marLeft w:val="0"/>
      <w:marRight w:val="0"/>
      <w:marTop w:val="0"/>
      <w:marBottom w:val="0"/>
      <w:divBdr>
        <w:top w:val="none" w:sz="0" w:space="0" w:color="auto"/>
        <w:left w:val="none" w:sz="0" w:space="0" w:color="auto"/>
        <w:bottom w:val="none" w:sz="0" w:space="0" w:color="auto"/>
        <w:right w:val="none" w:sz="0" w:space="0" w:color="auto"/>
      </w:divBdr>
    </w:div>
    <w:div w:id="340620367">
      <w:bodyDiv w:val="1"/>
      <w:marLeft w:val="0"/>
      <w:marRight w:val="0"/>
      <w:marTop w:val="0"/>
      <w:marBottom w:val="0"/>
      <w:divBdr>
        <w:top w:val="none" w:sz="0" w:space="0" w:color="auto"/>
        <w:left w:val="none" w:sz="0" w:space="0" w:color="auto"/>
        <w:bottom w:val="none" w:sz="0" w:space="0" w:color="auto"/>
        <w:right w:val="none" w:sz="0" w:space="0" w:color="auto"/>
      </w:divBdr>
    </w:div>
    <w:div w:id="351540715">
      <w:bodyDiv w:val="1"/>
      <w:marLeft w:val="0"/>
      <w:marRight w:val="0"/>
      <w:marTop w:val="0"/>
      <w:marBottom w:val="0"/>
      <w:divBdr>
        <w:top w:val="none" w:sz="0" w:space="0" w:color="auto"/>
        <w:left w:val="none" w:sz="0" w:space="0" w:color="auto"/>
        <w:bottom w:val="none" w:sz="0" w:space="0" w:color="auto"/>
        <w:right w:val="none" w:sz="0" w:space="0" w:color="auto"/>
      </w:divBdr>
    </w:div>
    <w:div w:id="362443716">
      <w:bodyDiv w:val="1"/>
      <w:marLeft w:val="0"/>
      <w:marRight w:val="0"/>
      <w:marTop w:val="0"/>
      <w:marBottom w:val="0"/>
      <w:divBdr>
        <w:top w:val="none" w:sz="0" w:space="0" w:color="auto"/>
        <w:left w:val="none" w:sz="0" w:space="0" w:color="auto"/>
        <w:bottom w:val="none" w:sz="0" w:space="0" w:color="auto"/>
        <w:right w:val="none" w:sz="0" w:space="0" w:color="auto"/>
      </w:divBdr>
    </w:div>
    <w:div w:id="397870806">
      <w:bodyDiv w:val="1"/>
      <w:marLeft w:val="0"/>
      <w:marRight w:val="0"/>
      <w:marTop w:val="0"/>
      <w:marBottom w:val="0"/>
      <w:divBdr>
        <w:top w:val="none" w:sz="0" w:space="0" w:color="auto"/>
        <w:left w:val="none" w:sz="0" w:space="0" w:color="auto"/>
        <w:bottom w:val="none" w:sz="0" w:space="0" w:color="auto"/>
        <w:right w:val="none" w:sz="0" w:space="0" w:color="auto"/>
      </w:divBdr>
    </w:div>
    <w:div w:id="417867616">
      <w:bodyDiv w:val="1"/>
      <w:marLeft w:val="0"/>
      <w:marRight w:val="0"/>
      <w:marTop w:val="0"/>
      <w:marBottom w:val="0"/>
      <w:divBdr>
        <w:top w:val="none" w:sz="0" w:space="0" w:color="auto"/>
        <w:left w:val="none" w:sz="0" w:space="0" w:color="auto"/>
        <w:bottom w:val="none" w:sz="0" w:space="0" w:color="auto"/>
        <w:right w:val="none" w:sz="0" w:space="0" w:color="auto"/>
      </w:divBdr>
    </w:div>
    <w:div w:id="445808398">
      <w:bodyDiv w:val="1"/>
      <w:marLeft w:val="0"/>
      <w:marRight w:val="0"/>
      <w:marTop w:val="0"/>
      <w:marBottom w:val="0"/>
      <w:divBdr>
        <w:top w:val="none" w:sz="0" w:space="0" w:color="auto"/>
        <w:left w:val="none" w:sz="0" w:space="0" w:color="auto"/>
        <w:bottom w:val="none" w:sz="0" w:space="0" w:color="auto"/>
        <w:right w:val="none" w:sz="0" w:space="0" w:color="auto"/>
      </w:divBdr>
    </w:div>
    <w:div w:id="496725037">
      <w:bodyDiv w:val="1"/>
      <w:marLeft w:val="0"/>
      <w:marRight w:val="0"/>
      <w:marTop w:val="0"/>
      <w:marBottom w:val="0"/>
      <w:divBdr>
        <w:top w:val="none" w:sz="0" w:space="0" w:color="auto"/>
        <w:left w:val="none" w:sz="0" w:space="0" w:color="auto"/>
        <w:bottom w:val="none" w:sz="0" w:space="0" w:color="auto"/>
        <w:right w:val="none" w:sz="0" w:space="0" w:color="auto"/>
      </w:divBdr>
    </w:div>
    <w:div w:id="556090035">
      <w:bodyDiv w:val="1"/>
      <w:marLeft w:val="0"/>
      <w:marRight w:val="0"/>
      <w:marTop w:val="0"/>
      <w:marBottom w:val="0"/>
      <w:divBdr>
        <w:top w:val="none" w:sz="0" w:space="0" w:color="auto"/>
        <w:left w:val="none" w:sz="0" w:space="0" w:color="auto"/>
        <w:bottom w:val="none" w:sz="0" w:space="0" w:color="auto"/>
        <w:right w:val="none" w:sz="0" w:space="0" w:color="auto"/>
      </w:divBdr>
    </w:div>
    <w:div w:id="604656868">
      <w:bodyDiv w:val="1"/>
      <w:marLeft w:val="0"/>
      <w:marRight w:val="0"/>
      <w:marTop w:val="0"/>
      <w:marBottom w:val="0"/>
      <w:divBdr>
        <w:top w:val="none" w:sz="0" w:space="0" w:color="auto"/>
        <w:left w:val="none" w:sz="0" w:space="0" w:color="auto"/>
        <w:bottom w:val="none" w:sz="0" w:space="0" w:color="auto"/>
        <w:right w:val="none" w:sz="0" w:space="0" w:color="auto"/>
      </w:divBdr>
    </w:div>
    <w:div w:id="646126949">
      <w:bodyDiv w:val="1"/>
      <w:marLeft w:val="0"/>
      <w:marRight w:val="0"/>
      <w:marTop w:val="0"/>
      <w:marBottom w:val="0"/>
      <w:divBdr>
        <w:top w:val="none" w:sz="0" w:space="0" w:color="auto"/>
        <w:left w:val="none" w:sz="0" w:space="0" w:color="auto"/>
        <w:bottom w:val="none" w:sz="0" w:space="0" w:color="auto"/>
        <w:right w:val="none" w:sz="0" w:space="0" w:color="auto"/>
      </w:divBdr>
    </w:div>
    <w:div w:id="683898472">
      <w:bodyDiv w:val="1"/>
      <w:marLeft w:val="0"/>
      <w:marRight w:val="0"/>
      <w:marTop w:val="0"/>
      <w:marBottom w:val="0"/>
      <w:divBdr>
        <w:top w:val="none" w:sz="0" w:space="0" w:color="auto"/>
        <w:left w:val="none" w:sz="0" w:space="0" w:color="auto"/>
        <w:bottom w:val="none" w:sz="0" w:space="0" w:color="auto"/>
        <w:right w:val="none" w:sz="0" w:space="0" w:color="auto"/>
      </w:divBdr>
    </w:div>
    <w:div w:id="695271513">
      <w:bodyDiv w:val="1"/>
      <w:marLeft w:val="0"/>
      <w:marRight w:val="0"/>
      <w:marTop w:val="0"/>
      <w:marBottom w:val="0"/>
      <w:divBdr>
        <w:top w:val="none" w:sz="0" w:space="0" w:color="auto"/>
        <w:left w:val="none" w:sz="0" w:space="0" w:color="auto"/>
        <w:bottom w:val="none" w:sz="0" w:space="0" w:color="auto"/>
        <w:right w:val="none" w:sz="0" w:space="0" w:color="auto"/>
      </w:divBdr>
    </w:div>
    <w:div w:id="700857515">
      <w:bodyDiv w:val="1"/>
      <w:marLeft w:val="0"/>
      <w:marRight w:val="0"/>
      <w:marTop w:val="0"/>
      <w:marBottom w:val="0"/>
      <w:divBdr>
        <w:top w:val="none" w:sz="0" w:space="0" w:color="auto"/>
        <w:left w:val="none" w:sz="0" w:space="0" w:color="auto"/>
        <w:bottom w:val="none" w:sz="0" w:space="0" w:color="auto"/>
        <w:right w:val="none" w:sz="0" w:space="0" w:color="auto"/>
      </w:divBdr>
    </w:div>
    <w:div w:id="703095490">
      <w:bodyDiv w:val="1"/>
      <w:marLeft w:val="0"/>
      <w:marRight w:val="0"/>
      <w:marTop w:val="0"/>
      <w:marBottom w:val="0"/>
      <w:divBdr>
        <w:top w:val="none" w:sz="0" w:space="0" w:color="auto"/>
        <w:left w:val="none" w:sz="0" w:space="0" w:color="auto"/>
        <w:bottom w:val="none" w:sz="0" w:space="0" w:color="auto"/>
        <w:right w:val="none" w:sz="0" w:space="0" w:color="auto"/>
      </w:divBdr>
    </w:div>
    <w:div w:id="720714044">
      <w:bodyDiv w:val="1"/>
      <w:marLeft w:val="0"/>
      <w:marRight w:val="0"/>
      <w:marTop w:val="0"/>
      <w:marBottom w:val="0"/>
      <w:divBdr>
        <w:top w:val="none" w:sz="0" w:space="0" w:color="auto"/>
        <w:left w:val="none" w:sz="0" w:space="0" w:color="auto"/>
        <w:bottom w:val="none" w:sz="0" w:space="0" w:color="auto"/>
        <w:right w:val="none" w:sz="0" w:space="0" w:color="auto"/>
      </w:divBdr>
    </w:div>
    <w:div w:id="736825111">
      <w:bodyDiv w:val="1"/>
      <w:marLeft w:val="0"/>
      <w:marRight w:val="0"/>
      <w:marTop w:val="0"/>
      <w:marBottom w:val="0"/>
      <w:divBdr>
        <w:top w:val="none" w:sz="0" w:space="0" w:color="auto"/>
        <w:left w:val="none" w:sz="0" w:space="0" w:color="auto"/>
        <w:bottom w:val="none" w:sz="0" w:space="0" w:color="auto"/>
        <w:right w:val="none" w:sz="0" w:space="0" w:color="auto"/>
      </w:divBdr>
    </w:div>
    <w:div w:id="761560579">
      <w:bodyDiv w:val="1"/>
      <w:marLeft w:val="0"/>
      <w:marRight w:val="0"/>
      <w:marTop w:val="0"/>
      <w:marBottom w:val="0"/>
      <w:divBdr>
        <w:top w:val="none" w:sz="0" w:space="0" w:color="auto"/>
        <w:left w:val="none" w:sz="0" w:space="0" w:color="auto"/>
        <w:bottom w:val="none" w:sz="0" w:space="0" w:color="auto"/>
        <w:right w:val="none" w:sz="0" w:space="0" w:color="auto"/>
      </w:divBdr>
    </w:div>
    <w:div w:id="812869793">
      <w:bodyDiv w:val="1"/>
      <w:marLeft w:val="0"/>
      <w:marRight w:val="0"/>
      <w:marTop w:val="0"/>
      <w:marBottom w:val="0"/>
      <w:divBdr>
        <w:top w:val="none" w:sz="0" w:space="0" w:color="auto"/>
        <w:left w:val="none" w:sz="0" w:space="0" w:color="auto"/>
        <w:bottom w:val="none" w:sz="0" w:space="0" w:color="auto"/>
        <w:right w:val="none" w:sz="0" w:space="0" w:color="auto"/>
      </w:divBdr>
    </w:div>
    <w:div w:id="862863773">
      <w:bodyDiv w:val="1"/>
      <w:marLeft w:val="0"/>
      <w:marRight w:val="0"/>
      <w:marTop w:val="0"/>
      <w:marBottom w:val="0"/>
      <w:divBdr>
        <w:top w:val="none" w:sz="0" w:space="0" w:color="auto"/>
        <w:left w:val="none" w:sz="0" w:space="0" w:color="auto"/>
        <w:bottom w:val="none" w:sz="0" w:space="0" w:color="auto"/>
        <w:right w:val="none" w:sz="0" w:space="0" w:color="auto"/>
      </w:divBdr>
    </w:div>
    <w:div w:id="877742862">
      <w:bodyDiv w:val="1"/>
      <w:marLeft w:val="0"/>
      <w:marRight w:val="0"/>
      <w:marTop w:val="0"/>
      <w:marBottom w:val="0"/>
      <w:divBdr>
        <w:top w:val="none" w:sz="0" w:space="0" w:color="auto"/>
        <w:left w:val="none" w:sz="0" w:space="0" w:color="auto"/>
        <w:bottom w:val="none" w:sz="0" w:space="0" w:color="auto"/>
        <w:right w:val="none" w:sz="0" w:space="0" w:color="auto"/>
      </w:divBdr>
    </w:div>
    <w:div w:id="885604697">
      <w:bodyDiv w:val="1"/>
      <w:marLeft w:val="0"/>
      <w:marRight w:val="0"/>
      <w:marTop w:val="0"/>
      <w:marBottom w:val="0"/>
      <w:divBdr>
        <w:top w:val="none" w:sz="0" w:space="0" w:color="auto"/>
        <w:left w:val="none" w:sz="0" w:space="0" w:color="auto"/>
        <w:bottom w:val="none" w:sz="0" w:space="0" w:color="auto"/>
        <w:right w:val="none" w:sz="0" w:space="0" w:color="auto"/>
      </w:divBdr>
    </w:div>
    <w:div w:id="900141254">
      <w:bodyDiv w:val="1"/>
      <w:marLeft w:val="0"/>
      <w:marRight w:val="0"/>
      <w:marTop w:val="0"/>
      <w:marBottom w:val="0"/>
      <w:divBdr>
        <w:top w:val="none" w:sz="0" w:space="0" w:color="auto"/>
        <w:left w:val="none" w:sz="0" w:space="0" w:color="auto"/>
        <w:bottom w:val="none" w:sz="0" w:space="0" w:color="auto"/>
        <w:right w:val="none" w:sz="0" w:space="0" w:color="auto"/>
      </w:divBdr>
    </w:div>
    <w:div w:id="932586539">
      <w:bodyDiv w:val="1"/>
      <w:marLeft w:val="0"/>
      <w:marRight w:val="0"/>
      <w:marTop w:val="0"/>
      <w:marBottom w:val="0"/>
      <w:divBdr>
        <w:top w:val="none" w:sz="0" w:space="0" w:color="auto"/>
        <w:left w:val="none" w:sz="0" w:space="0" w:color="auto"/>
        <w:bottom w:val="none" w:sz="0" w:space="0" w:color="auto"/>
        <w:right w:val="none" w:sz="0" w:space="0" w:color="auto"/>
      </w:divBdr>
    </w:div>
    <w:div w:id="935558995">
      <w:bodyDiv w:val="1"/>
      <w:marLeft w:val="0"/>
      <w:marRight w:val="0"/>
      <w:marTop w:val="0"/>
      <w:marBottom w:val="0"/>
      <w:divBdr>
        <w:top w:val="none" w:sz="0" w:space="0" w:color="auto"/>
        <w:left w:val="none" w:sz="0" w:space="0" w:color="auto"/>
        <w:bottom w:val="none" w:sz="0" w:space="0" w:color="auto"/>
        <w:right w:val="none" w:sz="0" w:space="0" w:color="auto"/>
      </w:divBdr>
    </w:div>
    <w:div w:id="948127689">
      <w:bodyDiv w:val="1"/>
      <w:marLeft w:val="0"/>
      <w:marRight w:val="0"/>
      <w:marTop w:val="0"/>
      <w:marBottom w:val="0"/>
      <w:divBdr>
        <w:top w:val="none" w:sz="0" w:space="0" w:color="auto"/>
        <w:left w:val="none" w:sz="0" w:space="0" w:color="auto"/>
        <w:bottom w:val="none" w:sz="0" w:space="0" w:color="auto"/>
        <w:right w:val="none" w:sz="0" w:space="0" w:color="auto"/>
      </w:divBdr>
    </w:div>
    <w:div w:id="978152903">
      <w:bodyDiv w:val="1"/>
      <w:marLeft w:val="0"/>
      <w:marRight w:val="0"/>
      <w:marTop w:val="0"/>
      <w:marBottom w:val="0"/>
      <w:divBdr>
        <w:top w:val="none" w:sz="0" w:space="0" w:color="auto"/>
        <w:left w:val="none" w:sz="0" w:space="0" w:color="auto"/>
        <w:bottom w:val="none" w:sz="0" w:space="0" w:color="auto"/>
        <w:right w:val="none" w:sz="0" w:space="0" w:color="auto"/>
      </w:divBdr>
    </w:div>
    <w:div w:id="982806185">
      <w:bodyDiv w:val="1"/>
      <w:marLeft w:val="0"/>
      <w:marRight w:val="0"/>
      <w:marTop w:val="0"/>
      <w:marBottom w:val="0"/>
      <w:divBdr>
        <w:top w:val="none" w:sz="0" w:space="0" w:color="auto"/>
        <w:left w:val="none" w:sz="0" w:space="0" w:color="auto"/>
        <w:bottom w:val="none" w:sz="0" w:space="0" w:color="auto"/>
        <w:right w:val="none" w:sz="0" w:space="0" w:color="auto"/>
      </w:divBdr>
    </w:div>
    <w:div w:id="993801385">
      <w:bodyDiv w:val="1"/>
      <w:marLeft w:val="0"/>
      <w:marRight w:val="0"/>
      <w:marTop w:val="0"/>
      <w:marBottom w:val="0"/>
      <w:divBdr>
        <w:top w:val="none" w:sz="0" w:space="0" w:color="auto"/>
        <w:left w:val="none" w:sz="0" w:space="0" w:color="auto"/>
        <w:bottom w:val="none" w:sz="0" w:space="0" w:color="auto"/>
        <w:right w:val="none" w:sz="0" w:space="0" w:color="auto"/>
      </w:divBdr>
    </w:div>
    <w:div w:id="1034619903">
      <w:bodyDiv w:val="1"/>
      <w:marLeft w:val="0"/>
      <w:marRight w:val="0"/>
      <w:marTop w:val="0"/>
      <w:marBottom w:val="0"/>
      <w:divBdr>
        <w:top w:val="none" w:sz="0" w:space="0" w:color="auto"/>
        <w:left w:val="none" w:sz="0" w:space="0" w:color="auto"/>
        <w:bottom w:val="none" w:sz="0" w:space="0" w:color="auto"/>
        <w:right w:val="none" w:sz="0" w:space="0" w:color="auto"/>
      </w:divBdr>
    </w:div>
    <w:div w:id="1060980235">
      <w:bodyDiv w:val="1"/>
      <w:marLeft w:val="0"/>
      <w:marRight w:val="0"/>
      <w:marTop w:val="0"/>
      <w:marBottom w:val="0"/>
      <w:divBdr>
        <w:top w:val="none" w:sz="0" w:space="0" w:color="auto"/>
        <w:left w:val="none" w:sz="0" w:space="0" w:color="auto"/>
        <w:bottom w:val="none" w:sz="0" w:space="0" w:color="auto"/>
        <w:right w:val="none" w:sz="0" w:space="0" w:color="auto"/>
      </w:divBdr>
    </w:div>
    <w:div w:id="1105224403">
      <w:bodyDiv w:val="1"/>
      <w:marLeft w:val="0"/>
      <w:marRight w:val="0"/>
      <w:marTop w:val="0"/>
      <w:marBottom w:val="0"/>
      <w:divBdr>
        <w:top w:val="none" w:sz="0" w:space="0" w:color="auto"/>
        <w:left w:val="none" w:sz="0" w:space="0" w:color="auto"/>
        <w:bottom w:val="none" w:sz="0" w:space="0" w:color="auto"/>
        <w:right w:val="none" w:sz="0" w:space="0" w:color="auto"/>
      </w:divBdr>
    </w:div>
    <w:div w:id="1106080318">
      <w:bodyDiv w:val="1"/>
      <w:marLeft w:val="0"/>
      <w:marRight w:val="0"/>
      <w:marTop w:val="0"/>
      <w:marBottom w:val="0"/>
      <w:divBdr>
        <w:top w:val="none" w:sz="0" w:space="0" w:color="auto"/>
        <w:left w:val="none" w:sz="0" w:space="0" w:color="auto"/>
        <w:bottom w:val="none" w:sz="0" w:space="0" w:color="auto"/>
        <w:right w:val="none" w:sz="0" w:space="0" w:color="auto"/>
      </w:divBdr>
    </w:div>
    <w:div w:id="1176386898">
      <w:bodyDiv w:val="1"/>
      <w:marLeft w:val="0"/>
      <w:marRight w:val="0"/>
      <w:marTop w:val="0"/>
      <w:marBottom w:val="0"/>
      <w:divBdr>
        <w:top w:val="none" w:sz="0" w:space="0" w:color="auto"/>
        <w:left w:val="none" w:sz="0" w:space="0" w:color="auto"/>
        <w:bottom w:val="none" w:sz="0" w:space="0" w:color="auto"/>
        <w:right w:val="none" w:sz="0" w:space="0" w:color="auto"/>
      </w:divBdr>
    </w:div>
    <w:div w:id="1179541705">
      <w:bodyDiv w:val="1"/>
      <w:marLeft w:val="0"/>
      <w:marRight w:val="0"/>
      <w:marTop w:val="0"/>
      <w:marBottom w:val="0"/>
      <w:divBdr>
        <w:top w:val="none" w:sz="0" w:space="0" w:color="auto"/>
        <w:left w:val="none" w:sz="0" w:space="0" w:color="auto"/>
        <w:bottom w:val="none" w:sz="0" w:space="0" w:color="auto"/>
        <w:right w:val="none" w:sz="0" w:space="0" w:color="auto"/>
      </w:divBdr>
    </w:div>
    <w:div w:id="1392729695">
      <w:bodyDiv w:val="1"/>
      <w:marLeft w:val="0"/>
      <w:marRight w:val="0"/>
      <w:marTop w:val="0"/>
      <w:marBottom w:val="0"/>
      <w:divBdr>
        <w:top w:val="none" w:sz="0" w:space="0" w:color="auto"/>
        <w:left w:val="none" w:sz="0" w:space="0" w:color="auto"/>
        <w:bottom w:val="none" w:sz="0" w:space="0" w:color="auto"/>
        <w:right w:val="none" w:sz="0" w:space="0" w:color="auto"/>
      </w:divBdr>
    </w:div>
    <w:div w:id="1395815990">
      <w:bodyDiv w:val="1"/>
      <w:marLeft w:val="0"/>
      <w:marRight w:val="0"/>
      <w:marTop w:val="0"/>
      <w:marBottom w:val="0"/>
      <w:divBdr>
        <w:top w:val="none" w:sz="0" w:space="0" w:color="auto"/>
        <w:left w:val="none" w:sz="0" w:space="0" w:color="auto"/>
        <w:bottom w:val="none" w:sz="0" w:space="0" w:color="auto"/>
        <w:right w:val="none" w:sz="0" w:space="0" w:color="auto"/>
      </w:divBdr>
    </w:div>
    <w:div w:id="1410692377">
      <w:bodyDiv w:val="1"/>
      <w:marLeft w:val="0"/>
      <w:marRight w:val="0"/>
      <w:marTop w:val="0"/>
      <w:marBottom w:val="0"/>
      <w:divBdr>
        <w:top w:val="none" w:sz="0" w:space="0" w:color="auto"/>
        <w:left w:val="none" w:sz="0" w:space="0" w:color="auto"/>
        <w:bottom w:val="none" w:sz="0" w:space="0" w:color="auto"/>
        <w:right w:val="none" w:sz="0" w:space="0" w:color="auto"/>
      </w:divBdr>
    </w:div>
    <w:div w:id="1428958831">
      <w:bodyDiv w:val="1"/>
      <w:marLeft w:val="0"/>
      <w:marRight w:val="0"/>
      <w:marTop w:val="0"/>
      <w:marBottom w:val="0"/>
      <w:divBdr>
        <w:top w:val="none" w:sz="0" w:space="0" w:color="auto"/>
        <w:left w:val="none" w:sz="0" w:space="0" w:color="auto"/>
        <w:bottom w:val="none" w:sz="0" w:space="0" w:color="auto"/>
        <w:right w:val="none" w:sz="0" w:space="0" w:color="auto"/>
      </w:divBdr>
    </w:div>
    <w:div w:id="1441413065">
      <w:bodyDiv w:val="1"/>
      <w:marLeft w:val="0"/>
      <w:marRight w:val="0"/>
      <w:marTop w:val="0"/>
      <w:marBottom w:val="0"/>
      <w:divBdr>
        <w:top w:val="none" w:sz="0" w:space="0" w:color="auto"/>
        <w:left w:val="none" w:sz="0" w:space="0" w:color="auto"/>
        <w:bottom w:val="none" w:sz="0" w:space="0" w:color="auto"/>
        <w:right w:val="none" w:sz="0" w:space="0" w:color="auto"/>
      </w:divBdr>
    </w:div>
    <w:div w:id="1441803145">
      <w:bodyDiv w:val="1"/>
      <w:marLeft w:val="0"/>
      <w:marRight w:val="0"/>
      <w:marTop w:val="0"/>
      <w:marBottom w:val="0"/>
      <w:divBdr>
        <w:top w:val="none" w:sz="0" w:space="0" w:color="auto"/>
        <w:left w:val="none" w:sz="0" w:space="0" w:color="auto"/>
        <w:bottom w:val="none" w:sz="0" w:space="0" w:color="auto"/>
        <w:right w:val="none" w:sz="0" w:space="0" w:color="auto"/>
      </w:divBdr>
    </w:div>
    <w:div w:id="1455364966">
      <w:bodyDiv w:val="1"/>
      <w:marLeft w:val="0"/>
      <w:marRight w:val="0"/>
      <w:marTop w:val="0"/>
      <w:marBottom w:val="0"/>
      <w:divBdr>
        <w:top w:val="none" w:sz="0" w:space="0" w:color="auto"/>
        <w:left w:val="none" w:sz="0" w:space="0" w:color="auto"/>
        <w:bottom w:val="none" w:sz="0" w:space="0" w:color="auto"/>
        <w:right w:val="none" w:sz="0" w:space="0" w:color="auto"/>
      </w:divBdr>
    </w:div>
    <w:div w:id="1487475200">
      <w:bodyDiv w:val="1"/>
      <w:marLeft w:val="0"/>
      <w:marRight w:val="0"/>
      <w:marTop w:val="0"/>
      <w:marBottom w:val="0"/>
      <w:divBdr>
        <w:top w:val="none" w:sz="0" w:space="0" w:color="auto"/>
        <w:left w:val="none" w:sz="0" w:space="0" w:color="auto"/>
        <w:bottom w:val="none" w:sz="0" w:space="0" w:color="auto"/>
        <w:right w:val="none" w:sz="0" w:space="0" w:color="auto"/>
      </w:divBdr>
    </w:div>
    <w:div w:id="1520005155">
      <w:bodyDiv w:val="1"/>
      <w:marLeft w:val="0"/>
      <w:marRight w:val="0"/>
      <w:marTop w:val="0"/>
      <w:marBottom w:val="0"/>
      <w:divBdr>
        <w:top w:val="none" w:sz="0" w:space="0" w:color="auto"/>
        <w:left w:val="none" w:sz="0" w:space="0" w:color="auto"/>
        <w:bottom w:val="none" w:sz="0" w:space="0" w:color="auto"/>
        <w:right w:val="none" w:sz="0" w:space="0" w:color="auto"/>
      </w:divBdr>
    </w:div>
    <w:div w:id="1527981924">
      <w:bodyDiv w:val="1"/>
      <w:marLeft w:val="0"/>
      <w:marRight w:val="0"/>
      <w:marTop w:val="0"/>
      <w:marBottom w:val="0"/>
      <w:divBdr>
        <w:top w:val="none" w:sz="0" w:space="0" w:color="auto"/>
        <w:left w:val="none" w:sz="0" w:space="0" w:color="auto"/>
        <w:bottom w:val="none" w:sz="0" w:space="0" w:color="auto"/>
        <w:right w:val="none" w:sz="0" w:space="0" w:color="auto"/>
      </w:divBdr>
    </w:div>
    <w:div w:id="1532525663">
      <w:bodyDiv w:val="1"/>
      <w:marLeft w:val="0"/>
      <w:marRight w:val="0"/>
      <w:marTop w:val="0"/>
      <w:marBottom w:val="0"/>
      <w:divBdr>
        <w:top w:val="none" w:sz="0" w:space="0" w:color="auto"/>
        <w:left w:val="none" w:sz="0" w:space="0" w:color="auto"/>
        <w:bottom w:val="none" w:sz="0" w:space="0" w:color="auto"/>
        <w:right w:val="none" w:sz="0" w:space="0" w:color="auto"/>
      </w:divBdr>
    </w:div>
    <w:div w:id="1583299555">
      <w:bodyDiv w:val="1"/>
      <w:marLeft w:val="0"/>
      <w:marRight w:val="0"/>
      <w:marTop w:val="0"/>
      <w:marBottom w:val="0"/>
      <w:divBdr>
        <w:top w:val="none" w:sz="0" w:space="0" w:color="auto"/>
        <w:left w:val="none" w:sz="0" w:space="0" w:color="auto"/>
        <w:bottom w:val="none" w:sz="0" w:space="0" w:color="auto"/>
        <w:right w:val="none" w:sz="0" w:space="0" w:color="auto"/>
      </w:divBdr>
    </w:div>
    <w:div w:id="1610314643">
      <w:bodyDiv w:val="1"/>
      <w:marLeft w:val="0"/>
      <w:marRight w:val="0"/>
      <w:marTop w:val="0"/>
      <w:marBottom w:val="0"/>
      <w:divBdr>
        <w:top w:val="none" w:sz="0" w:space="0" w:color="auto"/>
        <w:left w:val="none" w:sz="0" w:space="0" w:color="auto"/>
        <w:bottom w:val="none" w:sz="0" w:space="0" w:color="auto"/>
        <w:right w:val="none" w:sz="0" w:space="0" w:color="auto"/>
      </w:divBdr>
    </w:div>
    <w:div w:id="1611203611">
      <w:bodyDiv w:val="1"/>
      <w:marLeft w:val="0"/>
      <w:marRight w:val="0"/>
      <w:marTop w:val="0"/>
      <w:marBottom w:val="0"/>
      <w:divBdr>
        <w:top w:val="none" w:sz="0" w:space="0" w:color="auto"/>
        <w:left w:val="none" w:sz="0" w:space="0" w:color="auto"/>
        <w:bottom w:val="none" w:sz="0" w:space="0" w:color="auto"/>
        <w:right w:val="none" w:sz="0" w:space="0" w:color="auto"/>
      </w:divBdr>
    </w:div>
    <w:div w:id="1620868119">
      <w:bodyDiv w:val="1"/>
      <w:marLeft w:val="0"/>
      <w:marRight w:val="0"/>
      <w:marTop w:val="0"/>
      <w:marBottom w:val="0"/>
      <w:divBdr>
        <w:top w:val="none" w:sz="0" w:space="0" w:color="auto"/>
        <w:left w:val="none" w:sz="0" w:space="0" w:color="auto"/>
        <w:bottom w:val="none" w:sz="0" w:space="0" w:color="auto"/>
        <w:right w:val="none" w:sz="0" w:space="0" w:color="auto"/>
      </w:divBdr>
    </w:div>
    <w:div w:id="1659729571">
      <w:bodyDiv w:val="1"/>
      <w:marLeft w:val="0"/>
      <w:marRight w:val="0"/>
      <w:marTop w:val="0"/>
      <w:marBottom w:val="0"/>
      <w:divBdr>
        <w:top w:val="none" w:sz="0" w:space="0" w:color="auto"/>
        <w:left w:val="none" w:sz="0" w:space="0" w:color="auto"/>
        <w:bottom w:val="none" w:sz="0" w:space="0" w:color="auto"/>
        <w:right w:val="none" w:sz="0" w:space="0" w:color="auto"/>
      </w:divBdr>
    </w:div>
    <w:div w:id="1748384897">
      <w:bodyDiv w:val="1"/>
      <w:marLeft w:val="0"/>
      <w:marRight w:val="0"/>
      <w:marTop w:val="0"/>
      <w:marBottom w:val="0"/>
      <w:divBdr>
        <w:top w:val="none" w:sz="0" w:space="0" w:color="auto"/>
        <w:left w:val="none" w:sz="0" w:space="0" w:color="auto"/>
        <w:bottom w:val="none" w:sz="0" w:space="0" w:color="auto"/>
        <w:right w:val="none" w:sz="0" w:space="0" w:color="auto"/>
      </w:divBdr>
    </w:div>
    <w:div w:id="1790197635">
      <w:bodyDiv w:val="1"/>
      <w:marLeft w:val="0"/>
      <w:marRight w:val="0"/>
      <w:marTop w:val="0"/>
      <w:marBottom w:val="0"/>
      <w:divBdr>
        <w:top w:val="none" w:sz="0" w:space="0" w:color="auto"/>
        <w:left w:val="none" w:sz="0" w:space="0" w:color="auto"/>
        <w:bottom w:val="none" w:sz="0" w:space="0" w:color="auto"/>
        <w:right w:val="none" w:sz="0" w:space="0" w:color="auto"/>
      </w:divBdr>
    </w:div>
    <w:div w:id="1832019368">
      <w:bodyDiv w:val="1"/>
      <w:marLeft w:val="0"/>
      <w:marRight w:val="0"/>
      <w:marTop w:val="0"/>
      <w:marBottom w:val="0"/>
      <w:divBdr>
        <w:top w:val="none" w:sz="0" w:space="0" w:color="auto"/>
        <w:left w:val="none" w:sz="0" w:space="0" w:color="auto"/>
        <w:bottom w:val="none" w:sz="0" w:space="0" w:color="auto"/>
        <w:right w:val="none" w:sz="0" w:space="0" w:color="auto"/>
      </w:divBdr>
    </w:div>
    <w:div w:id="1920557484">
      <w:bodyDiv w:val="1"/>
      <w:marLeft w:val="0"/>
      <w:marRight w:val="0"/>
      <w:marTop w:val="0"/>
      <w:marBottom w:val="0"/>
      <w:divBdr>
        <w:top w:val="none" w:sz="0" w:space="0" w:color="auto"/>
        <w:left w:val="none" w:sz="0" w:space="0" w:color="auto"/>
        <w:bottom w:val="none" w:sz="0" w:space="0" w:color="auto"/>
        <w:right w:val="none" w:sz="0" w:space="0" w:color="auto"/>
      </w:divBdr>
    </w:div>
    <w:div w:id="1969622887">
      <w:bodyDiv w:val="1"/>
      <w:marLeft w:val="0"/>
      <w:marRight w:val="0"/>
      <w:marTop w:val="0"/>
      <w:marBottom w:val="0"/>
      <w:divBdr>
        <w:top w:val="none" w:sz="0" w:space="0" w:color="auto"/>
        <w:left w:val="none" w:sz="0" w:space="0" w:color="auto"/>
        <w:bottom w:val="none" w:sz="0" w:space="0" w:color="auto"/>
        <w:right w:val="none" w:sz="0" w:space="0" w:color="auto"/>
      </w:divBdr>
    </w:div>
    <w:div w:id="1983582311">
      <w:bodyDiv w:val="1"/>
      <w:marLeft w:val="0"/>
      <w:marRight w:val="0"/>
      <w:marTop w:val="0"/>
      <w:marBottom w:val="0"/>
      <w:divBdr>
        <w:top w:val="none" w:sz="0" w:space="0" w:color="auto"/>
        <w:left w:val="none" w:sz="0" w:space="0" w:color="auto"/>
        <w:bottom w:val="none" w:sz="0" w:space="0" w:color="auto"/>
        <w:right w:val="none" w:sz="0" w:space="0" w:color="auto"/>
      </w:divBdr>
    </w:div>
    <w:div w:id="1987465952">
      <w:bodyDiv w:val="1"/>
      <w:marLeft w:val="0"/>
      <w:marRight w:val="0"/>
      <w:marTop w:val="0"/>
      <w:marBottom w:val="0"/>
      <w:divBdr>
        <w:top w:val="none" w:sz="0" w:space="0" w:color="auto"/>
        <w:left w:val="none" w:sz="0" w:space="0" w:color="auto"/>
        <w:bottom w:val="none" w:sz="0" w:space="0" w:color="auto"/>
        <w:right w:val="none" w:sz="0" w:space="0" w:color="auto"/>
      </w:divBdr>
    </w:div>
    <w:div w:id="1996834912">
      <w:bodyDiv w:val="1"/>
      <w:marLeft w:val="0"/>
      <w:marRight w:val="0"/>
      <w:marTop w:val="0"/>
      <w:marBottom w:val="0"/>
      <w:divBdr>
        <w:top w:val="none" w:sz="0" w:space="0" w:color="auto"/>
        <w:left w:val="none" w:sz="0" w:space="0" w:color="auto"/>
        <w:bottom w:val="none" w:sz="0" w:space="0" w:color="auto"/>
        <w:right w:val="none" w:sz="0" w:space="0" w:color="auto"/>
      </w:divBdr>
    </w:div>
    <w:div w:id="2000689184">
      <w:bodyDiv w:val="1"/>
      <w:marLeft w:val="0"/>
      <w:marRight w:val="0"/>
      <w:marTop w:val="0"/>
      <w:marBottom w:val="0"/>
      <w:divBdr>
        <w:top w:val="none" w:sz="0" w:space="0" w:color="auto"/>
        <w:left w:val="none" w:sz="0" w:space="0" w:color="auto"/>
        <w:bottom w:val="none" w:sz="0" w:space="0" w:color="auto"/>
        <w:right w:val="none" w:sz="0" w:space="0" w:color="auto"/>
      </w:divBdr>
    </w:div>
    <w:div w:id="2020503791">
      <w:bodyDiv w:val="1"/>
      <w:marLeft w:val="0"/>
      <w:marRight w:val="0"/>
      <w:marTop w:val="0"/>
      <w:marBottom w:val="0"/>
      <w:divBdr>
        <w:top w:val="none" w:sz="0" w:space="0" w:color="auto"/>
        <w:left w:val="none" w:sz="0" w:space="0" w:color="auto"/>
        <w:bottom w:val="none" w:sz="0" w:space="0" w:color="auto"/>
        <w:right w:val="none" w:sz="0" w:space="0" w:color="auto"/>
      </w:divBdr>
    </w:div>
    <w:div w:id="2022973902">
      <w:bodyDiv w:val="1"/>
      <w:marLeft w:val="0"/>
      <w:marRight w:val="0"/>
      <w:marTop w:val="0"/>
      <w:marBottom w:val="0"/>
      <w:divBdr>
        <w:top w:val="none" w:sz="0" w:space="0" w:color="auto"/>
        <w:left w:val="none" w:sz="0" w:space="0" w:color="auto"/>
        <w:bottom w:val="none" w:sz="0" w:space="0" w:color="auto"/>
        <w:right w:val="none" w:sz="0" w:space="0" w:color="auto"/>
      </w:divBdr>
    </w:div>
    <w:div w:id="2030064745">
      <w:bodyDiv w:val="1"/>
      <w:marLeft w:val="0"/>
      <w:marRight w:val="0"/>
      <w:marTop w:val="0"/>
      <w:marBottom w:val="0"/>
      <w:divBdr>
        <w:top w:val="none" w:sz="0" w:space="0" w:color="auto"/>
        <w:left w:val="none" w:sz="0" w:space="0" w:color="auto"/>
        <w:bottom w:val="none" w:sz="0" w:space="0" w:color="auto"/>
        <w:right w:val="none" w:sz="0" w:space="0" w:color="auto"/>
      </w:divBdr>
    </w:div>
    <w:div w:id="206486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ncc.gov.au/publications/C41"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ncc.gov.au/about/strategic_plan"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 A C C C a n d A E R ! 1 5 2 1 6 2 4 5 . 1 < / d o c u m e n t i d >  
     < s e n d e r i d > D N A D A < / s e n d e r i d >  
     < s e n d e r e m a i l > D A V I A N . N A D A R A J A H @ A C C C . G O V . A U < / s e n d e r e m a i l >  
     < l a s t m o d i f i e d > 2 0 2 3 - 0 4 - 2 8 T 1 1 : 4 8 : 0 0 . 0 0 0 0 0 0 0 + 1 0 : 0 0 < / l a s t m o d i f i e d >  
     < d a t a b a s e > A C C C a n d A E R < / d a t a b a s e >  
 < / p r o p e r t i e s > 
</file>

<file path=customXml/itemProps1.xml><?xml version="1.0" encoding="utf-8"?>
<ds:datastoreItem xmlns:ds="http://schemas.openxmlformats.org/officeDocument/2006/customXml" ds:itemID="{364AB522-6570-47F8-A37F-3649E667C59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20094</CharactersWithSpaces>
  <SharedDoc>false</SharedDoc>
  <HLinks>
    <vt:vector size="66" baseType="variant">
      <vt:variant>
        <vt:i4>3735670</vt:i4>
      </vt:variant>
      <vt:variant>
        <vt:i4>63</vt:i4>
      </vt:variant>
      <vt:variant>
        <vt:i4>0</vt:i4>
      </vt:variant>
      <vt:variant>
        <vt:i4>5</vt:i4>
      </vt:variant>
      <vt:variant>
        <vt:lpwstr>http://ncc.gov.au/publications/C41</vt:lpwstr>
      </vt:variant>
      <vt:variant>
        <vt:lpwstr/>
      </vt:variant>
      <vt:variant>
        <vt:i4>327786</vt:i4>
      </vt:variant>
      <vt:variant>
        <vt:i4>60</vt:i4>
      </vt:variant>
      <vt:variant>
        <vt:i4>0</vt:i4>
      </vt:variant>
      <vt:variant>
        <vt:i4>5</vt:i4>
      </vt:variant>
      <vt:variant>
        <vt:lpwstr>http://ncc.gov.au/about/strategic_plan</vt:lpwstr>
      </vt:variant>
      <vt:variant>
        <vt:lpwstr/>
      </vt:variant>
      <vt:variant>
        <vt:i4>1703999</vt:i4>
      </vt:variant>
      <vt:variant>
        <vt:i4>50</vt:i4>
      </vt:variant>
      <vt:variant>
        <vt:i4>0</vt:i4>
      </vt:variant>
      <vt:variant>
        <vt:i4>5</vt:i4>
      </vt:variant>
      <vt:variant>
        <vt:lpwstr/>
      </vt:variant>
      <vt:variant>
        <vt:lpwstr>_Toc134036983</vt:lpwstr>
      </vt:variant>
      <vt:variant>
        <vt:i4>1703999</vt:i4>
      </vt:variant>
      <vt:variant>
        <vt:i4>44</vt:i4>
      </vt:variant>
      <vt:variant>
        <vt:i4>0</vt:i4>
      </vt:variant>
      <vt:variant>
        <vt:i4>5</vt:i4>
      </vt:variant>
      <vt:variant>
        <vt:lpwstr/>
      </vt:variant>
      <vt:variant>
        <vt:lpwstr>_Toc134036982</vt:lpwstr>
      </vt:variant>
      <vt:variant>
        <vt:i4>1703999</vt:i4>
      </vt:variant>
      <vt:variant>
        <vt:i4>38</vt:i4>
      </vt:variant>
      <vt:variant>
        <vt:i4>0</vt:i4>
      </vt:variant>
      <vt:variant>
        <vt:i4>5</vt:i4>
      </vt:variant>
      <vt:variant>
        <vt:lpwstr/>
      </vt:variant>
      <vt:variant>
        <vt:lpwstr>_Toc134036981</vt:lpwstr>
      </vt:variant>
      <vt:variant>
        <vt:i4>1703999</vt:i4>
      </vt:variant>
      <vt:variant>
        <vt:i4>32</vt:i4>
      </vt:variant>
      <vt:variant>
        <vt:i4>0</vt:i4>
      </vt:variant>
      <vt:variant>
        <vt:i4>5</vt:i4>
      </vt:variant>
      <vt:variant>
        <vt:lpwstr/>
      </vt:variant>
      <vt:variant>
        <vt:lpwstr>_Toc134036980</vt:lpwstr>
      </vt:variant>
      <vt:variant>
        <vt:i4>1376319</vt:i4>
      </vt:variant>
      <vt:variant>
        <vt:i4>26</vt:i4>
      </vt:variant>
      <vt:variant>
        <vt:i4>0</vt:i4>
      </vt:variant>
      <vt:variant>
        <vt:i4>5</vt:i4>
      </vt:variant>
      <vt:variant>
        <vt:lpwstr/>
      </vt:variant>
      <vt:variant>
        <vt:lpwstr>_Toc134036979</vt:lpwstr>
      </vt:variant>
      <vt:variant>
        <vt:i4>1376319</vt:i4>
      </vt:variant>
      <vt:variant>
        <vt:i4>20</vt:i4>
      </vt:variant>
      <vt:variant>
        <vt:i4>0</vt:i4>
      </vt:variant>
      <vt:variant>
        <vt:i4>5</vt:i4>
      </vt:variant>
      <vt:variant>
        <vt:lpwstr/>
      </vt:variant>
      <vt:variant>
        <vt:lpwstr>_Toc134036978</vt:lpwstr>
      </vt:variant>
      <vt:variant>
        <vt:i4>1376319</vt:i4>
      </vt:variant>
      <vt:variant>
        <vt:i4>14</vt:i4>
      </vt:variant>
      <vt:variant>
        <vt:i4>0</vt:i4>
      </vt:variant>
      <vt:variant>
        <vt:i4>5</vt:i4>
      </vt:variant>
      <vt:variant>
        <vt:lpwstr/>
      </vt:variant>
      <vt:variant>
        <vt:lpwstr>_Toc134036977</vt:lpwstr>
      </vt:variant>
      <vt:variant>
        <vt:i4>1376319</vt:i4>
      </vt:variant>
      <vt:variant>
        <vt:i4>8</vt:i4>
      </vt:variant>
      <vt:variant>
        <vt:i4>0</vt:i4>
      </vt:variant>
      <vt:variant>
        <vt:i4>5</vt:i4>
      </vt:variant>
      <vt:variant>
        <vt:lpwstr/>
      </vt:variant>
      <vt:variant>
        <vt:lpwstr>_Toc134036976</vt:lpwstr>
      </vt:variant>
      <vt:variant>
        <vt:i4>1376319</vt:i4>
      </vt:variant>
      <vt:variant>
        <vt:i4>2</vt:i4>
      </vt:variant>
      <vt:variant>
        <vt:i4>0</vt:i4>
      </vt:variant>
      <vt:variant>
        <vt:i4>5</vt:i4>
      </vt:variant>
      <vt:variant>
        <vt:lpwstr/>
      </vt:variant>
      <vt:variant>
        <vt:lpwstr>_Toc134036975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National Competition Council</dc:subject>
  <dc:creator/>
  <cp:keywords/>
  <cp:lastModifiedBy/>
  <cp:revision>1</cp:revision>
  <dcterms:created xsi:type="dcterms:W3CDTF">2023-05-08T02:01:00Z</dcterms:created>
  <dcterms:modified xsi:type="dcterms:W3CDTF">2023-05-08T02:02:00Z</dcterms:modified>
  <cp:category/>
</cp:coreProperties>
</file>