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FD00CF" w14:paraId="5505F810" w14:textId="77777777" w:rsidTr="00FD00CF">
        <w:tc>
          <w:tcPr>
            <w:tcW w:w="5000" w:type="pct"/>
            <w:shd w:val="clear" w:color="auto" w:fill="auto"/>
          </w:tcPr>
          <w:p w14:paraId="127D0F9B" w14:textId="77777777" w:rsidR="00FD00CF" w:rsidRDefault="00FD00CF" w:rsidP="00FD00CF">
            <w:pPr>
              <w:jc w:val="center"/>
              <w:rPr>
                <w:b/>
                <w:sz w:val="26"/>
              </w:rPr>
            </w:pPr>
            <w:r>
              <w:rPr>
                <w:b/>
                <w:sz w:val="26"/>
              </w:rPr>
              <w:t>EXPOSURE DRAFT</w:t>
            </w:r>
          </w:p>
          <w:p w14:paraId="62CC5C83" w14:textId="77777777" w:rsidR="00FD00CF" w:rsidRPr="00FD00CF" w:rsidRDefault="00FD00CF" w:rsidP="00FD00CF">
            <w:pPr>
              <w:rPr>
                <w:b/>
                <w:sz w:val="20"/>
              </w:rPr>
            </w:pPr>
          </w:p>
        </w:tc>
      </w:tr>
    </w:tbl>
    <w:p w14:paraId="610A5BEC" w14:textId="77777777" w:rsidR="00FD00CF" w:rsidRDefault="00FD00CF" w:rsidP="00DD344E">
      <w:pPr>
        <w:rPr>
          <w:sz w:val="32"/>
          <w:szCs w:val="32"/>
        </w:rPr>
      </w:pPr>
    </w:p>
    <w:p w14:paraId="65754BF7" w14:textId="77777777" w:rsidR="00664C63" w:rsidRPr="00DD344E" w:rsidRDefault="00664C63" w:rsidP="00DD344E">
      <w:pPr>
        <w:rPr>
          <w:sz w:val="32"/>
          <w:szCs w:val="32"/>
        </w:rPr>
      </w:pPr>
      <w:r w:rsidRPr="00DD344E">
        <w:rPr>
          <w:sz w:val="32"/>
          <w:szCs w:val="32"/>
        </w:rPr>
        <w:t>Inserts for</w:t>
      </w:r>
    </w:p>
    <w:p w14:paraId="5FF03DC3" w14:textId="77777777" w:rsidR="00664C63" w:rsidRPr="00DD344E" w:rsidRDefault="00263AD2" w:rsidP="00DD344E">
      <w:pPr>
        <w:pStyle w:val="ShortT"/>
      </w:pPr>
      <w:r w:rsidRPr="00DD344E">
        <w:t>Treasury Laws Amendment (</w:t>
      </w:r>
      <w:r w:rsidR="001C1E76">
        <w:t xml:space="preserve">Measures for </w:t>
      </w:r>
      <w:r w:rsidR="005E0917">
        <w:t>Future Bills</w:t>
      </w:r>
      <w:r w:rsidRPr="00DD344E">
        <w:t>) Bill 2023</w:t>
      </w:r>
      <w:r w:rsidR="00664C63" w:rsidRPr="00DD344E">
        <w:t>:</w:t>
      </w:r>
      <w:r w:rsidR="002C721F" w:rsidRPr="00DD344E">
        <w:t xml:space="preserve"> </w:t>
      </w:r>
      <w:r w:rsidR="00434E39" w:rsidRPr="00DD344E">
        <w:t>Deductions for payments relating to intangible</w:t>
      </w:r>
      <w:r w:rsidR="00411FEF" w:rsidRPr="00DD344E">
        <w:t xml:space="preserve"> assets connected with low corporate tax jurisdictions</w:t>
      </w:r>
    </w:p>
    <w:p w14:paraId="1E7E456C" w14:textId="77777777" w:rsidR="00664C63" w:rsidRPr="00DD344E" w:rsidRDefault="00664C63" w:rsidP="00DD344E">
      <w:pPr>
        <w:jc w:val="center"/>
        <w:rPr>
          <w:b/>
        </w:rPr>
      </w:pPr>
    </w:p>
    <w:p w14:paraId="6D3A0311" w14:textId="77777777" w:rsidR="00CE7E14" w:rsidRPr="00285945" w:rsidRDefault="00CE7E14" w:rsidP="00CE7E14">
      <w:pPr>
        <w:pStyle w:val="ActHead6"/>
        <w:pageBreakBefore/>
      </w:pPr>
      <w:bookmarkStart w:id="0" w:name="_Toc137565848"/>
      <w:r w:rsidRPr="00FD00CF">
        <w:rPr>
          <w:rStyle w:val="CharAmSchNo"/>
        </w:rPr>
        <w:lastRenderedPageBreak/>
        <w:t>Schedule </w:t>
      </w:r>
      <w:r w:rsidR="00E77B56" w:rsidRPr="00FD00CF">
        <w:rPr>
          <w:rStyle w:val="CharAmSchNo"/>
        </w:rPr>
        <w:t>#</w:t>
      </w:r>
      <w:r w:rsidRPr="00285945">
        <w:t>—</w:t>
      </w:r>
      <w:r w:rsidRPr="00FD00CF">
        <w:rPr>
          <w:rStyle w:val="CharAmSchText"/>
        </w:rPr>
        <w:t>Deductions for payments relating to intangible assets connected with low corporate tax jurisdictions</w:t>
      </w:r>
      <w:bookmarkEnd w:id="0"/>
    </w:p>
    <w:p w14:paraId="6594A446" w14:textId="77777777" w:rsidR="00CE7E14" w:rsidRPr="00FD00CF" w:rsidRDefault="00CE7E14" w:rsidP="00CE7E14">
      <w:pPr>
        <w:pStyle w:val="Header"/>
      </w:pPr>
      <w:r w:rsidRPr="00FD00CF">
        <w:rPr>
          <w:rStyle w:val="CharAmPartNo"/>
        </w:rPr>
        <w:t xml:space="preserve"> </w:t>
      </w:r>
      <w:r w:rsidRPr="00FD00CF">
        <w:rPr>
          <w:rStyle w:val="CharAmPartText"/>
        </w:rPr>
        <w:t xml:space="preserve"> </w:t>
      </w:r>
    </w:p>
    <w:p w14:paraId="126F1070" w14:textId="77777777" w:rsidR="00CE7E14" w:rsidRPr="00285945" w:rsidRDefault="00CE7E14" w:rsidP="00CE7E14">
      <w:pPr>
        <w:pStyle w:val="ActHead9"/>
      </w:pPr>
      <w:bookmarkStart w:id="1" w:name="_Toc137565849"/>
      <w:r w:rsidRPr="00285945">
        <w:t>Income Tax Assessment Act 1997</w:t>
      </w:r>
      <w:bookmarkEnd w:id="1"/>
    </w:p>
    <w:p w14:paraId="49D64798" w14:textId="77777777" w:rsidR="00CE7E14" w:rsidRPr="00285945" w:rsidRDefault="00CE7E14" w:rsidP="00CE7E14">
      <w:pPr>
        <w:pStyle w:val="ItemHead"/>
      </w:pPr>
      <w:proofErr w:type="gramStart"/>
      <w:r w:rsidRPr="00285945">
        <w:t>1  Section</w:t>
      </w:r>
      <w:proofErr w:type="gramEnd"/>
      <w:r w:rsidRPr="00285945">
        <w:t> 12</w:t>
      </w:r>
      <w:r>
        <w:noBreakHyphen/>
      </w:r>
      <w:r w:rsidRPr="00285945">
        <w:t>5 (after table item headed “insurance with non</w:t>
      </w:r>
      <w:r>
        <w:noBreakHyphen/>
      </w:r>
      <w:r w:rsidRPr="00285945">
        <w:t>residents”)</w:t>
      </w:r>
    </w:p>
    <w:p w14:paraId="3C8560D2" w14:textId="77777777" w:rsidR="00CE7E14" w:rsidRPr="00285945" w:rsidRDefault="00CE7E14" w:rsidP="00CE7E14">
      <w:pPr>
        <w:pStyle w:val="Item"/>
      </w:pPr>
      <w:r w:rsidRPr="00285945">
        <w:t>Insert:</w:t>
      </w:r>
    </w:p>
    <w:p w14:paraId="63E02085" w14:textId="77777777" w:rsidR="00CE7E14" w:rsidRPr="00285945" w:rsidRDefault="00CE7E14" w:rsidP="00CE7E14">
      <w:pPr>
        <w:pStyle w:val="Tabletext"/>
      </w:pPr>
    </w:p>
    <w:tbl>
      <w:tblPr>
        <w:tblW w:w="720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79"/>
      </w:tblGrid>
      <w:tr w:rsidR="00CE7E14" w:rsidRPr="00285945" w14:paraId="46DD5E98" w14:textId="77777777" w:rsidTr="00B62581">
        <w:trPr>
          <w:trHeight w:val="220"/>
        </w:trPr>
        <w:tc>
          <w:tcPr>
            <w:tcW w:w="5222" w:type="dxa"/>
            <w:tcBorders>
              <w:top w:val="nil"/>
              <w:bottom w:val="nil"/>
            </w:tcBorders>
            <w:shd w:val="clear" w:color="auto" w:fill="auto"/>
          </w:tcPr>
          <w:p w14:paraId="284C6C0E" w14:textId="77777777" w:rsidR="00CE7E14" w:rsidRPr="00285945" w:rsidRDefault="00CE7E14" w:rsidP="00B62581">
            <w:pPr>
              <w:pStyle w:val="tableSub-heading"/>
              <w:tabs>
                <w:tab w:val="clear" w:pos="6124"/>
                <w:tab w:val="left" w:leader="dot" w:pos="5245"/>
              </w:tabs>
            </w:pPr>
            <w:r w:rsidRPr="00285945">
              <w:t>intangible assets—income connected with low corporate tax jurisdictions</w:t>
            </w:r>
          </w:p>
        </w:tc>
        <w:tc>
          <w:tcPr>
            <w:tcW w:w="1979" w:type="dxa"/>
            <w:tcBorders>
              <w:top w:val="nil"/>
              <w:bottom w:val="nil"/>
            </w:tcBorders>
            <w:shd w:val="clear" w:color="auto" w:fill="auto"/>
          </w:tcPr>
          <w:p w14:paraId="16DA117B" w14:textId="77777777" w:rsidR="00CE7E14" w:rsidRPr="00285945" w:rsidRDefault="00CE7E14" w:rsidP="00B62581">
            <w:pPr>
              <w:pStyle w:val="tableText0"/>
              <w:tabs>
                <w:tab w:val="left" w:leader="dot" w:pos="5245"/>
              </w:tabs>
              <w:spacing w:line="240" w:lineRule="auto"/>
            </w:pPr>
          </w:p>
        </w:tc>
      </w:tr>
      <w:tr w:rsidR="00CE7E14" w:rsidRPr="00285945" w14:paraId="708B592B" w14:textId="77777777" w:rsidTr="00B62581">
        <w:trPr>
          <w:trHeight w:val="220"/>
        </w:trPr>
        <w:tc>
          <w:tcPr>
            <w:tcW w:w="5222" w:type="dxa"/>
            <w:tcBorders>
              <w:top w:val="nil"/>
              <w:bottom w:val="nil"/>
            </w:tcBorders>
            <w:shd w:val="clear" w:color="auto" w:fill="auto"/>
          </w:tcPr>
          <w:p w14:paraId="3582CEED" w14:textId="77777777" w:rsidR="00CE7E14" w:rsidRPr="00285945" w:rsidRDefault="00CE7E14" w:rsidP="00B62581">
            <w:pPr>
              <w:pStyle w:val="tableIndentText"/>
              <w:rPr>
                <w:rFonts w:ascii="Times New Roman" w:hAnsi="Times New Roman"/>
              </w:rPr>
            </w:pPr>
            <w:r w:rsidRPr="00285945">
              <w:rPr>
                <w:rFonts w:ascii="Times New Roman" w:hAnsi="Times New Roman"/>
              </w:rPr>
              <w:t xml:space="preserve">payments etc. that significant global entity makes to associate in relation to exploiting </w:t>
            </w:r>
            <w:r w:rsidRPr="00285945">
              <w:t xml:space="preserve">intangible asset connected with low corporate tax jurisdiction, </w:t>
            </w:r>
            <w:r w:rsidRPr="00285945">
              <w:rPr>
                <w:rFonts w:ascii="Times New Roman" w:hAnsi="Times New Roman"/>
              </w:rPr>
              <w:t>no deduction for</w:t>
            </w:r>
            <w:r w:rsidRPr="00285945">
              <w:rPr>
                <w:rFonts w:ascii="Times New Roman" w:hAnsi="Times New Roman"/>
              </w:rPr>
              <w:tab/>
            </w:r>
          </w:p>
        </w:tc>
        <w:tc>
          <w:tcPr>
            <w:tcW w:w="1979" w:type="dxa"/>
            <w:tcBorders>
              <w:top w:val="nil"/>
              <w:bottom w:val="nil"/>
            </w:tcBorders>
            <w:shd w:val="clear" w:color="auto" w:fill="auto"/>
          </w:tcPr>
          <w:p w14:paraId="76492E8A" w14:textId="77777777" w:rsidR="00CE7E14" w:rsidRPr="00285945" w:rsidRDefault="00CE7E14" w:rsidP="00B62581">
            <w:pPr>
              <w:pStyle w:val="tableText0"/>
              <w:tabs>
                <w:tab w:val="left" w:leader="dot" w:pos="5245"/>
              </w:tabs>
              <w:spacing w:line="240" w:lineRule="auto"/>
              <w:rPr>
                <w:b/>
              </w:rPr>
            </w:pPr>
            <w:r w:rsidRPr="00285945">
              <w:t>26</w:t>
            </w:r>
            <w:r>
              <w:noBreakHyphen/>
            </w:r>
            <w:r w:rsidRPr="00285945">
              <w:t>110</w:t>
            </w:r>
          </w:p>
        </w:tc>
      </w:tr>
    </w:tbl>
    <w:p w14:paraId="2CE8BC56" w14:textId="77777777" w:rsidR="00CE7E14" w:rsidRPr="00285945" w:rsidRDefault="00CE7E14" w:rsidP="00CE7E14">
      <w:pPr>
        <w:pStyle w:val="ItemHead"/>
      </w:pPr>
      <w:proofErr w:type="gramStart"/>
      <w:r w:rsidRPr="00285945">
        <w:t>2  At</w:t>
      </w:r>
      <w:proofErr w:type="gramEnd"/>
      <w:r w:rsidRPr="00285945">
        <w:t xml:space="preserve"> the end of Division 26</w:t>
      </w:r>
    </w:p>
    <w:p w14:paraId="778DF080" w14:textId="77777777" w:rsidR="00CE7E14" w:rsidRPr="00285945" w:rsidRDefault="00CE7E14" w:rsidP="00CE7E14">
      <w:pPr>
        <w:pStyle w:val="Item"/>
      </w:pPr>
      <w:r w:rsidRPr="00285945">
        <w:t>Add:</w:t>
      </w:r>
    </w:p>
    <w:p w14:paraId="1B5066B9" w14:textId="77777777" w:rsidR="00CE7E14" w:rsidRPr="00285945" w:rsidRDefault="00CE7E14" w:rsidP="00CE7E14">
      <w:pPr>
        <w:pStyle w:val="ActHead5"/>
      </w:pPr>
      <w:bookmarkStart w:id="2" w:name="_Toc137565850"/>
      <w:r w:rsidRPr="00FD00CF">
        <w:rPr>
          <w:rStyle w:val="CharSectno"/>
        </w:rPr>
        <w:t>26</w:t>
      </w:r>
      <w:r w:rsidRPr="00FD00CF">
        <w:rPr>
          <w:rStyle w:val="CharSectno"/>
        </w:rPr>
        <w:noBreakHyphen/>
      </w:r>
      <w:proofErr w:type="gramStart"/>
      <w:r w:rsidRPr="00FD00CF">
        <w:rPr>
          <w:rStyle w:val="CharSectno"/>
        </w:rPr>
        <w:t>110</w:t>
      </w:r>
      <w:r w:rsidRPr="00285945">
        <w:t xml:space="preserve">  Payments</w:t>
      </w:r>
      <w:proofErr w:type="gramEnd"/>
      <w:r w:rsidRPr="00285945">
        <w:t xml:space="preserve"> etc. to associates—intangible assets and low corporate tax jurisdictions</w:t>
      </w:r>
      <w:bookmarkEnd w:id="2"/>
    </w:p>
    <w:p w14:paraId="7681835F" w14:textId="77777777" w:rsidR="00CE7E14" w:rsidRPr="00285945" w:rsidRDefault="00CE7E14" w:rsidP="00CE7E14">
      <w:pPr>
        <w:pStyle w:val="subsection"/>
      </w:pPr>
      <w:r w:rsidRPr="00285945">
        <w:tab/>
        <w:t>(1)</w:t>
      </w:r>
      <w:r w:rsidRPr="00285945">
        <w:tab/>
        <w:t xml:space="preserve">The object of this section is to deter </w:t>
      </w:r>
      <w:r w:rsidRPr="005F46BB">
        <w:rPr>
          <w:position w:val="6"/>
          <w:sz w:val="16"/>
        </w:rPr>
        <w:t>*</w:t>
      </w:r>
      <w:r w:rsidRPr="00285945">
        <w:t xml:space="preserve">significant global entities from avoiding corporate income tax by structuring their </w:t>
      </w:r>
      <w:r w:rsidRPr="005F46BB">
        <w:rPr>
          <w:position w:val="6"/>
          <w:sz w:val="16"/>
        </w:rPr>
        <w:t>*</w:t>
      </w:r>
      <w:r w:rsidRPr="00285945">
        <w:t xml:space="preserve">arrangements so that income from </w:t>
      </w:r>
      <w:r w:rsidRPr="005F46BB">
        <w:rPr>
          <w:position w:val="6"/>
          <w:sz w:val="16"/>
        </w:rPr>
        <w:t>*</w:t>
      </w:r>
      <w:r w:rsidRPr="00285945">
        <w:t xml:space="preserve">exploiting intangible assets is derived in </w:t>
      </w:r>
      <w:r w:rsidRPr="005F46BB">
        <w:rPr>
          <w:position w:val="6"/>
          <w:sz w:val="16"/>
        </w:rPr>
        <w:t>*</w:t>
      </w:r>
      <w:r w:rsidRPr="00285945">
        <w:t>low corporate tax jurisdictions.</w:t>
      </w:r>
    </w:p>
    <w:p w14:paraId="6199CE3E" w14:textId="77777777" w:rsidR="00CE7E14" w:rsidRPr="00285945" w:rsidRDefault="00CE7E14" w:rsidP="00CE7E14">
      <w:pPr>
        <w:pStyle w:val="subsection"/>
      </w:pPr>
      <w:r w:rsidRPr="00285945">
        <w:tab/>
        <w:t>(2)</w:t>
      </w:r>
      <w:r w:rsidRPr="00285945">
        <w:tab/>
        <w:t xml:space="preserve">An entity (the </w:t>
      </w:r>
      <w:r w:rsidRPr="00285945">
        <w:rPr>
          <w:b/>
          <w:i/>
        </w:rPr>
        <w:t>payer</w:t>
      </w:r>
      <w:r w:rsidRPr="00285945">
        <w:t xml:space="preserve">) cannot deduct under this Act, for an income year, an amount for a payment it </w:t>
      </w:r>
      <w:proofErr w:type="gramStart"/>
      <w:r w:rsidRPr="00285945">
        <w:t>makes,</w:t>
      </w:r>
      <w:proofErr w:type="gramEnd"/>
      <w:r w:rsidRPr="00285945">
        <w:t xml:space="preserve"> to the extent that the payment is attributable to a right to </w:t>
      </w:r>
      <w:r w:rsidRPr="005F46BB">
        <w:rPr>
          <w:position w:val="6"/>
          <w:sz w:val="16"/>
        </w:rPr>
        <w:t>*</w:t>
      </w:r>
      <w:r w:rsidRPr="00285945">
        <w:t>exploit an intangible asset, if:</w:t>
      </w:r>
    </w:p>
    <w:p w14:paraId="648A0EBE" w14:textId="77777777" w:rsidR="00CE7E14" w:rsidRPr="00285945" w:rsidRDefault="00CE7E14" w:rsidP="00CE7E14">
      <w:pPr>
        <w:pStyle w:val="paragraph"/>
      </w:pPr>
      <w:r w:rsidRPr="00285945">
        <w:tab/>
        <w:t>(a)</w:t>
      </w:r>
      <w:r w:rsidRPr="00285945">
        <w:tab/>
        <w:t xml:space="preserve">the payer is a </w:t>
      </w:r>
      <w:r w:rsidRPr="005F46BB">
        <w:rPr>
          <w:position w:val="6"/>
          <w:sz w:val="16"/>
        </w:rPr>
        <w:t>*</w:t>
      </w:r>
      <w:r w:rsidRPr="00285945">
        <w:t>significant global entity for the year; and</w:t>
      </w:r>
    </w:p>
    <w:p w14:paraId="1F647048" w14:textId="77777777" w:rsidR="00CE7E14" w:rsidRPr="00285945" w:rsidRDefault="00CE7E14" w:rsidP="00CE7E14">
      <w:pPr>
        <w:pStyle w:val="paragraph"/>
      </w:pPr>
      <w:r w:rsidRPr="00285945">
        <w:tab/>
        <w:t>(b)</w:t>
      </w:r>
      <w:r w:rsidRPr="00285945">
        <w:tab/>
        <w:t xml:space="preserve">the payer makes the payment to an entity that is its </w:t>
      </w:r>
      <w:r w:rsidRPr="005F46BB">
        <w:rPr>
          <w:position w:val="6"/>
          <w:sz w:val="16"/>
        </w:rPr>
        <w:t>*</w:t>
      </w:r>
      <w:r w:rsidRPr="00285945">
        <w:t>associate (whether directly or indirectly through one or more interposed entities, and wherever that associate is located); and</w:t>
      </w:r>
    </w:p>
    <w:p w14:paraId="6B344B27" w14:textId="77777777" w:rsidR="00CE7E14" w:rsidRPr="00285945" w:rsidRDefault="00CE7E14" w:rsidP="00CE7E14">
      <w:pPr>
        <w:pStyle w:val="paragraph"/>
      </w:pPr>
      <w:r w:rsidRPr="00285945">
        <w:tab/>
        <w:t>(c)</w:t>
      </w:r>
      <w:r w:rsidRPr="00285945">
        <w:tab/>
        <w:t xml:space="preserve">the </w:t>
      </w:r>
      <w:r w:rsidRPr="005F46BB">
        <w:rPr>
          <w:position w:val="6"/>
          <w:sz w:val="16"/>
        </w:rPr>
        <w:t>*</w:t>
      </w:r>
      <w:r w:rsidRPr="00285945">
        <w:t>arrangement under which the payer makes the payment (either alone or together with any other related arrangement) results in:</w:t>
      </w:r>
    </w:p>
    <w:p w14:paraId="5033FE91" w14:textId="77777777" w:rsidR="00CE7E14" w:rsidRPr="00285945" w:rsidRDefault="00CE7E14" w:rsidP="00CE7E14">
      <w:pPr>
        <w:pStyle w:val="paragraphsub"/>
      </w:pPr>
      <w:r w:rsidRPr="00285945">
        <w:lastRenderedPageBreak/>
        <w:tab/>
        <w:t>(i)</w:t>
      </w:r>
      <w:r w:rsidRPr="00285945">
        <w:tab/>
        <w:t>the payer (or an associate of the payer) acquiring the intangible asset or a right to exploit the intangible asset, or exploiting the intangible asset; and</w:t>
      </w:r>
    </w:p>
    <w:p w14:paraId="75B9F3FD" w14:textId="77777777" w:rsidR="00CE7E14" w:rsidRPr="00285945" w:rsidRDefault="00CE7E14" w:rsidP="00CE7E14">
      <w:pPr>
        <w:pStyle w:val="paragraphsub"/>
      </w:pPr>
      <w:r w:rsidRPr="00285945">
        <w:tab/>
        <w:t>(ii)</w:t>
      </w:r>
      <w:r w:rsidRPr="00285945">
        <w:tab/>
        <w:t xml:space="preserve">the associate mentioned in paragraph (b), or another associate of the payer, </w:t>
      </w:r>
      <w:r w:rsidRPr="005F46BB">
        <w:rPr>
          <w:position w:val="6"/>
          <w:sz w:val="16"/>
        </w:rPr>
        <w:t>*</w:t>
      </w:r>
      <w:r w:rsidRPr="00285945">
        <w:t xml:space="preserve">deriving, in a </w:t>
      </w:r>
      <w:r w:rsidRPr="005F46BB">
        <w:rPr>
          <w:position w:val="6"/>
          <w:sz w:val="16"/>
        </w:rPr>
        <w:t>*</w:t>
      </w:r>
      <w:r w:rsidRPr="00285945">
        <w:t>low corporate tax jurisdiction, and whether directly or indirectly through one or more interposed entities, income from exploiting the intangible asset, or a related intangible asset.</w:t>
      </w:r>
    </w:p>
    <w:p w14:paraId="79D21FA7" w14:textId="77777777" w:rsidR="00CE7E14" w:rsidRPr="00285945" w:rsidRDefault="00CE7E14" w:rsidP="00CE7E14">
      <w:pPr>
        <w:pStyle w:val="notetext"/>
      </w:pPr>
      <w:r w:rsidRPr="00285945">
        <w:t>Note 1:</w:t>
      </w:r>
      <w:r w:rsidRPr="00285945">
        <w:tab/>
        <w:t>Examples of intangible assets include the following:</w:t>
      </w:r>
    </w:p>
    <w:p w14:paraId="0D15357E" w14:textId="77777777" w:rsidR="00CE7E14" w:rsidRPr="00285945" w:rsidRDefault="00CE7E14" w:rsidP="00CE7E14">
      <w:pPr>
        <w:pStyle w:val="notepara"/>
      </w:pPr>
      <w:r w:rsidRPr="00285945">
        <w:t>(a)</w:t>
      </w:r>
      <w:r w:rsidRPr="00285945">
        <w:tab/>
        <w:t xml:space="preserve">intellectual </w:t>
      </w:r>
      <w:proofErr w:type="gramStart"/>
      <w:r w:rsidRPr="00285945">
        <w:t>property;</w:t>
      </w:r>
      <w:proofErr w:type="gramEnd"/>
    </w:p>
    <w:p w14:paraId="01B1E4F0" w14:textId="77777777" w:rsidR="00CE7E14" w:rsidRPr="00285945" w:rsidRDefault="00CE7E14" w:rsidP="00CE7E14">
      <w:pPr>
        <w:pStyle w:val="notepara"/>
      </w:pPr>
      <w:r w:rsidRPr="00285945">
        <w:t>(b)</w:t>
      </w:r>
      <w:r w:rsidRPr="00285945">
        <w:tab/>
        <w:t xml:space="preserve">information or data, including a database of </w:t>
      </w:r>
      <w:proofErr w:type="gramStart"/>
      <w:r w:rsidRPr="00285945">
        <w:t>customers;</w:t>
      </w:r>
      <w:proofErr w:type="gramEnd"/>
    </w:p>
    <w:p w14:paraId="20A88D94" w14:textId="77777777" w:rsidR="00CE7E14" w:rsidRPr="00285945" w:rsidRDefault="00CE7E14" w:rsidP="00CE7E14">
      <w:pPr>
        <w:pStyle w:val="notepara"/>
      </w:pPr>
      <w:r w:rsidRPr="00285945">
        <w:t>(c)</w:t>
      </w:r>
      <w:r w:rsidRPr="00285945">
        <w:tab/>
        <w:t>an algorithm.</w:t>
      </w:r>
    </w:p>
    <w:p w14:paraId="7D4C17B1" w14:textId="77777777" w:rsidR="00CE7E14" w:rsidRPr="00285945" w:rsidRDefault="00CE7E14" w:rsidP="00CE7E14">
      <w:pPr>
        <w:pStyle w:val="notetext"/>
      </w:pPr>
      <w:r w:rsidRPr="00285945">
        <w:t>Note 2:</w:t>
      </w:r>
      <w:r w:rsidRPr="00285945">
        <w:tab/>
        <w:t xml:space="preserve">For the definition of </w:t>
      </w:r>
      <w:r w:rsidRPr="00285945">
        <w:rPr>
          <w:b/>
          <w:i/>
        </w:rPr>
        <w:t>exploit</w:t>
      </w:r>
      <w:r w:rsidRPr="00285945">
        <w:t xml:space="preserve">, see </w:t>
      </w:r>
      <w:r>
        <w:t>subsection (</w:t>
      </w:r>
      <w:r w:rsidRPr="00285945">
        <w:t>10).</w:t>
      </w:r>
    </w:p>
    <w:p w14:paraId="6B35E998" w14:textId="77777777" w:rsidR="00CE7E14" w:rsidRPr="00285945" w:rsidRDefault="00CE7E14" w:rsidP="00CE7E14">
      <w:pPr>
        <w:pStyle w:val="subsection"/>
      </w:pPr>
      <w:r w:rsidRPr="00285945">
        <w:tab/>
        <w:t>(3)</w:t>
      </w:r>
      <w:r w:rsidRPr="00285945">
        <w:tab/>
        <w:t xml:space="preserve">For the purposes of determining whether a payment is made indirectly through one or more interposed entities to an entity, and whether income is </w:t>
      </w:r>
      <w:r w:rsidRPr="005F46BB">
        <w:rPr>
          <w:position w:val="6"/>
          <w:sz w:val="16"/>
        </w:rPr>
        <w:t>*</w:t>
      </w:r>
      <w:r w:rsidRPr="00285945">
        <w:t>derived indirectly through one or more interposed entities:</w:t>
      </w:r>
    </w:p>
    <w:p w14:paraId="0E4F55A5" w14:textId="77777777" w:rsidR="00CE7E14" w:rsidRPr="00285945" w:rsidRDefault="00CE7E14" w:rsidP="00CE7E14">
      <w:pPr>
        <w:pStyle w:val="paragraph"/>
      </w:pPr>
      <w:r w:rsidRPr="00285945">
        <w:tab/>
        <w:t>(a)</w:t>
      </w:r>
      <w:r w:rsidRPr="00285945">
        <w:tab/>
        <w:t>it is sufficient if amounts are paid or transferred between each entity; and</w:t>
      </w:r>
    </w:p>
    <w:p w14:paraId="1495644D" w14:textId="77777777" w:rsidR="00CE7E14" w:rsidRPr="00285945" w:rsidRDefault="00CE7E14" w:rsidP="00CE7E14">
      <w:pPr>
        <w:pStyle w:val="paragraph"/>
      </w:pPr>
      <w:r w:rsidRPr="00285945">
        <w:tab/>
        <w:t>(b)</w:t>
      </w:r>
      <w:r w:rsidRPr="00285945">
        <w:tab/>
        <w:t xml:space="preserve">it is not necessary to demonstrate that each payment or transfer in a series of payments or transfers funds the next payment or </w:t>
      </w:r>
      <w:proofErr w:type="gramStart"/>
      <w:r w:rsidRPr="00285945">
        <w:t>transfer, or</w:t>
      </w:r>
      <w:proofErr w:type="gramEnd"/>
      <w:r w:rsidRPr="00285945">
        <w:t xml:space="preserve"> is made after the previous payment or transfer.</w:t>
      </w:r>
    </w:p>
    <w:p w14:paraId="42358AC8" w14:textId="77777777" w:rsidR="00CE7E14" w:rsidRPr="00285945" w:rsidRDefault="00CE7E14" w:rsidP="00CE7E14">
      <w:pPr>
        <w:pStyle w:val="SubsectionHead"/>
      </w:pPr>
      <w:r w:rsidRPr="00285945">
        <w:t>Effect of certain rates and inclusions on status of income</w:t>
      </w:r>
    </w:p>
    <w:p w14:paraId="1B19E5F6" w14:textId="77777777" w:rsidR="00CE7E14" w:rsidRPr="00285945" w:rsidRDefault="00CE7E14" w:rsidP="00CE7E14">
      <w:pPr>
        <w:pStyle w:val="subsection"/>
      </w:pPr>
      <w:r w:rsidRPr="00285945">
        <w:tab/>
        <w:t>(4)</w:t>
      </w:r>
      <w:r w:rsidRPr="00285945">
        <w:tab/>
        <w:t>For the purposes of subparagraph (2)(c)(ii):</w:t>
      </w:r>
    </w:p>
    <w:p w14:paraId="4B97D6E6" w14:textId="77777777" w:rsidR="00CE7E14" w:rsidRPr="00285945" w:rsidRDefault="00CE7E14" w:rsidP="00CE7E14">
      <w:pPr>
        <w:pStyle w:val="paragraph"/>
      </w:pPr>
      <w:r w:rsidRPr="00285945">
        <w:tab/>
        <w:t>(a)</w:t>
      </w:r>
      <w:r w:rsidRPr="00285945">
        <w:tab/>
        <w:t xml:space="preserve">in determining whether a foreign country is a </w:t>
      </w:r>
      <w:r w:rsidRPr="005F46BB">
        <w:rPr>
          <w:position w:val="6"/>
          <w:sz w:val="16"/>
        </w:rPr>
        <w:t>*</w:t>
      </w:r>
      <w:r w:rsidRPr="00285945">
        <w:t xml:space="preserve">low corporate tax jurisdiction, have regard only to the rate of corporate income tax in respect of the income of an entity that is a </w:t>
      </w:r>
      <w:r w:rsidRPr="005F46BB">
        <w:rPr>
          <w:position w:val="6"/>
          <w:sz w:val="16"/>
        </w:rPr>
        <w:t>*</w:t>
      </w:r>
      <w:r w:rsidRPr="00285945">
        <w:t>significant global entity; and</w:t>
      </w:r>
    </w:p>
    <w:p w14:paraId="1B1C08CD" w14:textId="77777777" w:rsidR="00CE7E14" w:rsidRPr="00285945" w:rsidRDefault="00CE7E14" w:rsidP="00CE7E14">
      <w:pPr>
        <w:pStyle w:val="paragraph"/>
      </w:pPr>
      <w:r w:rsidRPr="00285945">
        <w:tab/>
        <w:t>(b)</w:t>
      </w:r>
      <w:r w:rsidRPr="00285945">
        <w:tab/>
        <w:t>treat income derived in a foreign country that is a low corporate tax jurisdiction as being derived otherwise than in a low corporate tax jurisdiction to the extent that the income:</w:t>
      </w:r>
    </w:p>
    <w:p w14:paraId="1D8A72BF" w14:textId="77777777" w:rsidR="00CE7E14" w:rsidRPr="00285945" w:rsidRDefault="00CE7E14" w:rsidP="00CE7E14">
      <w:pPr>
        <w:pStyle w:val="paragraphsub"/>
      </w:pPr>
      <w:r w:rsidRPr="00285945">
        <w:tab/>
        <w:t>(i)</w:t>
      </w:r>
      <w:r w:rsidRPr="00285945">
        <w:tab/>
        <w:t xml:space="preserve">is, or will be, </w:t>
      </w:r>
      <w:r w:rsidRPr="005F46BB">
        <w:rPr>
          <w:position w:val="6"/>
          <w:sz w:val="16"/>
        </w:rPr>
        <w:t>*</w:t>
      </w:r>
      <w:r w:rsidRPr="00285945">
        <w:t>subject to foreign income tax at a rate of 15% or more; or</w:t>
      </w:r>
    </w:p>
    <w:p w14:paraId="6360CDCB" w14:textId="77777777" w:rsidR="00CE7E14" w:rsidRPr="00285945" w:rsidRDefault="00CE7E14" w:rsidP="00CE7E14">
      <w:pPr>
        <w:pStyle w:val="paragraphsub"/>
      </w:pPr>
      <w:r w:rsidRPr="00285945">
        <w:tab/>
        <w:t>(ii)</w:t>
      </w:r>
      <w:r w:rsidRPr="00285945">
        <w:tab/>
        <w:t>would be subject to foreign income tax at a rate of 15% or more if subsection 832</w:t>
      </w:r>
      <w:r>
        <w:noBreakHyphen/>
      </w:r>
      <w:r w:rsidRPr="00285945">
        <w:t>130(6) and paragraphs 832</w:t>
      </w:r>
      <w:r>
        <w:noBreakHyphen/>
      </w:r>
      <w:r w:rsidRPr="00285945">
        <w:t>130(7)(d) and (e) were disregarded; or</w:t>
      </w:r>
    </w:p>
    <w:p w14:paraId="13C3DEBB" w14:textId="77777777" w:rsidR="00CE7E14" w:rsidRPr="00285945" w:rsidRDefault="00CE7E14" w:rsidP="00CE7E14">
      <w:pPr>
        <w:pStyle w:val="paragraphsub"/>
      </w:pPr>
      <w:r w:rsidRPr="00285945">
        <w:lastRenderedPageBreak/>
        <w:tab/>
        <w:t>(iii)</w:t>
      </w:r>
      <w:r w:rsidRPr="00285945">
        <w:tab/>
        <w:t xml:space="preserve">is included in the assessable income of any entity for an income year under section 456 or 457 of the </w:t>
      </w:r>
      <w:r w:rsidRPr="00285945">
        <w:rPr>
          <w:i/>
        </w:rPr>
        <w:t>Income Tax Assessment Act 1936</w:t>
      </w:r>
      <w:r w:rsidRPr="00285945">
        <w:t>.</w:t>
      </w:r>
    </w:p>
    <w:p w14:paraId="5C447AAF" w14:textId="77777777" w:rsidR="00CE7E14" w:rsidRPr="00285945" w:rsidRDefault="00CE7E14" w:rsidP="00CE7E14">
      <w:pPr>
        <w:pStyle w:val="notetext"/>
      </w:pPr>
      <w:r w:rsidRPr="00285945">
        <w:t>Note:</w:t>
      </w:r>
      <w:r w:rsidRPr="00285945">
        <w:tab/>
        <w:t xml:space="preserve">For the definition of </w:t>
      </w:r>
      <w:r w:rsidRPr="00285945">
        <w:rPr>
          <w:b/>
          <w:i/>
        </w:rPr>
        <w:t>low corporate tax jurisdiction</w:t>
      </w:r>
      <w:r w:rsidRPr="00285945">
        <w:t>, see Subdivision 960</w:t>
      </w:r>
      <w:r>
        <w:noBreakHyphen/>
      </w:r>
      <w:r w:rsidRPr="00285945">
        <w:t>J.</w:t>
      </w:r>
    </w:p>
    <w:p w14:paraId="4A2361BE" w14:textId="77777777" w:rsidR="00CE7E14" w:rsidRPr="00285945" w:rsidRDefault="00CE7E14" w:rsidP="00CE7E14">
      <w:pPr>
        <w:pStyle w:val="SubsectionHead"/>
      </w:pPr>
      <w:r w:rsidRPr="00285945">
        <w:t>Similar arrangements</w:t>
      </w:r>
    </w:p>
    <w:p w14:paraId="4A698B84" w14:textId="77777777" w:rsidR="00CE7E14" w:rsidRPr="00285945" w:rsidRDefault="00CE7E14" w:rsidP="00CE7E14">
      <w:pPr>
        <w:pStyle w:val="subsection"/>
      </w:pPr>
      <w:r w:rsidRPr="00285945">
        <w:tab/>
        <w:t>(5)</w:t>
      </w:r>
      <w:r w:rsidRPr="00285945">
        <w:tab/>
        <w:t>This section applies:</w:t>
      </w:r>
    </w:p>
    <w:p w14:paraId="4E1A2A75" w14:textId="77777777" w:rsidR="00CE7E14" w:rsidRPr="00285945" w:rsidRDefault="00CE7E14" w:rsidP="00CE7E14">
      <w:pPr>
        <w:pStyle w:val="paragraph"/>
      </w:pPr>
      <w:r w:rsidRPr="00285945">
        <w:tab/>
        <w:t>(a)</w:t>
      </w:r>
      <w:r w:rsidRPr="00285945">
        <w:tab/>
        <w:t>in relation to each of the following in the same way as it applies in relation to making a payment to an entity:</w:t>
      </w:r>
    </w:p>
    <w:p w14:paraId="5CDBACBC" w14:textId="77777777" w:rsidR="00CE7E14" w:rsidRPr="00285945" w:rsidRDefault="00CE7E14" w:rsidP="00CE7E14">
      <w:pPr>
        <w:pStyle w:val="paragraphsub"/>
      </w:pPr>
      <w:r w:rsidRPr="00285945">
        <w:tab/>
        <w:t>(i)</w:t>
      </w:r>
      <w:r w:rsidRPr="00285945">
        <w:tab/>
        <w:t xml:space="preserve">incurring a liability to pay an </w:t>
      </w:r>
      <w:proofErr w:type="gramStart"/>
      <w:r w:rsidRPr="00285945">
        <w:t>entity;</w:t>
      </w:r>
      <w:proofErr w:type="gramEnd"/>
    </w:p>
    <w:p w14:paraId="727E8727" w14:textId="77777777" w:rsidR="00CE7E14" w:rsidRPr="00285945" w:rsidRDefault="00CE7E14" w:rsidP="00CE7E14">
      <w:pPr>
        <w:pStyle w:val="paragraphsub"/>
      </w:pPr>
      <w:r w:rsidRPr="00285945">
        <w:tab/>
        <w:t>(ii)</w:t>
      </w:r>
      <w:r w:rsidRPr="00285945">
        <w:tab/>
        <w:t>crediting an amount to an entity; and</w:t>
      </w:r>
    </w:p>
    <w:p w14:paraId="7B13E1B8" w14:textId="77777777" w:rsidR="00CE7E14" w:rsidRPr="00285945" w:rsidRDefault="00CE7E14" w:rsidP="00CE7E14">
      <w:pPr>
        <w:pStyle w:val="paragraph"/>
      </w:pPr>
      <w:r w:rsidRPr="00285945">
        <w:tab/>
        <w:t>(b)</w:t>
      </w:r>
      <w:r w:rsidRPr="00285945">
        <w:tab/>
        <w:t xml:space="preserve">in relation to permission to </w:t>
      </w:r>
      <w:r w:rsidRPr="005F46BB">
        <w:rPr>
          <w:position w:val="6"/>
          <w:sz w:val="16"/>
        </w:rPr>
        <w:t>*</w:t>
      </w:r>
      <w:r w:rsidRPr="00285945">
        <w:t>exploit an intangible asset in the same way as it applies in relation to a right to exploit the intangible asset.</w:t>
      </w:r>
    </w:p>
    <w:p w14:paraId="44C7481B" w14:textId="77777777" w:rsidR="00CE7E14" w:rsidRPr="00285945" w:rsidRDefault="00CE7E14" w:rsidP="00CE7E14">
      <w:pPr>
        <w:pStyle w:val="SubsectionHead"/>
      </w:pPr>
      <w:r w:rsidRPr="00285945">
        <w:t>Intangible assets etc.</w:t>
      </w:r>
    </w:p>
    <w:p w14:paraId="2C25FBD1" w14:textId="77777777" w:rsidR="00CE7E14" w:rsidRPr="00285945" w:rsidRDefault="00CE7E14" w:rsidP="00CE7E14">
      <w:pPr>
        <w:pStyle w:val="subsection"/>
      </w:pPr>
      <w:bookmarkStart w:id="3" w:name="_Hlk136000517"/>
      <w:bookmarkStart w:id="4" w:name="_Hlk136000476"/>
      <w:r w:rsidRPr="00285945">
        <w:tab/>
        <w:t>(6)</w:t>
      </w:r>
      <w:r w:rsidRPr="00285945">
        <w:tab/>
        <w:t xml:space="preserve">Without limiting what is an intangible asset in this Act (including in this section), in this section the expression intangible asset includes (subject to </w:t>
      </w:r>
      <w:r>
        <w:t>subsection (</w:t>
      </w:r>
      <w:r w:rsidRPr="00285945">
        <w:t>7)):</w:t>
      </w:r>
    </w:p>
    <w:bookmarkEnd w:id="3"/>
    <w:bookmarkEnd w:id="4"/>
    <w:p w14:paraId="483A49C2" w14:textId="77777777" w:rsidR="00CE7E14" w:rsidRPr="00285945" w:rsidRDefault="00CE7E14" w:rsidP="00CE7E14">
      <w:pPr>
        <w:pStyle w:val="paragraph"/>
      </w:pPr>
      <w:r w:rsidRPr="00285945">
        <w:tab/>
        <w:t>(a)</w:t>
      </w:r>
      <w:r w:rsidRPr="00285945">
        <w:tab/>
        <w:t xml:space="preserve">any of the following mentioned in paragraph (a), (c), (da), (db), (dc) or (e) of the definition of </w:t>
      </w:r>
      <w:r w:rsidRPr="00285945">
        <w:rPr>
          <w:b/>
          <w:i/>
        </w:rPr>
        <w:t>royalty</w:t>
      </w:r>
      <w:r w:rsidRPr="00285945">
        <w:t xml:space="preserve"> in subsection 6(1) of the </w:t>
      </w:r>
      <w:r w:rsidRPr="00285945">
        <w:rPr>
          <w:i/>
        </w:rPr>
        <w:t>Income Tax Assessment Act 1936</w:t>
      </w:r>
      <w:r w:rsidRPr="00285945">
        <w:t>:</w:t>
      </w:r>
    </w:p>
    <w:p w14:paraId="7F2C603A" w14:textId="77777777" w:rsidR="00CE7E14" w:rsidRPr="00285945" w:rsidRDefault="00CE7E14" w:rsidP="00CE7E14">
      <w:pPr>
        <w:pStyle w:val="paragraphsub"/>
      </w:pPr>
      <w:r w:rsidRPr="00285945">
        <w:tab/>
        <w:t>(i)</w:t>
      </w:r>
      <w:r w:rsidRPr="00285945">
        <w:tab/>
        <w:t xml:space="preserve">any copyright, patent, design or model, plan, secret formula or process, </w:t>
      </w:r>
      <w:proofErr w:type="gramStart"/>
      <w:r w:rsidRPr="00285945">
        <w:t>trade mark</w:t>
      </w:r>
      <w:proofErr w:type="gramEnd"/>
      <w:r w:rsidRPr="00285945">
        <w:t>, or other like property or right;</w:t>
      </w:r>
    </w:p>
    <w:p w14:paraId="64749F95" w14:textId="77777777" w:rsidR="00CE7E14" w:rsidRPr="00285945" w:rsidRDefault="00CE7E14" w:rsidP="00CE7E14">
      <w:pPr>
        <w:pStyle w:val="paragraphsub"/>
      </w:pPr>
      <w:r w:rsidRPr="00285945">
        <w:tab/>
        <w:t>(ii)</w:t>
      </w:r>
      <w:r w:rsidRPr="00285945">
        <w:tab/>
        <w:t xml:space="preserve">scientific, technical, industrial or commercial knowledge or </w:t>
      </w:r>
      <w:proofErr w:type="gramStart"/>
      <w:r w:rsidRPr="00285945">
        <w:t>information;</w:t>
      </w:r>
      <w:proofErr w:type="gramEnd"/>
    </w:p>
    <w:p w14:paraId="691B038C" w14:textId="77777777" w:rsidR="00CE7E14" w:rsidRPr="00285945" w:rsidRDefault="00CE7E14" w:rsidP="00CE7E14">
      <w:pPr>
        <w:pStyle w:val="paragraphsub"/>
      </w:pPr>
      <w:r w:rsidRPr="00285945">
        <w:tab/>
        <w:t>(iii)</w:t>
      </w:r>
      <w:r w:rsidRPr="00285945">
        <w:tab/>
        <w:t xml:space="preserve">visual images or sounds transmitted to the public by satellite or cable, optic fibre or similar </w:t>
      </w:r>
      <w:proofErr w:type="gramStart"/>
      <w:r w:rsidRPr="00285945">
        <w:t>technology;</w:t>
      </w:r>
      <w:proofErr w:type="gramEnd"/>
    </w:p>
    <w:p w14:paraId="4C640BB1" w14:textId="77777777" w:rsidR="00CE7E14" w:rsidRPr="00285945" w:rsidRDefault="00CE7E14" w:rsidP="00CE7E14">
      <w:pPr>
        <w:pStyle w:val="paragraphsub"/>
      </w:pPr>
      <w:r w:rsidRPr="00285945">
        <w:tab/>
        <w:t>(iv)</w:t>
      </w:r>
      <w:r w:rsidRPr="00285945">
        <w:tab/>
        <w:t xml:space="preserve">a part of the spectrum (within the meaning of the </w:t>
      </w:r>
      <w:r w:rsidRPr="00285945">
        <w:rPr>
          <w:i/>
        </w:rPr>
        <w:t>Radiocommunications Act 1992</w:t>
      </w:r>
      <w:proofErr w:type="gramStart"/>
      <w:r w:rsidRPr="00285945">
        <w:t>);</w:t>
      </w:r>
      <w:proofErr w:type="gramEnd"/>
    </w:p>
    <w:p w14:paraId="35216C7A" w14:textId="77777777" w:rsidR="00CE7E14" w:rsidRPr="00285945" w:rsidRDefault="00CE7E14" w:rsidP="00CE7E14">
      <w:pPr>
        <w:pStyle w:val="paragraphsub"/>
      </w:pPr>
      <w:r w:rsidRPr="00285945">
        <w:tab/>
        <w:t>(v)</w:t>
      </w:r>
      <w:r w:rsidRPr="00285945">
        <w:tab/>
        <w:t xml:space="preserve">motion picture films, </w:t>
      </w:r>
      <w:proofErr w:type="gramStart"/>
      <w:r w:rsidRPr="00285945">
        <w:t>films</w:t>
      </w:r>
      <w:proofErr w:type="gramEnd"/>
      <w:r w:rsidRPr="00285945">
        <w:t xml:space="preserve"> or video tapes for use in connection with television, or tapes for use in connection with radio broadcasting; and</w:t>
      </w:r>
    </w:p>
    <w:p w14:paraId="5E4B62BA" w14:textId="77777777" w:rsidR="00CE7E14" w:rsidRPr="00285945" w:rsidRDefault="00CE7E14" w:rsidP="00CE7E14">
      <w:pPr>
        <w:pStyle w:val="paragraph"/>
      </w:pPr>
      <w:r w:rsidRPr="00285945">
        <w:t xml:space="preserve"> </w:t>
      </w:r>
      <w:r w:rsidRPr="00285945">
        <w:tab/>
        <w:t>(b)</w:t>
      </w:r>
      <w:r w:rsidRPr="00285945">
        <w:tab/>
        <w:t xml:space="preserve">any assistance mentioned in paragraph (d) of that definition, other than assistance relating to equipment mentioned in paragraph (b) of that definition (which is about industrial, </w:t>
      </w:r>
      <w:proofErr w:type="gramStart"/>
      <w:r w:rsidRPr="00285945">
        <w:t>commercial</w:t>
      </w:r>
      <w:proofErr w:type="gramEnd"/>
      <w:r w:rsidRPr="00285945">
        <w:t xml:space="preserve"> or scientific equipment); and</w:t>
      </w:r>
    </w:p>
    <w:p w14:paraId="0D1774AE" w14:textId="77777777" w:rsidR="00CE7E14" w:rsidRPr="00285945" w:rsidRDefault="00CE7E14" w:rsidP="00CE7E14">
      <w:pPr>
        <w:pStyle w:val="paragraph"/>
      </w:pPr>
      <w:r w:rsidRPr="00285945">
        <w:tab/>
        <w:t>(c)</w:t>
      </w:r>
      <w:r w:rsidRPr="00285945">
        <w:tab/>
        <w:t>a right in respect of, or an interest in, an intangible asset; and</w:t>
      </w:r>
    </w:p>
    <w:p w14:paraId="57E3FB65" w14:textId="77777777" w:rsidR="00CE7E14" w:rsidRPr="00285945" w:rsidRDefault="00CE7E14" w:rsidP="00CE7E14">
      <w:pPr>
        <w:pStyle w:val="paragraph"/>
      </w:pPr>
      <w:r w:rsidRPr="00285945">
        <w:lastRenderedPageBreak/>
        <w:tab/>
        <w:t>(d)</w:t>
      </w:r>
      <w:r w:rsidRPr="00285945">
        <w:tab/>
        <w:t>anything prescribed by the regulations for the purposes of this paragraph.</w:t>
      </w:r>
    </w:p>
    <w:p w14:paraId="603036C5" w14:textId="77777777" w:rsidR="00CE7E14" w:rsidRPr="00285945" w:rsidRDefault="00CE7E14" w:rsidP="00CE7E14">
      <w:pPr>
        <w:pStyle w:val="subsection"/>
      </w:pPr>
      <w:r w:rsidRPr="00285945">
        <w:tab/>
        <w:t>(7)</w:t>
      </w:r>
      <w:r w:rsidRPr="00285945">
        <w:tab/>
        <w:t>This section does not apply in relation to an intangible asset that is any of the following:</w:t>
      </w:r>
    </w:p>
    <w:p w14:paraId="34B1FEAE" w14:textId="77777777" w:rsidR="00CE7E14" w:rsidRPr="00285945" w:rsidRDefault="00CE7E14" w:rsidP="00CE7E14">
      <w:pPr>
        <w:pStyle w:val="paragraph"/>
      </w:pPr>
      <w:r w:rsidRPr="00285945">
        <w:tab/>
        <w:t>(a)</w:t>
      </w:r>
      <w:r w:rsidRPr="00285945">
        <w:tab/>
        <w:t xml:space="preserve">a right in respect of, or an interest in, a tangible </w:t>
      </w:r>
      <w:proofErr w:type="gramStart"/>
      <w:r w:rsidRPr="00285945">
        <w:t>asset;</w:t>
      </w:r>
      <w:proofErr w:type="gramEnd"/>
    </w:p>
    <w:p w14:paraId="2B842E42" w14:textId="77777777" w:rsidR="00CE7E14" w:rsidRPr="00285945" w:rsidRDefault="00CE7E14" w:rsidP="00CE7E14">
      <w:pPr>
        <w:pStyle w:val="paragraph"/>
      </w:pPr>
      <w:r w:rsidRPr="00285945">
        <w:tab/>
        <w:t>(b)</w:t>
      </w:r>
      <w:r w:rsidRPr="00285945">
        <w:tab/>
        <w:t>without limiting paragraph (a):</w:t>
      </w:r>
    </w:p>
    <w:p w14:paraId="08EF53AD" w14:textId="77777777" w:rsidR="00CE7E14" w:rsidRPr="00285945" w:rsidRDefault="00CE7E14" w:rsidP="00CE7E14">
      <w:pPr>
        <w:pStyle w:val="paragraphsub"/>
      </w:pPr>
      <w:r w:rsidRPr="00285945">
        <w:tab/>
        <w:t>(i)</w:t>
      </w:r>
      <w:r w:rsidRPr="00285945">
        <w:tab/>
        <w:t>an estate, interest or right in or over land; or</w:t>
      </w:r>
    </w:p>
    <w:p w14:paraId="6069C214" w14:textId="77777777" w:rsidR="00CE7E14" w:rsidRPr="00285945" w:rsidRDefault="00CE7E14" w:rsidP="00CE7E14">
      <w:pPr>
        <w:pStyle w:val="paragraphsub"/>
      </w:pPr>
      <w:r w:rsidRPr="00285945">
        <w:tab/>
        <w:t>(ii)</w:t>
      </w:r>
      <w:r w:rsidRPr="00285945">
        <w:tab/>
        <w:t xml:space="preserve">a right in respect of such an estate, interest or </w:t>
      </w:r>
      <w:proofErr w:type="gramStart"/>
      <w:r w:rsidRPr="00285945">
        <w:t>right;</w:t>
      </w:r>
      <w:proofErr w:type="gramEnd"/>
    </w:p>
    <w:p w14:paraId="544755E0" w14:textId="77777777" w:rsidR="00CE7E14" w:rsidRPr="00285945" w:rsidRDefault="00CE7E14" w:rsidP="00CE7E14">
      <w:pPr>
        <w:pStyle w:val="paragraph"/>
      </w:pPr>
      <w:r w:rsidRPr="00285945">
        <w:tab/>
        <w:t>(c)</w:t>
      </w:r>
      <w:r w:rsidRPr="00285945">
        <w:tab/>
        <w:t xml:space="preserve">a </w:t>
      </w:r>
      <w:r w:rsidRPr="005F46BB">
        <w:rPr>
          <w:position w:val="6"/>
          <w:sz w:val="16"/>
        </w:rPr>
        <w:t>*</w:t>
      </w:r>
      <w:r w:rsidRPr="00285945">
        <w:t xml:space="preserve">Division 230 financial </w:t>
      </w:r>
      <w:proofErr w:type="gramStart"/>
      <w:r w:rsidRPr="00285945">
        <w:t>arrangement;</w:t>
      </w:r>
      <w:proofErr w:type="gramEnd"/>
    </w:p>
    <w:p w14:paraId="4FB65FB2" w14:textId="77777777" w:rsidR="00CE7E14" w:rsidRPr="00285945" w:rsidRDefault="00CE7E14" w:rsidP="00CE7E14">
      <w:pPr>
        <w:pStyle w:val="paragraph"/>
      </w:pPr>
      <w:r w:rsidRPr="00285945">
        <w:tab/>
        <w:t>(d)</w:t>
      </w:r>
      <w:r w:rsidRPr="00285945">
        <w:tab/>
        <w:t xml:space="preserve">an arrangement that is a </w:t>
      </w:r>
      <w:r w:rsidRPr="005F46BB">
        <w:rPr>
          <w:position w:val="6"/>
          <w:sz w:val="16"/>
        </w:rPr>
        <w:t>*</w:t>
      </w:r>
      <w:r w:rsidRPr="00285945">
        <w:t>financial arrangement under section 230</w:t>
      </w:r>
      <w:r>
        <w:noBreakHyphen/>
      </w:r>
      <w:r w:rsidRPr="00285945">
        <w:t xml:space="preserve">50 but is not a Division 230 financial </w:t>
      </w:r>
      <w:proofErr w:type="gramStart"/>
      <w:r w:rsidRPr="00285945">
        <w:t>arrangement;</w:t>
      </w:r>
      <w:proofErr w:type="gramEnd"/>
    </w:p>
    <w:p w14:paraId="22820A08" w14:textId="77777777" w:rsidR="00CE7E14" w:rsidRPr="00285945" w:rsidRDefault="00CE7E14" w:rsidP="00CE7E14">
      <w:pPr>
        <w:pStyle w:val="paragraph"/>
      </w:pPr>
      <w:r w:rsidRPr="00285945">
        <w:tab/>
        <w:t>(e)</w:t>
      </w:r>
      <w:r w:rsidRPr="00285945">
        <w:tab/>
        <w:t xml:space="preserve">a right in respect of, or an interest in, an intangible asset if, because of this subsection, this section does not apply in relation to that intangible </w:t>
      </w:r>
      <w:proofErr w:type="gramStart"/>
      <w:r w:rsidRPr="00285945">
        <w:t>asset;</w:t>
      </w:r>
      <w:proofErr w:type="gramEnd"/>
    </w:p>
    <w:p w14:paraId="71C78AA1" w14:textId="77777777" w:rsidR="00CE7E14" w:rsidRPr="00285945" w:rsidRDefault="00CE7E14" w:rsidP="00CE7E14">
      <w:pPr>
        <w:pStyle w:val="paragraph"/>
      </w:pPr>
      <w:r w:rsidRPr="00285945">
        <w:tab/>
        <w:t>(f)</w:t>
      </w:r>
      <w:r w:rsidRPr="00285945">
        <w:tab/>
        <w:t>anything prescribed by the regulations for the purposes of this paragraph.</w:t>
      </w:r>
    </w:p>
    <w:p w14:paraId="0F1E2566" w14:textId="77777777" w:rsidR="00CE7E14" w:rsidRPr="00285945" w:rsidRDefault="00CE7E14" w:rsidP="00CE7E14">
      <w:pPr>
        <w:pStyle w:val="SubsectionHead"/>
      </w:pPr>
      <w:r w:rsidRPr="00285945">
        <w:t>Exception if amounts paid to Commissioner in relation to royalty</w:t>
      </w:r>
    </w:p>
    <w:p w14:paraId="128D648B" w14:textId="77777777" w:rsidR="00CE7E14" w:rsidRPr="00285945" w:rsidRDefault="00CE7E14" w:rsidP="00CE7E14">
      <w:pPr>
        <w:pStyle w:val="subsection"/>
      </w:pPr>
      <w:r w:rsidRPr="00285945">
        <w:tab/>
        <w:t>(8)</w:t>
      </w:r>
      <w:r w:rsidRPr="00285945">
        <w:tab/>
        <w:t>Subsection (9) applies if:</w:t>
      </w:r>
    </w:p>
    <w:p w14:paraId="5556DB99" w14:textId="77777777" w:rsidR="00CE7E14" w:rsidRPr="00285945" w:rsidRDefault="00CE7E14" w:rsidP="00CE7E14">
      <w:pPr>
        <w:pStyle w:val="paragraph"/>
      </w:pPr>
      <w:r w:rsidRPr="00285945">
        <w:tab/>
        <w:t>(a)</w:t>
      </w:r>
      <w:r w:rsidRPr="00285945">
        <w:tab/>
        <w:t xml:space="preserve">all or part of the payment to which </w:t>
      </w:r>
      <w:r>
        <w:t>subsection (</w:t>
      </w:r>
      <w:r w:rsidRPr="00285945">
        <w:t xml:space="preserve">2) applies is a </w:t>
      </w:r>
      <w:r w:rsidRPr="005F46BB">
        <w:rPr>
          <w:position w:val="6"/>
          <w:sz w:val="16"/>
        </w:rPr>
        <w:t>*</w:t>
      </w:r>
      <w:r w:rsidRPr="00285945">
        <w:t>royalty; and</w:t>
      </w:r>
    </w:p>
    <w:p w14:paraId="003351C8" w14:textId="77777777" w:rsidR="00CE7E14" w:rsidRPr="00285945" w:rsidRDefault="00CE7E14" w:rsidP="00CE7E14">
      <w:pPr>
        <w:pStyle w:val="paragraph"/>
      </w:pPr>
      <w:r w:rsidRPr="00285945">
        <w:tab/>
        <w:t>(b)</w:t>
      </w:r>
      <w:r w:rsidRPr="00285945">
        <w:tab/>
        <w:t xml:space="preserve">apart from </w:t>
      </w:r>
      <w:r>
        <w:t>subsection (</w:t>
      </w:r>
      <w:r w:rsidRPr="00285945">
        <w:t>2), the payer mentioned in that subsection can deduct an amount for the royalty for an income year; and</w:t>
      </w:r>
    </w:p>
    <w:p w14:paraId="4BD506ED" w14:textId="77777777" w:rsidR="00CE7E14" w:rsidRPr="00285945" w:rsidRDefault="00CE7E14" w:rsidP="00CE7E14">
      <w:pPr>
        <w:pStyle w:val="paragraph"/>
      </w:pPr>
      <w:r w:rsidRPr="00285945">
        <w:tab/>
        <w:t>(c)</w:t>
      </w:r>
      <w:r w:rsidRPr="00285945">
        <w:tab/>
        <w:t xml:space="preserve">the payer paid an amount (the </w:t>
      </w:r>
      <w:r w:rsidRPr="00285945">
        <w:rPr>
          <w:b/>
          <w:i/>
        </w:rPr>
        <w:t>paid amount</w:t>
      </w:r>
      <w:r w:rsidRPr="00285945">
        <w:t>) relating to the royalty to the Commissioner under section 16</w:t>
      </w:r>
      <w:r>
        <w:noBreakHyphen/>
      </w:r>
      <w:r w:rsidRPr="00285945">
        <w:t xml:space="preserve">70 in Schedule 1 to the </w:t>
      </w:r>
      <w:r w:rsidRPr="00285945">
        <w:rPr>
          <w:i/>
        </w:rPr>
        <w:t>Taxation Administration Act 1953</w:t>
      </w:r>
      <w:r w:rsidRPr="00285945">
        <w:t>, either:</w:t>
      </w:r>
    </w:p>
    <w:p w14:paraId="46777E73" w14:textId="77777777" w:rsidR="00CE7E14" w:rsidRPr="00285945" w:rsidRDefault="00CE7E14" w:rsidP="00CE7E14">
      <w:pPr>
        <w:pStyle w:val="paragraphsub"/>
      </w:pPr>
      <w:r w:rsidRPr="00285945">
        <w:tab/>
        <w:t>(i)</w:t>
      </w:r>
      <w:r w:rsidRPr="00285945">
        <w:tab/>
        <w:t>because the entity withheld an amount from the royalty in compliance with Subdivision 12</w:t>
      </w:r>
      <w:r>
        <w:noBreakHyphen/>
      </w:r>
      <w:r w:rsidRPr="00285945">
        <w:t>F in that Schedule; or</w:t>
      </w:r>
    </w:p>
    <w:p w14:paraId="713AED86" w14:textId="77777777" w:rsidR="00CE7E14" w:rsidRPr="00285945" w:rsidRDefault="00CE7E14" w:rsidP="00CE7E14">
      <w:pPr>
        <w:pStyle w:val="paragraphsub"/>
      </w:pPr>
      <w:r w:rsidRPr="00285945">
        <w:tab/>
        <w:t>(ii)</w:t>
      </w:r>
      <w:r w:rsidRPr="00285945">
        <w:tab/>
        <w:t xml:space="preserve">for a royalty in the form of a </w:t>
      </w:r>
      <w:r w:rsidRPr="005F46BB">
        <w:rPr>
          <w:position w:val="6"/>
          <w:sz w:val="16"/>
        </w:rPr>
        <w:t>*</w:t>
      </w:r>
      <w:r w:rsidRPr="00285945">
        <w:t>non</w:t>
      </w:r>
      <w:r>
        <w:noBreakHyphen/>
      </w:r>
      <w:r w:rsidRPr="00285945">
        <w:t>cash benefit—because section 14</w:t>
      </w:r>
      <w:r>
        <w:noBreakHyphen/>
      </w:r>
      <w:r w:rsidRPr="00285945">
        <w:t>5 or 14</w:t>
      </w:r>
      <w:r>
        <w:noBreakHyphen/>
      </w:r>
      <w:r w:rsidRPr="00285945">
        <w:t>10 in that Schedule, together with Subdivision 12</w:t>
      </w:r>
      <w:r>
        <w:noBreakHyphen/>
      </w:r>
      <w:r w:rsidRPr="00285945">
        <w:t>F, required the entity to pay the amount to the Commissioner before providing the benefit.</w:t>
      </w:r>
    </w:p>
    <w:p w14:paraId="7CB70F28" w14:textId="77777777" w:rsidR="00CE7E14" w:rsidRPr="00285945" w:rsidRDefault="00CE7E14" w:rsidP="00CE7E14">
      <w:pPr>
        <w:pStyle w:val="subsection"/>
      </w:pPr>
      <w:r w:rsidRPr="00285945">
        <w:tab/>
        <w:t>(9)</w:t>
      </w:r>
      <w:r w:rsidRPr="00285945">
        <w:tab/>
        <w:t xml:space="preserve">Despite </w:t>
      </w:r>
      <w:r>
        <w:t>subsection (</w:t>
      </w:r>
      <w:r w:rsidRPr="00285945">
        <w:t>2), the amount the entity cannot deduct in an income year is the difference between:</w:t>
      </w:r>
    </w:p>
    <w:p w14:paraId="15CD7DE0" w14:textId="77777777" w:rsidR="00CE7E14" w:rsidRPr="00285945" w:rsidRDefault="00CE7E14" w:rsidP="00CE7E14">
      <w:pPr>
        <w:pStyle w:val="paragraph"/>
      </w:pPr>
      <w:r w:rsidRPr="00285945">
        <w:lastRenderedPageBreak/>
        <w:tab/>
        <w:t>(a)</w:t>
      </w:r>
      <w:r w:rsidRPr="00285945">
        <w:tab/>
        <w:t xml:space="preserve">so much of the deduction for the payment (including for any part of the payment that is not a </w:t>
      </w:r>
      <w:r w:rsidRPr="005F46BB">
        <w:rPr>
          <w:position w:val="6"/>
          <w:sz w:val="16"/>
        </w:rPr>
        <w:t>*</w:t>
      </w:r>
      <w:r w:rsidRPr="00285945">
        <w:t xml:space="preserve">royalty) as would, apart from this subsection, be disallowable under </w:t>
      </w:r>
      <w:r>
        <w:t>subsection (</w:t>
      </w:r>
      <w:r w:rsidRPr="00285945">
        <w:t>2); and</w:t>
      </w:r>
    </w:p>
    <w:p w14:paraId="0762B619" w14:textId="77777777" w:rsidR="00CE7E14" w:rsidRPr="00285945" w:rsidRDefault="00CE7E14" w:rsidP="00CE7E14">
      <w:pPr>
        <w:pStyle w:val="paragraph"/>
      </w:pPr>
      <w:r w:rsidRPr="00285945">
        <w:tab/>
        <w:t>(b)</w:t>
      </w:r>
      <w:r w:rsidRPr="00285945">
        <w:tab/>
        <w:t xml:space="preserve">the amount calculated by dividing the paid amount mentioned in paragraph (8)(c) by the entity’s </w:t>
      </w:r>
      <w:r w:rsidRPr="005F46BB">
        <w:rPr>
          <w:position w:val="6"/>
          <w:sz w:val="16"/>
        </w:rPr>
        <w:t>*</w:t>
      </w:r>
      <w:r w:rsidRPr="00285945">
        <w:t>corporate tax rate for the income year.</w:t>
      </w:r>
    </w:p>
    <w:p w14:paraId="70F087A3" w14:textId="77777777" w:rsidR="00CE7E14" w:rsidRPr="00285945" w:rsidRDefault="00CE7E14" w:rsidP="00CE7E14">
      <w:pPr>
        <w:pStyle w:val="SubsectionHead"/>
      </w:pPr>
      <w:r w:rsidRPr="00285945">
        <w:t xml:space="preserve">Meaning of </w:t>
      </w:r>
      <w:r w:rsidRPr="00285945">
        <w:rPr>
          <w:b/>
        </w:rPr>
        <w:t>exploit</w:t>
      </w:r>
    </w:p>
    <w:p w14:paraId="56907F03" w14:textId="77777777" w:rsidR="00CE7E14" w:rsidRPr="00285945" w:rsidRDefault="00CE7E14" w:rsidP="00CE7E14">
      <w:pPr>
        <w:pStyle w:val="subsection"/>
      </w:pPr>
      <w:r w:rsidRPr="00285945">
        <w:tab/>
        <w:t>(10)</w:t>
      </w:r>
      <w:r w:rsidRPr="00285945">
        <w:tab/>
      </w:r>
      <w:r w:rsidRPr="00285945">
        <w:rPr>
          <w:b/>
          <w:i/>
        </w:rPr>
        <w:t>Exploit</w:t>
      </w:r>
      <w:r w:rsidRPr="00285945">
        <w:t xml:space="preserve"> an intangible asset includes:</w:t>
      </w:r>
    </w:p>
    <w:p w14:paraId="0065673E" w14:textId="77777777" w:rsidR="00CE7E14" w:rsidRPr="00285945" w:rsidRDefault="00CE7E14" w:rsidP="00CE7E14">
      <w:pPr>
        <w:pStyle w:val="paragraph"/>
      </w:pPr>
      <w:r w:rsidRPr="00285945">
        <w:tab/>
        <w:t>(a)</w:t>
      </w:r>
      <w:r w:rsidRPr="00285945">
        <w:tab/>
        <w:t>use the intangible asset; and</w:t>
      </w:r>
    </w:p>
    <w:p w14:paraId="4D365E22" w14:textId="77777777" w:rsidR="00CE7E14" w:rsidRPr="00285945" w:rsidRDefault="00CE7E14" w:rsidP="00CE7E14">
      <w:pPr>
        <w:pStyle w:val="paragraph"/>
      </w:pPr>
      <w:r w:rsidRPr="00285945">
        <w:tab/>
        <w:t>(b)</w:t>
      </w:r>
      <w:r w:rsidRPr="00285945">
        <w:tab/>
        <w:t xml:space="preserve">market, sell, </w:t>
      </w:r>
      <w:proofErr w:type="gramStart"/>
      <w:r w:rsidRPr="00285945">
        <w:t>license</w:t>
      </w:r>
      <w:proofErr w:type="gramEnd"/>
      <w:r w:rsidRPr="00285945">
        <w:t xml:space="preserve"> or distribute the intangible asset; and</w:t>
      </w:r>
    </w:p>
    <w:p w14:paraId="39C6296D" w14:textId="77777777" w:rsidR="00CE7E14" w:rsidRPr="00285945" w:rsidRDefault="00CE7E14" w:rsidP="00CE7E14">
      <w:pPr>
        <w:pStyle w:val="paragraph"/>
      </w:pPr>
      <w:r w:rsidRPr="00285945">
        <w:tab/>
        <w:t>(c)</w:t>
      </w:r>
      <w:r w:rsidRPr="00285945">
        <w:tab/>
        <w:t xml:space="preserve">supply, receive, or forbear in respect of, the intangible asset if paragraph (c), (d), (da) or (f) of the definition of </w:t>
      </w:r>
      <w:r w:rsidRPr="00285945">
        <w:rPr>
          <w:b/>
          <w:i/>
        </w:rPr>
        <w:t>royalty</w:t>
      </w:r>
      <w:r w:rsidRPr="00285945">
        <w:t xml:space="preserve"> in subsection 6(1) of the </w:t>
      </w:r>
      <w:r w:rsidRPr="00285945">
        <w:rPr>
          <w:i/>
        </w:rPr>
        <w:t>Income Tax Assessment Act 1936</w:t>
      </w:r>
      <w:r w:rsidRPr="00285945">
        <w:t xml:space="preserve"> applies to the supply, </w:t>
      </w:r>
      <w:proofErr w:type="gramStart"/>
      <w:r w:rsidRPr="00285945">
        <w:t>receipt</w:t>
      </w:r>
      <w:proofErr w:type="gramEnd"/>
      <w:r w:rsidRPr="00285945">
        <w:t xml:space="preserve"> or forbearance; and</w:t>
      </w:r>
    </w:p>
    <w:p w14:paraId="0230121E" w14:textId="77777777" w:rsidR="00CE7E14" w:rsidRPr="00285945" w:rsidRDefault="00CE7E14" w:rsidP="00CE7E14">
      <w:pPr>
        <w:pStyle w:val="paragraph"/>
      </w:pPr>
      <w:r w:rsidRPr="00285945">
        <w:tab/>
        <w:t>(d)</w:t>
      </w:r>
      <w:r w:rsidRPr="00285945">
        <w:tab/>
        <w:t>exploit another intangible asset that is a right in respect of, or an interest in, the intangible asset; and</w:t>
      </w:r>
    </w:p>
    <w:p w14:paraId="0933C25F" w14:textId="77777777" w:rsidR="00CE7E14" w:rsidRPr="00285945" w:rsidRDefault="00CE7E14" w:rsidP="00CE7E14">
      <w:pPr>
        <w:pStyle w:val="paragraph"/>
      </w:pPr>
      <w:r w:rsidRPr="00285945">
        <w:tab/>
        <w:t>(e)</w:t>
      </w:r>
      <w:r w:rsidRPr="00285945">
        <w:tab/>
        <w:t>do anything else in respect of the intangible asset.</w:t>
      </w:r>
    </w:p>
    <w:p w14:paraId="21B47635" w14:textId="77777777" w:rsidR="00CE7E14" w:rsidRPr="00285945" w:rsidRDefault="00CE7E14" w:rsidP="00CE7E14">
      <w:pPr>
        <w:pStyle w:val="ItemHead"/>
      </w:pPr>
      <w:proofErr w:type="gramStart"/>
      <w:r w:rsidRPr="00285945">
        <w:t>3  After</w:t>
      </w:r>
      <w:proofErr w:type="gramEnd"/>
      <w:r w:rsidRPr="00285945">
        <w:t xml:space="preserve"> Subdivision 960</w:t>
      </w:r>
      <w:r>
        <w:noBreakHyphen/>
      </w:r>
      <w:r w:rsidRPr="00285945">
        <w:t>J</w:t>
      </w:r>
    </w:p>
    <w:p w14:paraId="2327827F" w14:textId="77777777" w:rsidR="00CE7E14" w:rsidRPr="00285945" w:rsidRDefault="00CE7E14" w:rsidP="00CE7E14">
      <w:pPr>
        <w:pStyle w:val="Item"/>
      </w:pPr>
      <w:r w:rsidRPr="00285945">
        <w:t>Insert:</w:t>
      </w:r>
    </w:p>
    <w:p w14:paraId="3DC61605" w14:textId="77777777" w:rsidR="00CE7E14" w:rsidRPr="00285945" w:rsidRDefault="00CE7E14" w:rsidP="00CE7E14">
      <w:pPr>
        <w:pStyle w:val="ActHead4"/>
      </w:pPr>
      <w:bookmarkStart w:id="5" w:name="_Toc137565851"/>
      <w:r w:rsidRPr="00FD00CF">
        <w:rPr>
          <w:rStyle w:val="CharSubdNo"/>
        </w:rPr>
        <w:t>Subdivision 960</w:t>
      </w:r>
      <w:r w:rsidRPr="00FD00CF">
        <w:rPr>
          <w:rStyle w:val="CharSubdNo"/>
        </w:rPr>
        <w:noBreakHyphen/>
        <w:t>L</w:t>
      </w:r>
      <w:r w:rsidRPr="00285945">
        <w:t>—</w:t>
      </w:r>
      <w:r w:rsidRPr="00FD00CF">
        <w:rPr>
          <w:rStyle w:val="CharSubdText"/>
        </w:rPr>
        <w:t>Low corporate tax jurisdictions</w:t>
      </w:r>
      <w:bookmarkEnd w:id="5"/>
    </w:p>
    <w:p w14:paraId="734791C5" w14:textId="77777777" w:rsidR="00CE7E14" w:rsidRPr="00285945" w:rsidRDefault="00CE7E14" w:rsidP="00CE7E14">
      <w:pPr>
        <w:pStyle w:val="TofSectsHeading"/>
      </w:pPr>
      <w:r w:rsidRPr="00285945">
        <w:t>Table of sections</w:t>
      </w:r>
    </w:p>
    <w:p w14:paraId="1BB033E5" w14:textId="77777777" w:rsidR="00CE7E14" w:rsidRPr="00285945" w:rsidRDefault="00CE7E14" w:rsidP="00CE7E14">
      <w:pPr>
        <w:pStyle w:val="TofSectsSection"/>
      </w:pPr>
      <w:bookmarkStart w:id="6" w:name="_Hlk130484689"/>
      <w:r w:rsidRPr="00285945">
        <w:t>960</w:t>
      </w:r>
      <w:r>
        <w:noBreakHyphen/>
      </w:r>
      <w:r w:rsidRPr="00285945">
        <w:t>258</w:t>
      </w:r>
      <w:r w:rsidRPr="00285945">
        <w:tab/>
        <w:t>Low corporate tax jurisdictions</w:t>
      </w:r>
    </w:p>
    <w:p w14:paraId="51C39F73" w14:textId="77777777" w:rsidR="00CE7E14" w:rsidRPr="00285945" w:rsidRDefault="00CE7E14" w:rsidP="00CE7E14">
      <w:pPr>
        <w:pStyle w:val="ActHead5"/>
      </w:pPr>
      <w:bookmarkStart w:id="7" w:name="_Toc137565852"/>
      <w:r w:rsidRPr="00FD00CF">
        <w:rPr>
          <w:rStyle w:val="CharSectno"/>
        </w:rPr>
        <w:t>960</w:t>
      </w:r>
      <w:r w:rsidRPr="00FD00CF">
        <w:rPr>
          <w:rStyle w:val="CharSectno"/>
        </w:rPr>
        <w:noBreakHyphen/>
      </w:r>
      <w:proofErr w:type="gramStart"/>
      <w:r w:rsidRPr="00FD00CF">
        <w:rPr>
          <w:rStyle w:val="CharSectno"/>
        </w:rPr>
        <w:t>258</w:t>
      </w:r>
      <w:r w:rsidRPr="00285945">
        <w:t xml:space="preserve">  Low</w:t>
      </w:r>
      <w:proofErr w:type="gramEnd"/>
      <w:r w:rsidRPr="00285945">
        <w:t xml:space="preserve"> corporate tax jurisdictions</w:t>
      </w:r>
      <w:bookmarkEnd w:id="7"/>
    </w:p>
    <w:bookmarkEnd w:id="6"/>
    <w:p w14:paraId="58C8CEA6" w14:textId="77777777" w:rsidR="00CE7E14" w:rsidRPr="00285945" w:rsidRDefault="00CE7E14" w:rsidP="00CE7E14">
      <w:pPr>
        <w:pStyle w:val="subsection"/>
      </w:pPr>
      <w:r w:rsidRPr="00285945">
        <w:tab/>
        <w:t>(1)</w:t>
      </w:r>
      <w:r w:rsidRPr="00285945">
        <w:tab/>
        <w:t xml:space="preserve">A foreign country is a </w:t>
      </w:r>
      <w:r w:rsidRPr="00285945">
        <w:rPr>
          <w:b/>
          <w:i/>
        </w:rPr>
        <w:t>low corporate tax jurisdiction</w:t>
      </w:r>
      <w:r w:rsidRPr="00285945">
        <w:t xml:space="preserve"> if:</w:t>
      </w:r>
    </w:p>
    <w:p w14:paraId="2AACA846" w14:textId="77777777" w:rsidR="00CE7E14" w:rsidRPr="00285945" w:rsidRDefault="00CE7E14" w:rsidP="00CE7E14">
      <w:pPr>
        <w:pStyle w:val="paragraph"/>
      </w:pPr>
      <w:r w:rsidRPr="00285945">
        <w:tab/>
        <w:t>(a)</w:t>
      </w:r>
      <w:r w:rsidRPr="00285945">
        <w:tab/>
        <w:t>the rate of corporate income tax under the laws of that foreign country is:</w:t>
      </w:r>
    </w:p>
    <w:p w14:paraId="3CC04379" w14:textId="77777777" w:rsidR="00CE7E14" w:rsidRPr="00285945" w:rsidRDefault="00CE7E14" w:rsidP="00CE7E14">
      <w:pPr>
        <w:pStyle w:val="paragraphsub"/>
      </w:pPr>
      <w:r w:rsidRPr="00285945">
        <w:tab/>
        <w:t>(i)</w:t>
      </w:r>
      <w:r w:rsidRPr="00285945">
        <w:tab/>
        <w:t>less than 15%; or</w:t>
      </w:r>
    </w:p>
    <w:p w14:paraId="36E93BB8" w14:textId="77777777" w:rsidR="00CE7E14" w:rsidRPr="00285945" w:rsidRDefault="00CE7E14" w:rsidP="00CE7E14">
      <w:pPr>
        <w:pStyle w:val="paragraphsub"/>
      </w:pPr>
      <w:r w:rsidRPr="00285945">
        <w:tab/>
        <w:t>(ii)</w:t>
      </w:r>
      <w:r w:rsidRPr="00285945">
        <w:tab/>
        <w:t>nil; or</w:t>
      </w:r>
    </w:p>
    <w:p w14:paraId="2CA4D59D" w14:textId="77777777" w:rsidR="00CE7E14" w:rsidRPr="00285945" w:rsidRDefault="00CE7E14" w:rsidP="00CE7E14">
      <w:pPr>
        <w:pStyle w:val="paragraph"/>
      </w:pPr>
      <w:r w:rsidRPr="00285945">
        <w:tab/>
        <w:t>(b)</w:t>
      </w:r>
      <w:r w:rsidRPr="00285945">
        <w:tab/>
        <w:t xml:space="preserve">the foreign country is determined under </w:t>
      </w:r>
      <w:r>
        <w:t>subsection (</w:t>
      </w:r>
      <w:r w:rsidRPr="00285945">
        <w:t>4).</w:t>
      </w:r>
    </w:p>
    <w:p w14:paraId="4AA3C4B9" w14:textId="77777777" w:rsidR="00CE7E14" w:rsidRPr="00285945" w:rsidRDefault="00CE7E14" w:rsidP="00CE7E14">
      <w:pPr>
        <w:pStyle w:val="subsection"/>
      </w:pPr>
      <w:r w:rsidRPr="00285945">
        <w:tab/>
        <w:t>(2)</w:t>
      </w:r>
      <w:r w:rsidRPr="00285945">
        <w:tab/>
        <w:t>For the purposes of paragraph (1)(a):</w:t>
      </w:r>
    </w:p>
    <w:p w14:paraId="07BEBB23" w14:textId="77777777" w:rsidR="00CE7E14" w:rsidRPr="00285945" w:rsidRDefault="00CE7E14" w:rsidP="00CE7E14">
      <w:pPr>
        <w:pStyle w:val="paragraph"/>
      </w:pPr>
      <w:r w:rsidRPr="00285945">
        <w:tab/>
        <w:t>(a)</w:t>
      </w:r>
      <w:r w:rsidRPr="00285945">
        <w:tab/>
        <w:t xml:space="preserve">have regard only to tax that applies to income derived in the ordinary course of carrying on a </w:t>
      </w:r>
      <w:r w:rsidRPr="005F46BB">
        <w:rPr>
          <w:position w:val="6"/>
          <w:sz w:val="16"/>
        </w:rPr>
        <w:t>*</w:t>
      </w:r>
      <w:r w:rsidRPr="00285945">
        <w:t>business; and</w:t>
      </w:r>
    </w:p>
    <w:p w14:paraId="3B1DDD98" w14:textId="77777777" w:rsidR="00CE7E14" w:rsidRPr="00285945" w:rsidRDefault="00CE7E14" w:rsidP="00CE7E14">
      <w:pPr>
        <w:pStyle w:val="paragraph"/>
      </w:pPr>
      <w:r w:rsidRPr="00285945">
        <w:tab/>
        <w:t>(b)</w:t>
      </w:r>
      <w:r w:rsidRPr="00285945">
        <w:tab/>
        <w:t>disregard:</w:t>
      </w:r>
    </w:p>
    <w:p w14:paraId="03CAECAF" w14:textId="77777777" w:rsidR="00CE7E14" w:rsidRPr="00285945" w:rsidRDefault="00CE7E14" w:rsidP="00CE7E14">
      <w:pPr>
        <w:pStyle w:val="paragraphsub"/>
      </w:pPr>
      <w:r w:rsidRPr="00285945">
        <w:lastRenderedPageBreak/>
        <w:tab/>
        <w:t>(i)</w:t>
      </w:r>
      <w:r w:rsidRPr="00285945">
        <w:tab/>
        <w:t>the effect of deductions, offsets, tax credits, tax losses, tax treaties, concessions for intra</w:t>
      </w:r>
      <w:r>
        <w:noBreakHyphen/>
      </w:r>
      <w:r w:rsidRPr="00285945">
        <w:t xml:space="preserve">group dividends, exemptions for </w:t>
      </w:r>
      <w:proofErr w:type="gramStart"/>
      <w:r w:rsidRPr="00285945">
        <w:t>particular industries</w:t>
      </w:r>
      <w:proofErr w:type="gramEnd"/>
      <w:r w:rsidRPr="00285945">
        <w:t xml:space="preserve"> and exemptions for particular types of income; and</w:t>
      </w:r>
    </w:p>
    <w:p w14:paraId="1AE6AE99" w14:textId="77777777" w:rsidR="00CE7E14" w:rsidRPr="00285945" w:rsidRDefault="00CE7E14" w:rsidP="00CE7E14">
      <w:pPr>
        <w:pStyle w:val="paragraphsub"/>
      </w:pPr>
      <w:r w:rsidRPr="00285945">
        <w:tab/>
        <w:t>(ii)</w:t>
      </w:r>
      <w:r w:rsidRPr="00285945">
        <w:tab/>
        <w:t>rates of income tax that apply only to non</w:t>
      </w:r>
      <w:r>
        <w:noBreakHyphen/>
      </w:r>
      <w:r w:rsidRPr="00285945">
        <w:t>residents; and</w:t>
      </w:r>
    </w:p>
    <w:p w14:paraId="1EC4DFD4" w14:textId="77777777" w:rsidR="00CE7E14" w:rsidRPr="00285945" w:rsidRDefault="00CE7E14" w:rsidP="00CE7E14">
      <w:pPr>
        <w:pStyle w:val="paragraph"/>
      </w:pPr>
      <w:r w:rsidRPr="00285945">
        <w:tab/>
        <w:t>(c)</w:t>
      </w:r>
      <w:r w:rsidRPr="00285945">
        <w:tab/>
        <w:t>if the application or rate of income tax under the laws mentioned in paragraph (1)(a) depends, to any extent, on the amount of income of the taxpayer—have regard only to the highest possible rate; and</w:t>
      </w:r>
    </w:p>
    <w:p w14:paraId="01CB7CFE" w14:textId="77777777" w:rsidR="00CE7E14" w:rsidRPr="00285945" w:rsidRDefault="00CE7E14" w:rsidP="00CE7E14">
      <w:pPr>
        <w:pStyle w:val="paragraph"/>
      </w:pPr>
      <w:r w:rsidRPr="00285945">
        <w:tab/>
        <w:t>(d)</w:t>
      </w:r>
      <w:r w:rsidRPr="00285945">
        <w:tab/>
        <w:t>if, under those laws and after applying paragraphs (a) to (c), there are different rates of income tax for different types of income—have regard only to the lowest rate.</w:t>
      </w:r>
    </w:p>
    <w:p w14:paraId="7686DFDB" w14:textId="77777777" w:rsidR="00CE7E14" w:rsidRPr="00285945" w:rsidRDefault="00CE7E14" w:rsidP="00CE7E14">
      <w:pPr>
        <w:pStyle w:val="subsection"/>
      </w:pPr>
      <w:r w:rsidRPr="00285945">
        <w:tab/>
        <w:t>(3)</w:t>
      </w:r>
      <w:r w:rsidRPr="00285945">
        <w:tab/>
        <w:t xml:space="preserve">For the purposes of </w:t>
      </w:r>
      <w:r>
        <w:t>subsection (</w:t>
      </w:r>
      <w:r w:rsidRPr="00285945">
        <w:t>1), treat the rate of corporate income tax on a particular amount of income under the laws of a foreign country as being nil if, under those laws, there is no income tax on that income.</w:t>
      </w:r>
    </w:p>
    <w:p w14:paraId="2F46CE9F" w14:textId="77777777" w:rsidR="00CE7E14" w:rsidRPr="00285945" w:rsidRDefault="00CE7E14" w:rsidP="00CE7E14">
      <w:pPr>
        <w:pStyle w:val="SubsectionHead"/>
      </w:pPr>
      <w:r w:rsidRPr="00285945">
        <w:t>Preferential patent box regimes</w:t>
      </w:r>
    </w:p>
    <w:p w14:paraId="4A71701E" w14:textId="77777777" w:rsidR="00CE7E14" w:rsidRPr="00285945" w:rsidRDefault="00CE7E14" w:rsidP="00CE7E14">
      <w:pPr>
        <w:pStyle w:val="subsection"/>
      </w:pPr>
      <w:r w:rsidRPr="00285945">
        <w:tab/>
        <w:t>(4)</w:t>
      </w:r>
      <w:r w:rsidRPr="00285945">
        <w:tab/>
        <w:t>For the purposes of paragraph (1)(b), the Minister may, by legislative instrument, determine a foreign country if the Minister is satisfied that the income tax laws of the foreign country provide for a preferential patent box regime without sufficient economic substance.</w:t>
      </w:r>
    </w:p>
    <w:p w14:paraId="7CE71E3D" w14:textId="77777777" w:rsidR="00CE7E14" w:rsidRPr="00285945" w:rsidRDefault="00CE7E14" w:rsidP="00CE7E14">
      <w:pPr>
        <w:pStyle w:val="subsection"/>
      </w:pPr>
      <w:r w:rsidRPr="00285945">
        <w:tab/>
        <w:t>(5)</w:t>
      </w:r>
      <w:r w:rsidRPr="00285945">
        <w:tab/>
        <w:t xml:space="preserve">In </w:t>
      </w:r>
      <w:proofErr w:type="gramStart"/>
      <w:r w:rsidRPr="00285945">
        <w:t>making a determination</w:t>
      </w:r>
      <w:proofErr w:type="gramEnd"/>
      <w:r w:rsidRPr="00285945">
        <w:t xml:space="preserve"> under </w:t>
      </w:r>
      <w:r>
        <w:t>subsection (</w:t>
      </w:r>
      <w:r w:rsidRPr="00285945">
        <w:t>4), the Minister may have regard to any relevant findings, determinations, advice, reports or other publications of the Council of the Organisation for Economic Cooperation and Development.</w:t>
      </w:r>
    </w:p>
    <w:p w14:paraId="49800737" w14:textId="77777777" w:rsidR="00CE7E14" w:rsidRPr="00285945" w:rsidRDefault="00CE7E14" w:rsidP="00CE7E14">
      <w:pPr>
        <w:pStyle w:val="Transitional"/>
      </w:pPr>
      <w:proofErr w:type="gramStart"/>
      <w:r w:rsidRPr="00285945">
        <w:t>4  Subsection</w:t>
      </w:r>
      <w:proofErr w:type="gramEnd"/>
      <w:r w:rsidRPr="00285945">
        <w:t> 995</w:t>
      </w:r>
      <w:r>
        <w:noBreakHyphen/>
      </w:r>
      <w:r w:rsidRPr="00285945">
        <w:t>1(1)</w:t>
      </w:r>
    </w:p>
    <w:p w14:paraId="4FA1A8F7" w14:textId="77777777" w:rsidR="00CE7E14" w:rsidRPr="00285945" w:rsidRDefault="00CE7E14" w:rsidP="00CE7E14">
      <w:pPr>
        <w:pStyle w:val="Item"/>
      </w:pPr>
      <w:r w:rsidRPr="00285945">
        <w:t>Insert:</w:t>
      </w:r>
    </w:p>
    <w:p w14:paraId="07DBD95C" w14:textId="77777777" w:rsidR="00CE7E14" w:rsidRPr="00285945" w:rsidRDefault="00CE7E14" w:rsidP="00CE7E14">
      <w:pPr>
        <w:pStyle w:val="Definition"/>
      </w:pPr>
      <w:r w:rsidRPr="00285945">
        <w:rPr>
          <w:b/>
          <w:i/>
        </w:rPr>
        <w:t>exploit</w:t>
      </w:r>
      <w:r w:rsidRPr="00285945">
        <w:t xml:space="preserve"> an intangible asset has a meaning affected by subsection 26</w:t>
      </w:r>
      <w:r>
        <w:noBreakHyphen/>
      </w:r>
      <w:r w:rsidRPr="00285945">
        <w:t>110(10).</w:t>
      </w:r>
    </w:p>
    <w:p w14:paraId="182E58CB" w14:textId="77777777" w:rsidR="00CE7E14" w:rsidRPr="00285945" w:rsidRDefault="00CE7E14" w:rsidP="00CE7E14">
      <w:pPr>
        <w:pStyle w:val="Definition"/>
      </w:pPr>
      <w:r w:rsidRPr="00285945">
        <w:rPr>
          <w:b/>
          <w:i/>
        </w:rPr>
        <w:t>low corporate tax jurisdiction</w:t>
      </w:r>
      <w:r w:rsidRPr="00285945">
        <w:t xml:space="preserve"> has the meaning given by section 960</w:t>
      </w:r>
      <w:r>
        <w:noBreakHyphen/>
      </w:r>
      <w:r w:rsidRPr="00285945">
        <w:t>258.</w:t>
      </w:r>
    </w:p>
    <w:p w14:paraId="45112A54" w14:textId="77777777" w:rsidR="00CE7E14" w:rsidRPr="00285945" w:rsidRDefault="00CE7E14" w:rsidP="00CE7E14">
      <w:pPr>
        <w:pStyle w:val="ActHead9"/>
      </w:pPr>
      <w:bookmarkStart w:id="8" w:name="_Toc137565853"/>
      <w:r w:rsidRPr="00285945">
        <w:t>Taxation Administration Act 1953</w:t>
      </w:r>
      <w:bookmarkEnd w:id="8"/>
    </w:p>
    <w:p w14:paraId="3E91B667" w14:textId="77777777" w:rsidR="00CE7E14" w:rsidRPr="00285945" w:rsidRDefault="00CE7E14" w:rsidP="00CE7E14">
      <w:pPr>
        <w:pStyle w:val="ItemHead"/>
      </w:pPr>
      <w:proofErr w:type="gramStart"/>
      <w:r w:rsidRPr="00285945">
        <w:t>5  After</w:t>
      </w:r>
      <w:proofErr w:type="gramEnd"/>
      <w:r w:rsidRPr="00285945">
        <w:t xml:space="preserve"> subsection 284</w:t>
      </w:r>
      <w:r>
        <w:noBreakHyphen/>
      </w:r>
      <w:r w:rsidRPr="00285945">
        <w:t>90(1B) in Schedule 1</w:t>
      </w:r>
    </w:p>
    <w:p w14:paraId="770F57BE" w14:textId="77777777" w:rsidR="00CE7E14" w:rsidRPr="00285945" w:rsidRDefault="00CE7E14" w:rsidP="00CE7E14">
      <w:pPr>
        <w:pStyle w:val="Item"/>
      </w:pPr>
      <w:r w:rsidRPr="00285945">
        <w:t>Insert:</w:t>
      </w:r>
    </w:p>
    <w:p w14:paraId="22A61B6C" w14:textId="77777777" w:rsidR="00CE7E14" w:rsidRPr="00285945" w:rsidRDefault="00CE7E14" w:rsidP="00CE7E14">
      <w:pPr>
        <w:pStyle w:val="subsection"/>
      </w:pPr>
      <w:r w:rsidRPr="00285945">
        <w:lastRenderedPageBreak/>
        <w:tab/>
        <w:t>(1C)</w:t>
      </w:r>
      <w:r w:rsidRPr="00285945">
        <w:tab/>
        <w:t xml:space="preserve">The </w:t>
      </w:r>
      <w:r w:rsidRPr="005F46BB">
        <w:rPr>
          <w:position w:val="6"/>
          <w:sz w:val="16"/>
        </w:rPr>
        <w:t>*</w:t>
      </w:r>
      <w:r w:rsidRPr="00285945">
        <w:t xml:space="preserve">base penalty amount in any of items 1 to 4 of the table in </w:t>
      </w:r>
      <w:r>
        <w:t>subsection (</w:t>
      </w:r>
      <w:r w:rsidRPr="00285945">
        <w:t>1) that applies to you is taken to be doubled:</w:t>
      </w:r>
    </w:p>
    <w:p w14:paraId="5976BA67" w14:textId="77777777" w:rsidR="00CE7E14" w:rsidRPr="00285945" w:rsidRDefault="00CE7E14" w:rsidP="00CE7E14">
      <w:pPr>
        <w:pStyle w:val="paragraph"/>
      </w:pPr>
      <w:r w:rsidRPr="00285945">
        <w:tab/>
        <w:t>(a)</w:t>
      </w:r>
      <w:r w:rsidRPr="00285945">
        <w:tab/>
        <w:t xml:space="preserve">in the case of item 1, 2, 3 or 4—to the extent (if any) your </w:t>
      </w:r>
      <w:r w:rsidRPr="005F46BB">
        <w:rPr>
          <w:position w:val="6"/>
          <w:sz w:val="16"/>
        </w:rPr>
        <w:t>*</w:t>
      </w:r>
      <w:r w:rsidRPr="00285945">
        <w:t>shortfall amount or part arises because of subsection 26</w:t>
      </w:r>
      <w:r>
        <w:noBreakHyphen/>
      </w:r>
      <w:r w:rsidRPr="00285945">
        <w:t xml:space="preserve">110(2) of the </w:t>
      </w:r>
      <w:r w:rsidRPr="00285945">
        <w:rPr>
          <w:i/>
        </w:rPr>
        <w:t>Income Tax Assessment Act 1997</w:t>
      </w:r>
      <w:r w:rsidRPr="00285945">
        <w:t>; or</w:t>
      </w:r>
    </w:p>
    <w:p w14:paraId="3AD9D5CA" w14:textId="77777777" w:rsidR="00CE7E14" w:rsidRPr="00285945" w:rsidRDefault="00CE7E14" w:rsidP="00CE7E14">
      <w:pPr>
        <w:pStyle w:val="paragraph"/>
      </w:pPr>
      <w:r w:rsidRPr="00285945">
        <w:tab/>
        <w:t>(b)</w:t>
      </w:r>
      <w:r w:rsidRPr="00285945">
        <w:tab/>
        <w:t xml:space="preserve">in the case of item 3A, 3B or 3C—if the </w:t>
      </w:r>
      <w:r w:rsidRPr="005F46BB">
        <w:rPr>
          <w:position w:val="6"/>
          <w:sz w:val="16"/>
        </w:rPr>
        <w:t>*</w:t>
      </w:r>
      <w:r w:rsidRPr="00285945">
        <w:t>taxation law mentioned in that item is subsection 26</w:t>
      </w:r>
      <w:r>
        <w:noBreakHyphen/>
      </w:r>
      <w:r w:rsidRPr="00285945">
        <w:t xml:space="preserve">110(2) of the </w:t>
      </w:r>
      <w:r w:rsidRPr="00285945">
        <w:rPr>
          <w:i/>
        </w:rPr>
        <w:t>Income Tax Assessment Act 1997</w:t>
      </w:r>
      <w:r w:rsidRPr="00285945">
        <w:t>.</w:t>
      </w:r>
    </w:p>
    <w:p w14:paraId="51EB6E17" w14:textId="77777777" w:rsidR="00CE7E14" w:rsidRPr="00285945" w:rsidRDefault="00CE7E14" w:rsidP="00CE7E14">
      <w:pPr>
        <w:pStyle w:val="notetext"/>
      </w:pPr>
      <w:r w:rsidRPr="00285945">
        <w:t>Note:</w:t>
      </w:r>
      <w:r w:rsidRPr="00285945">
        <w:tab/>
        <w:t>Subsection 26</w:t>
      </w:r>
      <w:r>
        <w:noBreakHyphen/>
      </w:r>
      <w:r w:rsidRPr="00285945">
        <w:t xml:space="preserve">110(2) of the </w:t>
      </w:r>
      <w:r w:rsidRPr="00285945">
        <w:rPr>
          <w:i/>
        </w:rPr>
        <w:t>Income Tax Assessment Act 1997</w:t>
      </w:r>
      <w:r w:rsidRPr="00285945">
        <w:t xml:space="preserve"> prevents a significant global entity from deducting, in certain circumstances, an amount for a payment to an associate in relation to exploiting an intangible asset connected with a low corporate tax jurisdiction.</w:t>
      </w:r>
    </w:p>
    <w:p w14:paraId="4FEB3BAD" w14:textId="77777777" w:rsidR="00CE7E14" w:rsidRPr="00285945" w:rsidRDefault="00CE7E14" w:rsidP="00CE7E14">
      <w:pPr>
        <w:pStyle w:val="subsection"/>
      </w:pPr>
      <w:r w:rsidRPr="00285945">
        <w:tab/>
        <w:t>(1D)</w:t>
      </w:r>
      <w:r w:rsidRPr="00285945">
        <w:tab/>
        <w:t xml:space="preserve">If subsections (1A) and (1C) of this section both apply to a </w:t>
      </w:r>
      <w:r w:rsidRPr="005F46BB">
        <w:rPr>
          <w:position w:val="6"/>
          <w:sz w:val="16"/>
        </w:rPr>
        <w:t>*</w:t>
      </w:r>
      <w:r w:rsidRPr="00285945">
        <w:t>base penalty amount to any extent:</w:t>
      </w:r>
    </w:p>
    <w:p w14:paraId="0E5D3517" w14:textId="77777777" w:rsidR="00CE7E14" w:rsidRPr="00285945" w:rsidRDefault="00CE7E14" w:rsidP="00CE7E14">
      <w:pPr>
        <w:pStyle w:val="paragraph"/>
      </w:pPr>
      <w:r w:rsidRPr="00285945">
        <w:tab/>
        <w:t>(a)</w:t>
      </w:r>
      <w:r w:rsidRPr="00285945">
        <w:tab/>
        <w:t xml:space="preserve">apply </w:t>
      </w:r>
      <w:r>
        <w:t>subsection (</w:t>
      </w:r>
      <w:r w:rsidRPr="00285945">
        <w:t>1A) first; and</w:t>
      </w:r>
    </w:p>
    <w:p w14:paraId="28CA73A5" w14:textId="77777777" w:rsidR="00CE7E14" w:rsidRPr="00285945" w:rsidRDefault="00CE7E14" w:rsidP="00CE7E14">
      <w:pPr>
        <w:pStyle w:val="paragraph"/>
      </w:pPr>
      <w:r w:rsidRPr="00285945">
        <w:tab/>
        <w:t>(b)</w:t>
      </w:r>
      <w:r w:rsidRPr="00285945">
        <w:tab/>
        <w:t xml:space="preserve">then apply </w:t>
      </w:r>
      <w:r>
        <w:t>subsection (</w:t>
      </w:r>
      <w:r w:rsidRPr="00285945">
        <w:t>1C).</w:t>
      </w:r>
    </w:p>
    <w:p w14:paraId="79C354EF" w14:textId="77777777" w:rsidR="00CE7E14" w:rsidRPr="00285945" w:rsidRDefault="00CE7E14" w:rsidP="00CE7E14">
      <w:pPr>
        <w:pStyle w:val="notetext"/>
      </w:pPr>
      <w:r w:rsidRPr="00285945">
        <w:t>Note:</w:t>
      </w:r>
      <w:r w:rsidRPr="00285945">
        <w:tab/>
        <w:t>The combined effect of subsections (1A) and (1C) may be to quadruple the base penalty amount.</w:t>
      </w:r>
    </w:p>
    <w:p w14:paraId="559E466A" w14:textId="77777777" w:rsidR="00CE7E14" w:rsidRPr="00285945" w:rsidRDefault="00CE7E14" w:rsidP="00CE7E14">
      <w:pPr>
        <w:pStyle w:val="Transitional"/>
      </w:pPr>
      <w:proofErr w:type="gramStart"/>
      <w:r w:rsidRPr="00285945">
        <w:t>6  Application</w:t>
      </w:r>
      <w:proofErr w:type="gramEnd"/>
      <w:r w:rsidRPr="00285945">
        <w:t xml:space="preserve"> of amendments</w:t>
      </w:r>
    </w:p>
    <w:p w14:paraId="3400386F" w14:textId="77777777" w:rsidR="00CE7E14" w:rsidRPr="00285945" w:rsidRDefault="00CE7E14" w:rsidP="00CE7E14">
      <w:pPr>
        <w:pStyle w:val="Item"/>
      </w:pPr>
      <w:r w:rsidRPr="00285945">
        <w:t>Section 26</w:t>
      </w:r>
      <w:r>
        <w:noBreakHyphen/>
      </w:r>
      <w:r w:rsidRPr="00285945">
        <w:t xml:space="preserve">110 of the </w:t>
      </w:r>
      <w:r w:rsidRPr="00285945">
        <w:rPr>
          <w:i/>
        </w:rPr>
        <w:t>Income Tax Assessment Act 1997</w:t>
      </w:r>
      <w:r w:rsidRPr="00285945">
        <w:t xml:space="preserve"> applies to amounts paid, liabilities </w:t>
      </w:r>
      <w:proofErr w:type="gramStart"/>
      <w:r w:rsidRPr="00285945">
        <w:t>incurred</w:t>
      </w:r>
      <w:proofErr w:type="gramEnd"/>
      <w:r w:rsidRPr="00285945">
        <w:t xml:space="preserve"> or amounts credited on or after 1 July 2023.</w:t>
      </w:r>
    </w:p>
    <w:sectPr w:rsidR="00CE7E14" w:rsidRPr="00285945" w:rsidSect="00DD344E">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A7E3" w14:textId="77777777" w:rsidR="001429D5" w:rsidRDefault="001429D5" w:rsidP="00664C63">
      <w:pPr>
        <w:spacing w:line="240" w:lineRule="auto"/>
      </w:pPr>
      <w:r>
        <w:separator/>
      </w:r>
    </w:p>
  </w:endnote>
  <w:endnote w:type="continuationSeparator" w:id="0">
    <w:p w14:paraId="264E8525" w14:textId="77777777" w:rsidR="001429D5" w:rsidRDefault="001429D5"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embedRegular r:id="rId1" w:subsetted="1" w:fontKey="{75936DF0-3959-4C67-A4AF-66BC46B58298}"/>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43BB" w14:textId="77777777" w:rsidR="001429D5" w:rsidRPr="00BB4623" w:rsidRDefault="001429D5" w:rsidP="00DD344E">
    <w:pPr>
      <w:pBdr>
        <w:top w:val="single" w:sz="6" w:space="1" w:color="auto"/>
      </w:pBdr>
      <w:spacing w:before="120"/>
      <w:jc w:val="right"/>
      <w:rPr>
        <w:sz w:val="18"/>
      </w:rPr>
    </w:pPr>
  </w:p>
  <w:p w14:paraId="64AD2935" w14:textId="77777777" w:rsidR="001429D5" w:rsidRPr="00BB4623" w:rsidRDefault="001429D5"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6212D302" w14:textId="77777777" w:rsidR="001429D5" w:rsidRPr="00BB4623" w:rsidRDefault="001429D5"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48C4" w14:textId="77777777" w:rsidR="001429D5" w:rsidRDefault="001429D5" w:rsidP="00DD344E">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1429D5" w:rsidRPr="00B3608C" w14:paraId="1637C43F" w14:textId="77777777" w:rsidTr="00300502">
      <w:trPr>
        <w:trHeight w:val="280"/>
      </w:trPr>
      <w:tc>
        <w:tcPr>
          <w:tcW w:w="7087" w:type="dxa"/>
        </w:tcPr>
        <w:p w14:paraId="1ECF6A8F" w14:textId="77777777" w:rsidR="001429D5" w:rsidRPr="00B3608C" w:rsidRDefault="001429D5" w:rsidP="00300502">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1429D5" w:rsidRPr="00B3608C" w14:paraId="16F78292" w14:textId="77777777" w:rsidTr="00300502">
      <w:tc>
        <w:tcPr>
          <w:tcW w:w="7087" w:type="dxa"/>
        </w:tcPr>
        <w:p w14:paraId="7470659F" w14:textId="77777777" w:rsidR="001429D5" w:rsidRPr="00B3608C" w:rsidRDefault="001429D5" w:rsidP="00300502">
          <w:pPr>
            <w:rPr>
              <w:i/>
              <w:sz w:val="18"/>
            </w:rPr>
          </w:pPr>
          <w:r w:rsidRPr="00BB4623">
            <w:rPr>
              <w:i/>
              <w:sz w:val="18"/>
            </w:rPr>
            <w:t xml:space="preserve">  </w:t>
          </w:r>
        </w:p>
      </w:tc>
    </w:tr>
  </w:tbl>
  <w:p w14:paraId="3058CD9E" w14:textId="77777777" w:rsidR="001429D5" w:rsidRPr="00BB4623" w:rsidRDefault="001429D5" w:rsidP="00B3608C">
    <w:pPr>
      <w:pStyle w:val="Tabletext"/>
      <w:spacing w:before="0"/>
    </w:pPr>
    <w:r w:rsidRPr="000C3160">
      <w:rPr>
        <w:b/>
        <w:noProof/>
        <w:lang w:val="en-US"/>
      </w:rPr>
      <mc:AlternateContent>
        <mc:Choice Requires="wps">
          <w:drawing>
            <wp:anchor distT="0" distB="0" distL="114300" distR="114300" simplePos="0" relativeHeight="251658240" behindDoc="1" locked="1" layoutInCell="1" allowOverlap="1" wp14:anchorId="031095D5" wp14:editId="2E50CDA5">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71307C" w14:textId="77777777" w:rsidR="001429D5" w:rsidRPr="00324EB0" w:rsidRDefault="00AF593A" w:rsidP="00300502">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1095D5"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1B71307C" w14:textId="77777777" w:rsidR="001429D5" w:rsidRPr="00324EB0" w:rsidRDefault="00AF593A" w:rsidP="00300502">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EC08" w14:textId="77777777" w:rsidR="001429D5" w:rsidRPr="00BB4623" w:rsidRDefault="001429D5" w:rsidP="00DD344E">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D1B2" w14:textId="77777777" w:rsidR="001429D5" w:rsidRDefault="001429D5" w:rsidP="00664C63">
      <w:pPr>
        <w:spacing w:line="240" w:lineRule="auto"/>
      </w:pPr>
      <w:r>
        <w:separator/>
      </w:r>
    </w:p>
  </w:footnote>
  <w:footnote w:type="continuationSeparator" w:id="0">
    <w:p w14:paraId="7AA97D75" w14:textId="77777777" w:rsidR="001429D5" w:rsidRDefault="001429D5"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DAE0" w14:textId="77777777" w:rsidR="001429D5" w:rsidRPr="00BB4623" w:rsidRDefault="001429D5" w:rsidP="00664C63">
    <w:pPr>
      <w:rPr>
        <w:sz w:val="24"/>
      </w:rPr>
    </w:pPr>
  </w:p>
  <w:p w14:paraId="2EDAC467" w14:textId="77777777" w:rsidR="001429D5" w:rsidRPr="00BB4623" w:rsidRDefault="001429D5"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AC9E" w14:textId="77777777" w:rsidR="001429D5" w:rsidRPr="00BB4623" w:rsidRDefault="001429D5" w:rsidP="00664C63">
    <w:pPr>
      <w:jc w:val="right"/>
      <w:rPr>
        <w:sz w:val="24"/>
      </w:rPr>
    </w:pPr>
    <w:r w:rsidRPr="00931D06">
      <w:rPr>
        <w:b/>
        <w:noProof/>
        <w:sz w:val="24"/>
        <w:lang w:val="en-US"/>
      </w:rPr>
      <mc:AlternateContent>
        <mc:Choice Requires="wps">
          <w:drawing>
            <wp:anchor distT="0" distB="0" distL="114300" distR="114300" simplePos="0" relativeHeight="251657216" behindDoc="1" locked="1" layoutInCell="1" allowOverlap="1" wp14:anchorId="1A3D7EE7" wp14:editId="443A13A6">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EDEE6F" w14:textId="77777777" w:rsidR="001429D5" w:rsidRPr="00324EB0" w:rsidRDefault="00AF593A" w:rsidP="00300502">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3D7EE7"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CEDEE6F" w14:textId="77777777" w:rsidR="001429D5" w:rsidRPr="00324EB0" w:rsidRDefault="00AF593A" w:rsidP="00300502">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4D0EF381" w14:textId="77777777" w:rsidR="001429D5" w:rsidRPr="00BB4623" w:rsidRDefault="001429D5"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2FD3" w14:textId="77777777" w:rsidR="001429D5" w:rsidRPr="00BB4623" w:rsidRDefault="001429D5"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E2140"/>
    <w:multiLevelType w:val="hybridMultilevel"/>
    <w:tmpl w:val="49FA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0B7B1D"/>
    <w:multiLevelType w:val="hybridMultilevel"/>
    <w:tmpl w:val="4C92F59A"/>
    <w:lvl w:ilvl="0" w:tplc="F78A058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BB61F5D"/>
    <w:multiLevelType w:val="multilevel"/>
    <w:tmpl w:val="E034E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47C93"/>
    <w:multiLevelType w:val="hybridMultilevel"/>
    <w:tmpl w:val="CCE02E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AE65B19"/>
    <w:multiLevelType w:val="multilevel"/>
    <w:tmpl w:val="D256E032"/>
    <w:name w:val="StandardBulletedList"/>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4C6F70E2"/>
    <w:multiLevelType w:val="hybridMultilevel"/>
    <w:tmpl w:val="BCA6A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BB6352"/>
    <w:multiLevelType w:val="hybridMultilevel"/>
    <w:tmpl w:val="0092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7510FD"/>
    <w:multiLevelType w:val="hybridMultilevel"/>
    <w:tmpl w:val="C390E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6"/>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2"/>
  </w:num>
  <w:num w:numId="19">
    <w:abstractNumId w:val="11"/>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721F"/>
    <w:rsid w:val="00000E86"/>
    <w:rsid w:val="000017C7"/>
    <w:rsid w:val="000018CF"/>
    <w:rsid w:val="0001106D"/>
    <w:rsid w:val="00012626"/>
    <w:rsid w:val="000136AF"/>
    <w:rsid w:val="00014B9A"/>
    <w:rsid w:val="00016933"/>
    <w:rsid w:val="000171AA"/>
    <w:rsid w:val="00021398"/>
    <w:rsid w:val="00022970"/>
    <w:rsid w:val="00022B90"/>
    <w:rsid w:val="00024A00"/>
    <w:rsid w:val="00024D85"/>
    <w:rsid w:val="00025C89"/>
    <w:rsid w:val="00031ADA"/>
    <w:rsid w:val="00034C63"/>
    <w:rsid w:val="0003523B"/>
    <w:rsid w:val="00036323"/>
    <w:rsid w:val="000432D1"/>
    <w:rsid w:val="0004434D"/>
    <w:rsid w:val="00044BCD"/>
    <w:rsid w:val="000451E8"/>
    <w:rsid w:val="00051B5A"/>
    <w:rsid w:val="00053B37"/>
    <w:rsid w:val="00055D20"/>
    <w:rsid w:val="00056249"/>
    <w:rsid w:val="00056300"/>
    <w:rsid w:val="000606F7"/>
    <w:rsid w:val="000614BF"/>
    <w:rsid w:val="00062229"/>
    <w:rsid w:val="00062793"/>
    <w:rsid w:val="00065F81"/>
    <w:rsid w:val="00070100"/>
    <w:rsid w:val="0007138C"/>
    <w:rsid w:val="00071DDF"/>
    <w:rsid w:val="00073C5A"/>
    <w:rsid w:val="00077789"/>
    <w:rsid w:val="00077DA2"/>
    <w:rsid w:val="00080D36"/>
    <w:rsid w:val="000848EB"/>
    <w:rsid w:val="00087033"/>
    <w:rsid w:val="00093392"/>
    <w:rsid w:val="000953AE"/>
    <w:rsid w:val="000A089D"/>
    <w:rsid w:val="000A6783"/>
    <w:rsid w:val="000B1362"/>
    <w:rsid w:val="000B3136"/>
    <w:rsid w:val="000B7757"/>
    <w:rsid w:val="000C3160"/>
    <w:rsid w:val="000C3B16"/>
    <w:rsid w:val="000C74F9"/>
    <w:rsid w:val="000D05EF"/>
    <w:rsid w:val="000D2CAB"/>
    <w:rsid w:val="000D3899"/>
    <w:rsid w:val="000E0E75"/>
    <w:rsid w:val="000E1646"/>
    <w:rsid w:val="000E42D7"/>
    <w:rsid w:val="000E6F81"/>
    <w:rsid w:val="000F21C1"/>
    <w:rsid w:val="000F28E2"/>
    <w:rsid w:val="000F4126"/>
    <w:rsid w:val="001016D1"/>
    <w:rsid w:val="0010240E"/>
    <w:rsid w:val="00104993"/>
    <w:rsid w:val="0010745C"/>
    <w:rsid w:val="00111CB8"/>
    <w:rsid w:val="0011206D"/>
    <w:rsid w:val="00113F5B"/>
    <w:rsid w:val="00114571"/>
    <w:rsid w:val="00115DF0"/>
    <w:rsid w:val="001168A3"/>
    <w:rsid w:val="00123B1B"/>
    <w:rsid w:val="00127055"/>
    <w:rsid w:val="001305A7"/>
    <w:rsid w:val="00135A40"/>
    <w:rsid w:val="001429D5"/>
    <w:rsid w:val="00143B3A"/>
    <w:rsid w:val="00144386"/>
    <w:rsid w:val="00144414"/>
    <w:rsid w:val="0014749E"/>
    <w:rsid w:val="00150F9E"/>
    <w:rsid w:val="0015205D"/>
    <w:rsid w:val="001549F5"/>
    <w:rsid w:val="0015553B"/>
    <w:rsid w:val="001577D1"/>
    <w:rsid w:val="00157BD2"/>
    <w:rsid w:val="00166C2F"/>
    <w:rsid w:val="00167845"/>
    <w:rsid w:val="00167FA3"/>
    <w:rsid w:val="00171394"/>
    <w:rsid w:val="00173BA5"/>
    <w:rsid w:val="00182C9A"/>
    <w:rsid w:val="0018435F"/>
    <w:rsid w:val="00185232"/>
    <w:rsid w:val="001859D6"/>
    <w:rsid w:val="00187C66"/>
    <w:rsid w:val="001939E1"/>
    <w:rsid w:val="00194C17"/>
    <w:rsid w:val="00195382"/>
    <w:rsid w:val="00195AF2"/>
    <w:rsid w:val="00196CB7"/>
    <w:rsid w:val="00197270"/>
    <w:rsid w:val="001A0816"/>
    <w:rsid w:val="001A31DB"/>
    <w:rsid w:val="001B012F"/>
    <w:rsid w:val="001B0F61"/>
    <w:rsid w:val="001C1081"/>
    <w:rsid w:val="001C1660"/>
    <w:rsid w:val="001C1E76"/>
    <w:rsid w:val="001C661A"/>
    <w:rsid w:val="001C69C4"/>
    <w:rsid w:val="001C7ADC"/>
    <w:rsid w:val="001E209A"/>
    <w:rsid w:val="001E3590"/>
    <w:rsid w:val="001E3FA9"/>
    <w:rsid w:val="001E7407"/>
    <w:rsid w:val="001F2025"/>
    <w:rsid w:val="001F5C33"/>
    <w:rsid w:val="00205831"/>
    <w:rsid w:val="0020595B"/>
    <w:rsid w:val="00207BE1"/>
    <w:rsid w:val="002114E5"/>
    <w:rsid w:val="0021250A"/>
    <w:rsid w:val="00212E5F"/>
    <w:rsid w:val="0021783D"/>
    <w:rsid w:val="002213D3"/>
    <w:rsid w:val="00222DAC"/>
    <w:rsid w:val="00225B76"/>
    <w:rsid w:val="002277A0"/>
    <w:rsid w:val="00231F39"/>
    <w:rsid w:val="00232D42"/>
    <w:rsid w:val="00240749"/>
    <w:rsid w:val="002426A7"/>
    <w:rsid w:val="00245169"/>
    <w:rsid w:val="0024580F"/>
    <w:rsid w:val="00250523"/>
    <w:rsid w:val="002509D3"/>
    <w:rsid w:val="00251C5C"/>
    <w:rsid w:val="002557B1"/>
    <w:rsid w:val="00256548"/>
    <w:rsid w:val="00260F3B"/>
    <w:rsid w:val="00261E84"/>
    <w:rsid w:val="00263AD2"/>
    <w:rsid w:val="00264059"/>
    <w:rsid w:val="00271AA0"/>
    <w:rsid w:val="002767B5"/>
    <w:rsid w:val="002806BD"/>
    <w:rsid w:val="002819A0"/>
    <w:rsid w:val="00285F4A"/>
    <w:rsid w:val="00290E5B"/>
    <w:rsid w:val="00295806"/>
    <w:rsid w:val="00296415"/>
    <w:rsid w:val="00297ECB"/>
    <w:rsid w:val="002A0140"/>
    <w:rsid w:val="002A2041"/>
    <w:rsid w:val="002A51CD"/>
    <w:rsid w:val="002B138D"/>
    <w:rsid w:val="002B1D6F"/>
    <w:rsid w:val="002B4EE2"/>
    <w:rsid w:val="002B4FAF"/>
    <w:rsid w:val="002B771B"/>
    <w:rsid w:val="002B77EE"/>
    <w:rsid w:val="002C085A"/>
    <w:rsid w:val="002C1CF1"/>
    <w:rsid w:val="002C3310"/>
    <w:rsid w:val="002C588D"/>
    <w:rsid w:val="002C721F"/>
    <w:rsid w:val="002D043A"/>
    <w:rsid w:val="002D314E"/>
    <w:rsid w:val="002D410D"/>
    <w:rsid w:val="002D63BF"/>
    <w:rsid w:val="002D6E38"/>
    <w:rsid w:val="002E0831"/>
    <w:rsid w:val="002E0AFC"/>
    <w:rsid w:val="002F08B3"/>
    <w:rsid w:val="002F4518"/>
    <w:rsid w:val="00300502"/>
    <w:rsid w:val="00300F8B"/>
    <w:rsid w:val="00301019"/>
    <w:rsid w:val="00302523"/>
    <w:rsid w:val="00306BC8"/>
    <w:rsid w:val="003127F0"/>
    <w:rsid w:val="00313C6F"/>
    <w:rsid w:val="00321271"/>
    <w:rsid w:val="00323B4D"/>
    <w:rsid w:val="00326745"/>
    <w:rsid w:val="00327A2C"/>
    <w:rsid w:val="00330DD3"/>
    <w:rsid w:val="0033411C"/>
    <w:rsid w:val="00334771"/>
    <w:rsid w:val="003415D3"/>
    <w:rsid w:val="00347D14"/>
    <w:rsid w:val="00347EFF"/>
    <w:rsid w:val="003505CA"/>
    <w:rsid w:val="0035160B"/>
    <w:rsid w:val="00352B0F"/>
    <w:rsid w:val="00361BD6"/>
    <w:rsid w:val="00366B4E"/>
    <w:rsid w:val="0037041C"/>
    <w:rsid w:val="00371EB4"/>
    <w:rsid w:val="00372FC6"/>
    <w:rsid w:val="003743DD"/>
    <w:rsid w:val="0037680D"/>
    <w:rsid w:val="00380FDA"/>
    <w:rsid w:val="00381FCE"/>
    <w:rsid w:val="00383CEA"/>
    <w:rsid w:val="003933A2"/>
    <w:rsid w:val="00393C56"/>
    <w:rsid w:val="003948A5"/>
    <w:rsid w:val="003A0631"/>
    <w:rsid w:val="003A23DE"/>
    <w:rsid w:val="003A2459"/>
    <w:rsid w:val="003A33A9"/>
    <w:rsid w:val="003A3875"/>
    <w:rsid w:val="003A6DC2"/>
    <w:rsid w:val="003A7106"/>
    <w:rsid w:val="003B0F1E"/>
    <w:rsid w:val="003B1DE9"/>
    <w:rsid w:val="003B4B84"/>
    <w:rsid w:val="003C0F05"/>
    <w:rsid w:val="003C106B"/>
    <w:rsid w:val="003C1C51"/>
    <w:rsid w:val="003C417A"/>
    <w:rsid w:val="003D0317"/>
    <w:rsid w:val="003D0BFE"/>
    <w:rsid w:val="003D2D96"/>
    <w:rsid w:val="003D5700"/>
    <w:rsid w:val="003E621F"/>
    <w:rsid w:val="003F2374"/>
    <w:rsid w:val="003F2F88"/>
    <w:rsid w:val="003F53EE"/>
    <w:rsid w:val="003F566C"/>
    <w:rsid w:val="003F60D2"/>
    <w:rsid w:val="004009C2"/>
    <w:rsid w:val="00402376"/>
    <w:rsid w:val="00402800"/>
    <w:rsid w:val="004043EE"/>
    <w:rsid w:val="004043F0"/>
    <w:rsid w:val="0040616D"/>
    <w:rsid w:val="0040717E"/>
    <w:rsid w:val="004076E8"/>
    <w:rsid w:val="004116CD"/>
    <w:rsid w:val="00411FEF"/>
    <w:rsid w:val="004134F9"/>
    <w:rsid w:val="004155F3"/>
    <w:rsid w:val="004168B4"/>
    <w:rsid w:val="0042184C"/>
    <w:rsid w:val="0042407D"/>
    <w:rsid w:val="0042450F"/>
    <w:rsid w:val="00424CA9"/>
    <w:rsid w:val="00427D10"/>
    <w:rsid w:val="004315AA"/>
    <w:rsid w:val="0043367C"/>
    <w:rsid w:val="00434B7F"/>
    <w:rsid w:val="00434E39"/>
    <w:rsid w:val="004379C0"/>
    <w:rsid w:val="0044291A"/>
    <w:rsid w:val="004464A2"/>
    <w:rsid w:val="00446D4B"/>
    <w:rsid w:val="00450238"/>
    <w:rsid w:val="00453E58"/>
    <w:rsid w:val="00454AF8"/>
    <w:rsid w:val="00470F60"/>
    <w:rsid w:val="0047124E"/>
    <w:rsid w:val="00472279"/>
    <w:rsid w:val="00472F01"/>
    <w:rsid w:val="004734D0"/>
    <w:rsid w:val="004740CE"/>
    <w:rsid w:val="004748AE"/>
    <w:rsid w:val="0047532B"/>
    <w:rsid w:val="004771A6"/>
    <w:rsid w:val="00480E8F"/>
    <w:rsid w:val="004828DD"/>
    <w:rsid w:val="00483001"/>
    <w:rsid w:val="0048339E"/>
    <w:rsid w:val="004838C9"/>
    <w:rsid w:val="00487D3C"/>
    <w:rsid w:val="00493894"/>
    <w:rsid w:val="00495E9C"/>
    <w:rsid w:val="00496725"/>
    <w:rsid w:val="00496F97"/>
    <w:rsid w:val="004A112D"/>
    <w:rsid w:val="004A14CB"/>
    <w:rsid w:val="004A1888"/>
    <w:rsid w:val="004A2C78"/>
    <w:rsid w:val="004A4FC0"/>
    <w:rsid w:val="004A6387"/>
    <w:rsid w:val="004B1726"/>
    <w:rsid w:val="004B2F74"/>
    <w:rsid w:val="004B5493"/>
    <w:rsid w:val="004B73A7"/>
    <w:rsid w:val="004C0E7F"/>
    <w:rsid w:val="004C2A09"/>
    <w:rsid w:val="004C2B7C"/>
    <w:rsid w:val="004C6C02"/>
    <w:rsid w:val="004D31AB"/>
    <w:rsid w:val="004E1370"/>
    <w:rsid w:val="004E3680"/>
    <w:rsid w:val="004F1A8C"/>
    <w:rsid w:val="004F70AB"/>
    <w:rsid w:val="0050358A"/>
    <w:rsid w:val="005061EE"/>
    <w:rsid w:val="00506433"/>
    <w:rsid w:val="005104CE"/>
    <w:rsid w:val="00512128"/>
    <w:rsid w:val="00514DA9"/>
    <w:rsid w:val="00516B8D"/>
    <w:rsid w:val="00530DD9"/>
    <w:rsid w:val="0053566C"/>
    <w:rsid w:val="00537529"/>
    <w:rsid w:val="00537AAE"/>
    <w:rsid w:val="00537FBC"/>
    <w:rsid w:val="00543850"/>
    <w:rsid w:val="00545DFF"/>
    <w:rsid w:val="00554104"/>
    <w:rsid w:val="005617FE"/>
    <w:rsid w:val="00565338"/>
    <w:rsid w:val="00567E37"/>
    <w:rsid w:val="00571315"/>
    <w:rsid w:val="00571954"/>
    <w:rsid w:val="005725D9"/>
    <w:rsid w:val="00572C8B"/>
    <w:rsid w:val="0057552A"/>
    <w:rsid w:val="00576F6A"/>
    <w:rsid w:val="00582E4D"/>
    <w:rsid w:val="00584052"/>
    <w:rsid w:val="00584811"/>
    <w:rsid w:val="005852E6"/>
    <w:rsid w:val="005877E7"/>
    <w:rsid w:val="00591315"/>
    <w:rsid w:val="00593AA6"/>
    <w:rsid w:val="00594161"/>
    <w:rsid w:val="00594749"/>
    <w:rsid w:val="005A1196"/>
    <w:rsid w:val="005A66F5"/>
    <w:rsid w:val="005A69C8"/>
    <w:rsid w:val="005A6F34"/>
    <w:rsid w:val="005B4067"/>
    <w:rsid w:val="005C2451"/>
    <w:rsid w:val="005C2763"/>
    <w:rsid w:val="005C3F41"/>
    <w:rsid w:val="005C5800"/>
    <w:rsid w:val="005C5910"/>
    <w:rsid w:val="005C688A"/>
    <w:rsid w:val="005D1F56"/>
    <w:rsid w:val="005D205B"/>
    <w:rsid w:val="005D4DEA"/>
    <w:rsid w:val="005D5734"/>
    <w:rsid w:val="005D67DD"/>
    <w:rsid w:val="005E0917"/>
    <w:rsid w:val="005E2BCC"/>
    <w:rsid w:val="005E6301"/>
    <w:rsid w:val="005E7F8B"/>
    <w:rsid w:val="005F0B95"/>
    <w:rsid w:val="00600219"/>
    <w:rsid w:val="006060AC"/>
    <w:rsid w:val="00606970"/>
    <w:rsid w:val="00611C2E"/>
    <w:rsid w:val="00611EAF"/>
    <w:rsid w:val="00622769"/>
    <w:rsid w:val="00625BC3"/>
    <w:rsid w:val="00626A4E"/>
    <w:rsid w:val="00626F26"/>
    <w:rsid w:val="006309C8"/>
    <w:rsid w:val="00640495"/>
    <w:rsid w:val="00641DA8"/>
    <w:rsid w:val="006444FB"/>
    <w:rsid w:val="006456C2"/>
    <w:rsid w:val="00646663"/>
    <w:rsid w:val="00647BB0"/>
    <w:rsid w:val="0065106B"/>
    <w:rsid w:val="006527A6"/>
    <w:rsid w:val="0065454E"/>
    <w:rsid w:val="00657157"/>
    <w:rsid w:val="00660102"/>
    <w:rsid w:val="00663095"/>
    <w:rsid w:val="00663BAD"/>
    <w:rsid w:val="00664C63"/>
    <w:rsid w:val="00666BAF"/>
    <w:rsid w:val="00667D86"/>
    <w:rsid w:val="00671061"/>
    <w:rsid w:val="00671821"/>
    <w:rsid w:val="0067688D"/>
    <w:rsid w:val="00677607"/>
    <w:rsid w:val="00677CC2"/>
    <w:rsid w:val="00681A4A"/>
    <w:rsid w:val="00683E05"/>
    <w:rsid w:val="006850BC"/>
    <w:rsid w:val="00691B7D"/>
    <w:rsid w:val="0069207B"/>
    <w:rsid w:val="006969E0"/>
    <w:rsid w:val="006A2116"/>
    <w:rsid w:val="006A36DF"/>
    <w:rsid w:val="006A657C"/>
    <w:rsid w:val="006A6DF0"/>
    <w:rsid w:val="006A7CB0"/>
    <w:rsid w:val="006B01C4"/>
    <w:rsid w:val="006B51F1"/>
    <w:rsid w:val="006B5256"/>
    <w:rsid w:val="006B6139"/>
    <w:rsid w:val="006C5C56"/>
    <w:rsid w:val="006C66F1"/>
    <w:rsid w:val="006C6DFA"/>
    <w:rsid w:val="006C77A8"/>
    <w:rsid w:val="006C7F8C"/>
    <w:rsid w:val="006D3764"/>
    <w:rsid w:val="006D6C61"/>
    <w:rsid w:val="006E3E4B"/>
    <w:rsid w:val="006E4AB2"/>
    <w:rsid w:val="006F30C3"/>
    <w:rsid w:val="006F38D4"/>
    <w:rsid w:val="006F4543"/>
    <w:rsid w:val="006F4C33"/>
    <w:rsid w:val="006F6C6B"/>
    <w:rsid w:val="00700B2C"/>
    <w:rsid w:val="007018AA"/>
    <w:rsid w:val="00713084"/>
    <w:rsid w:val="00713CA6"/>
    <w:rsid w:val="00714B91"/>
    <w:rsid w:val="007173B8"/>
    <w:rsid w:val="0072003B"/>
    <w:rsid w:val="00723CAF"/>
    <w:rsid w:val="00723CB3"/>
    <w:rsid w:val="00725409"/>
    <w:rsid w:val="0072581D"/>
    <w:rsid w:val="00727D0C"/>
    <w:rsid w:val="007300AD"/>
    <w:rsid w:val="00731E00"/>
    <w:rsid w:val="00732A85"/>
    <w:rsid w:val="00735760"/>
    <w:rsid w:val="00736BF4"/>
    <w:rsid w:val="00737802"/>
    <w:rsid w:val="00742C14"/>
    <w:rsid w:val="007440B7"/>
    <w:rsid w:val="00747F2D"/>
    <w:rsid w:val="0075226A"/>
    <w:rsid w:val="007539C5"/>
    <w:rsid w:val="00753BB7"/>
    <w:rsid w:val="00754026"/>
    <w:rsid w:val="007568B1"/>
    <w:rsid w:val="00757800"/>
    <w:rsid w:val="007619A5"/>
    <w:rsid w:val="00762625"/>
    <w:rsid w:val="007627F4"/>
    <w:rsid w:val="00763CAD"/>
    <w:rsid w:val="007673D3"/>
    <w:rsid w:val="00767763"/>
    <w:rsid w:val="007715C9"/>
    <w:rsid w:val="00774EDD"/>
    <w:rsid w:val="007757EC"/>
    <w:rsid w:val="007808B4"/>
    <w:rsid w:val="00780E49"/>
    <w:rsid w:val="007845BF"/>
    <w:rsid w:val="00786B03"/>
    <w:rsid w:val="00795433"/>
    <w:rsid w:val="00795B88"/>
    <w:rsid w:val="00795FCE"/>
    <w:rsid w:val="00796382"/>
    <w:rsid w:val="007A012D"/>
    <w:rsid w:val="007A0CA4"/>
    <w:rsid w:val="007A12E9"/>
    <w:rsid w:val="007A659A"/>
    <w:rsid w:val="007B081F"/>
    <w:rsid w:val="007B7E26"/>
    <w:rsid w:val="007C01AE"/>
    <w:rsid w:val="007C26F6"/>
    <w:rsid w:val="007C2F03"/>
    <w:rsid w:val="007C458B"/>
    <w:rsid w:val="007C5EA2"/>
    <w:rsid w:val="007C6235"/>
    <w:rsid w:val="007C6AB4"/>
    <w:rsid w:val="007C71FE"/>
    <w:rsid w:val="007D36FD"/>
    <w:rsid w:val="007D5C67"/>
    <w:rsid w:val="007D676D"/>
    <w:rsid w:val="007D682A"/>
    <w:rsid w:val="007D7C06"/>
    <w:rsid w:val="007E0172"/>
    <w:rsid w:val="007E41D2"/>
    <w:rsid w:val="007E4B73"/>
    <w:rsid w:val="007E4CC8"/>
    <w:rsid w:val="007F0006"/>
    <w:rsid w:val="007F34A0"/>
    <w:rsid w:val="007F565D"/>
    <w:rsid w:val="00801BA5"/>
    <w:rsid w:val="00802542"/>
    <w:rsid w:val="00803446"/>
    <w:rsid w:val="0081052F"/>
    <w:rsid w:val="00813211"/>
    <w:rsid w:val="00813260"/>
    <w:rsid w:val="0081532D"/>
    <w:rsid w:val="00821670"/>
    <w:rsid w:val="00821BC5"/>
    <w:rsid w:val="00823E4B"/>
    <w:rsid w:val="00824733"/>
    <w:rsid w:val="00825319"/>
    <w:rsid w:val="00830815"/>
    <w:rsid w:val="00832735"/>
    <w:rsid w:val="0083325C"/>
    <w:rsid w:val="00833EB3"/>
    <w:rsid w:val="00840D7E"/>
    <w:rsid w:val="0084213D"/>
    <w:rsid w:val="00842579"/>
    <w:rsid w:val="0084578C"/>
    <w:rsid w:val="00846529"/>
    <w:rsid w:val="008477EF"/>
    <w:rsid w:val="00850304"/>
    <w:rsid w:val="00850787"/>
    <w:rsid w:val="00853AAE"/>
    <w:rsid w:val="008548DF"/>
    <w:rsid w:val="00856A31"/>
    <w:rsid w:val="00861EAC"/>
    <w:rsid w:val="00866947"/>
    <w:rsid w:val="00867059"/>
    <w:rsid w:val="008704F1"/>
    <w:rsid w:val="008754D0"/>
    <w:rsid w:val="00875A9F"/>
    <w:rsid w:val="00883892"/>
    <w:rsid w:val="00890CA8"/>
    <w:rsid w:val="00891FBD"/>
    <w:rsid w:val="00895E37"/>
    <w:rsid w:val="00895FB7"/>
    <w:rsid w:val="008979AE"/>
    <w:rsid w:val="008A068B"/>
    <w:rsid w:val="008A27FC"/>
    <w:rsid w:val="008A6470"/>
    <w:rsid w:val="008A7BB9"/>
    <w:rsid w:val="008A7FD5"/>
    <w:rsid w:val="008B1EA0"/>
    <w:rsid w:val="008C0CD7"/>
    <w:rsid w:val="008C51CA"/>
    <w:rsid w:val="008D0EE0"/>
    <w:rsid w:val="008D1C0A"/>
    <w:rsid w:val="008D39CF"/>
    <w:rsid w:val="008D44DE"/>
    <w:rsid w:val="008D5BDF"/>
    <w:rsid w:val="008E05CA"/>
    <w:rsid w:val="008E5689"/>
    <w:rsid w:val="008F1B6D"/>
    <w:rsid w:val="008F1D06"/>
    <w:rsid w:val="008F5C70"/>
    <w:rsid w:val="008F6DAA"/>
    <w:rsid w:val="008F7345"/>
    <w:rsid w:val="0090318B"/>
    <w:rsid w:val="00904843"/>
    <w:rsid w:val="00906AF2"/>
    <w:rsid w:val="0091334E"/>
    <w:rsid w:val="009141F5"/>
    <w:rsid w:val="00923D8E"/>
    <w:rsid w:val="009257D9"/>
    <w:rsid w:val="00926946"/>
    <w:rsid w:val="00931D06"/>
    <w:rsid w:val="00932377"/>
    <w:rsid w:val="00932FA3"/>
    <w:rsid w:val="0094185F"/>
    <w:rsid w:val="00943766"/>
    <w:rsid w:val="0094653E"/>
    <w:rsid w:val="0094713C"/>
    <w:rsid w:val="00947F9C"/>
    <w:rsid w:val="0095161E"/>
    <w:rsid w:val="00952B4B"/>
    <w:rsid w:val="009558DA"/>
    <w:rsid w:val="0095602D"/>
    <w:rsid w:val="0095655F"/>
    <w:rsid w:val="00956DFA"/>
    <w:rsid w:val="009620C2"/>
    <w:rsid w:val="00963586"/>
    <w:rsid w:val="009679D0"/>
    <w:rsid w:val="00971F74"/>
    <w:rsid w:val="00972205"/>
    <w:rsid w:val="00972373"/>
    <w:rsid w:val="009733BB"/>
    <w:rsid w:val="00974C35"/>
    <w:rsid w:val="00976F36"/>
    <w:rsid w:val="00990908"/>
    <w:rsid w:val="0099389C"/>
    <w:rsid w:val="00996462"/>
    <w:rsid w:val="009A0F6D"/>
    <w:rsid w:val="009B213D"/>
    <w:rsid w:val="009B7C81"/>
    <w:rsid w:val="009C131B"/>
    <w:rsid w:val="009C2401"/>
    <w:rsid w:val="009C3E1A"/>
    <w:rsid w:val="009C6E95"/>
    <w:rsid w:val="009C79D3"/>
    <w:rsid w:val="009C7B09"/>
    <w:rsid w:val="009D274E"/>
    <w:rsid w:val="009D39A6"/>
    <w:rsid w:val="009D3ADD"/>
    <w:rsid w:val="009D6EB6"/>
    <w:rsid w:val="009E7F21"/>
    <w:rsid w:val="009F48FA"/>
    <w:rsid w:val="009F55E4"/>
    <w:rsid w:val="009F7A88"/>
    <w:rsid w:val="00A020BE"/>
    <w:rsid w:val="00A047AC"/>
    <w:rsid w:val="00A1027B"/>
    <w:rsid w:val="00A11D30"/>
    <w:rsid w:val="00A120DD"/>
    <w:rsid w:val="00A14531"/>
    <w:rsid w:val="00A17079"/>
    <w:rsid w:val="00A173F4"/>
    <w:rsid w:val="00A231E2"/>
    <w:rsid w:val="00A25627"/>
    <w:rsid w:val="00A31F73"/>
    <w:rsid w:val="00A338B4"/>
    <w:rsid w:val="00A348E2"/>
    <w:rsid w:val="00A36924"/>
    <w:rsid w:val="00A415B9"/>
    <w:rsid w:val="00A4340B"/>
    <w:rsid w:val="00A50871"/>
    <w:rsid w:val="00A5195E"/>
    <w:rsid w:val="00A51F8A"/>
    <w:rsid w:val="00A543F2"/>
    <w:rsid w:val="00A55FC4"/>
    <w:rsid w:val="00A64912"/>
    <w:rsid w:val="00A70A74"/>
    <w:rsid w:val="00A82586"/>
    <w:rsid w:val="00A82A04"/>
    <w:rsid w:val="00A8315B"/>
    <w:rsid w:val="00A84F33"/>
    <w:rsid w:val="00A86D04"/>
    <w:rsid w:val="00A92685"/>
    <w:rsid w:val="00A93FDF"/>
    <w:rsid w:val="00A94736"/>
    <w:rsid w:val="00A95D33"/>
    <w:rsid w:val="00AA0E2F"/>
    <w:rsid w:val="00AA2019"/>
    <w:rsid w:val="00AA3075"/>
    <w:rsid w:val="00AA5445"/>
    <w:rsid w:val="00AA786E"/>
    <w:rsid w:val="00AB01E0"/>
    <w:rsid w:val="00AB2C17"/>
    <w:rsid w:val="00AB55CB"/>
    <w:rsid w:val="00AB5A90"/>
    <w:rsid w:val="00AB759E"/>
    <w:rsid w:val="00AB7FA9"/>
    <w:rsid w:val="00AC14B4"/>
    <w:rsid w:val="00AC3887"/>
    <w:rsid w:val="00AC79D2"/>
    <w:rsid w:val="00AC7E74"/>
    <w:rsid w:val="00AC7F03"/>
    <w:rsid w:val="00AD27B3"/>
    <w:rsid w:val="00AD5641"/>
    <w:rsid w:val="00AD7122"/>
    <w:rsid w:val="00AD7B32"/>
    <w:rsid w:val="00AE159B"/>
    <w:rsid w:val="00AE59F7"/>
    <w:rsid w:val="00AE70DD"/>
    <w:rsid w:val="00AE7613"/>
    <w:rsid w:val="00AE7BD7"/>
    <w:rsid w:val="00AF0035"/>
    <w:rsid w:val="00AF18B1"/>
    <w:rsid w:val="00AF1903"/>
    <w:rsid w:val="00AF4BA6"/>
    <w:rsid w:val="00AF593A"/>
    <w:rsid w:val="00AF643D"/>
    <w:rsid w:val="00AF7FAC"/>
    <w:rsid w:val="00B04037"/>
    <w:rsid w:val="00B04787"/>
    <w:rsid w:val="00B04EFD"/>
    <w:rsid w:val="00B05DED"/>
    <w:rsid w:val="00B15A30"/>
    <w:rsid w:val="00B1651C"/>
    <w:rsid w:val="00B22FC7"/>
    <w:rsid w:val="00B232D2"/>
    <w:rsid w:val="00B25EA3"/>
    <w:rsid w:val="00B26413"/>
    <w:rsid w:val="00B305A5"/>
    <w:rsid w:val="00B30729"/>
    <w:rsid w:val="00B30BBF"/>
    <w:rsid w:val="00B33B3C"/>
    <w:rsid w:val="00B33D7A"/>
    <w:rsid w:val="00B340B6"/>
    <w:rsid w:val="00B3608C"/>
    <w:rsid w:val="00B368B2"/>
    <w:rsid w:val="00B372A6"/>
    <w:rsid w:val="00B403C7"/>
    <w:rsid w:val="00B429C2"/>
    <w:rsid w:val="00B43293"/>
    <w:rsid w:val="00B47C2E"/>
    <w:rsid w:val="00B50D21"/>
    <w:rsid w:val="00B61C25"/>
    <w:rsid w:val="00B65918"/>
    <w:rsid w:val="00B67534"/>
    <w:rsid w:val="00B70077"/>
    <w:rsid w:val="00B70E56"/>
    <w:rsid w:val="00B71889"/>
    <w:rsid w:val="00B72DA3"/>
    <w:rsid w:val="00B7366F"/>
    <w:rsid w:val="00B77A5E"/>
    <w:rsid w:val="00B81596"/>
    <w:rsid w:val="00B833F7"/>
    <w:rsid w:val="00B84887"/>
    <w:rsid w:val="00B862A2"/>
    <w:rsid w:val="00B933EE"/>
    <w:rsid w:val="00B94063"/>
    <w:rsid w:val="00BA131B"/>
    <w:rsid w:val="00BA389D"/>
    <w:rsid w:val="00BA4199"/>
    <w:rsid w:val="00BA7976"/>
    <w:rsid w:val="00BB2A61"/>
    <w:rsid w:val="00BB4CAD"/>
    <w:rsid w:val="00BB62F9"/>
    <w:rsid w:val="00BC27E0"/>
    <w:rsid w:val="00BC30F2"/>
    <w:rsid w:val="00BC7660"/>
    <w:rsid w:val="00BD1655"/>
    <w:rsid w:val="00BD1DF9"/>
    <w:rsid w:val="00BD3A2C"/>
    <w:rsid w:val="00BE01B6"/>
    <w:rsid w:val="00BE0960"/>
    <w:rsid w:val="00BE0ED2"/>
    <w:rsid w:val="00BE5502"/>
    <w:rsid w:val="00BE56B9"/>
    <w:rsid w:val="00BE719A"/>
    <w:rsid w:val="00BE720A"/>
    <w:rsid w:val="00BE7B08"/>
    <w:rsid w:val="00BF12F8"/>
    <w:rsid w:val="00BF4C45"/>
    <w:rsid w:val="00C00BAC"/>
    <w:rsid w:val="00C00FDB"/>
    <w:rsid w:val="00C03BBA"/>
    <w:rsid w:val="00C04856"/>
    <w:rsid w:val="00C1410C"/>
    <w:rsid w:val="00C153D9"/>
    <w:rsid w:val="00C161F0"/>
    <w:rsid w:val="00C164C4"/>
    <w:rsid w:val="00C2285E"/>
    <w:rsid w:val="00C23C60"/>
    <w:rsid w:val="00C2632F"/>
    <w:rsid w:val="00C26568"/>
    <w:rsid w:val="00C319BD"/>
    <w:rsid w:val="00C31A64"/>
    <w:rsid w:val="00C36C6C"/>
    <w:rsid w:val="00C42BF8"/>
    <w:rsid w:val="00C43234"/>
    <w:rsid w:val="00C43499"/>
    <w:rsid w:val="00C46D54"/>
    <w:rsid w:val="00C47159"/>
    <w:rsid w:val="00C50043"/>
    <w:rsid w:val="00C53114"/>
    <w:rsid w:val="00C54586"/>
    <w:rsid w:val="00C54F95"/>
    <w:rsid w:val="00C56D83"/>
    <w:rsid w:val="00C56E93"/>
    <w:rsid w:val="00C6681E"/>
    <w:rsid w:val="00C723B9"/>
    <w:rsid w:val="00C7573B"/>
    <w:rsid w:val="00C77D10"/>
    <w:rsid w:val="00C81DCD"/>
    <w:rsid w:val="00C81DD8"/>
    <w:rsid w:val="00C82CBD"/>
    <w:rsid w:val="00C86E47"/>
    <w:rsid w:val="00C86EAB"/>
    <w:rsid w:val="00C91002"/>
    <w:rsid w:val="00C93D56"/>
    <w:rsid w:val="00CA18A1"/>
    <w:rsid w:val="00CA3CF5"/>
    <w:rsid w:val="00CA4806"/>
    <w:rsid w:val="00CB01C3"/>
    <w:rsid w:val="00CB0EA8"/>
    <w:rsid w:val="00CB715C"/>
    <w:rsid w:val="00CC1A1D"/>
    <w:rsid w:val="00CC2AD6"/>
    <w:rsid w:val="00CC45D6"/>
    <w:rsid w:val="00CC4E67"/>
    <w:rsid w:val="00CC5A32"/>
    <w:rsid w:val="00CC61F6"/>
    <w:rsid w:val="00CC7A09"/>
    <w:rsid w:val="00CD789B"/>
    <w:rsid w:val="00CE2126"/>
    <w:rsid w:val="00CE2EDB"/>
    <w:rsid w:val="00CE789B"/>
    <w:rsid w:val="00CE7E14"/>
    <w:rsid w:val="00CF0BB2"/>
    <w:rsid w:val="00CF27BB"/>
    <w:rsid w:val="00CF4975"/>
    <w:rsid w:val="00CF6CED"/>
    <w:rsid w:val="00D04C0D"/>
    <w:rsid w:val="00D06D6E"/>
    <w:rsid w:val="00D07DC5"/>
    <w:rsid w:val="00D13441"/>
    <w:rsid w:val="00D14863"/>
    <w:rsid w:val="00D15FF8"/>
    <w:rsid w:val="00D204C9"/>
    <w:rsid w:val="00D22820"/>
    <w:rsid w:val="00D31FA3"/>
    <w:rsid w:val="00D3213F"/>
    <w:rsid w:val="00D32735"/>
    <w:rsid w:val="00D33DCA"/>
    <w:rsid w:val="00D34A44"/>
    <w:rsid w:val="00D374CE"/>
    <w:rsid w:val="00D40252"/>
    <w:rsid w:val="00D40630"/>
    <w:rsid w:val="00D41B30"/>
    <w:rsid w:val="00D467B9"/>
    <w:rsid w:val="00D47F58"/>
    <w:rsid w:val="00D506A3"/>
    <w:rsid w:val="00D5176B"/>
    <w:rsid w:val="00D51B50"/>
    <w:rsid w:val="00D5418C"/>
    <w:rsid w:val="00D560D0"/>
    <w:rsid w:val="00D568A3"/>
    <w:rsid w:val="00D61427"/>
    <w:rsid w:val="00D64E66"/>
    <w:rsid w:val="00D67311"/>
    <w:rsid w:val="00D70DFB"/>
    <w:rsid w:val="00D7186F"/>
    <w:rsid w:val="00D723A5"/>
    <w:rsid w:val="00D72C0C"/>
    <w:rsid w:val="00D731C9"/>
    <w:rsid w:val="00D753C2"/>
    <w:rsid w:val="00D75C68"/>
    <w:rsid w:val="00D766DF"/>
    <w:rsid w:val="00D82E46"/>
    <w:rsid w:val="00D877C7"/>
    <w:rsid w:val="00D9284D"/>
    <w:rsid w:val="00D93BB9"/>
    <w:rsid w:val="00D946A0"/>
    <w:rsid w:val="00D976D0"/>
    <w:rsid w:val="00DA0B4A"/>
    <w:rsid w:val="00DA1036"/>
    <w:rsid w:val="00DA37FD"/>
    <w:rsid w:val="00DA6DDE"/>
    <w:rsid w:val="00DB1C2B"/>
    <w:rsid w:val="00DB2641"/>
    <w:rsid w:val="00DB4D06"/>
    <w:rsid w:val="00DC1749"/>
    <w:rsid w:val="00DD314D"/>
    <w:rsid w:val="00DD344E"/>
    <w:rsid w:val="00DD3580"/>
    <w:rsid w:val="00DD45C1"/>
    <w:rsid w:val="00DD5B0C"/>
    <w:rsid w:val="00DE18EC"/>
    <w:rsid w:val="00DF4D47"/>
    <w:rsid w:val="00DF598D"/>
    <w:rsid w:val="00DF6AB4"/>
    <w:rsid w:val="00E01477"/>
    <w:rsid w:val="00E01742"/>
    <w:rsid w:val="00E05704"/>
    <w:rsid w:val="00E10847"/>
    <w:rsid w:val="00E1363F"/>
    <w:rsid w:val="00E2685F"/>
    <w:rsid w:val="00E30B7E"/>
    <w:rsid w:val="00E3534B"/>
    <w:rsid w:val="00E5068F"/>
    <w:rsid w:val="00E528BB"/>
    <w:rsid w:val="00E54CAB"/>
    <w:rsid w:val="00E65B13"/>
    <w:rsid w:val="00E7337D"/>
    <w:rsid w:val="00E74DC7"/>
    <w:rsid w:val="00E77B56"/>
    <w:rsid w:val="00E818EB"/>
    <w:rsid w:val="00E84504"/>
    <w:rsid w:val="00E8599D"/>
    <w:rsid w:val="00E85CB9"/>
    <w:rsid w:val="00E90F9E"/>
    <w:rsid w:val="00E930A2"/>
    <w:rsid w:val="00E938A8"/>
    <w:rsid w:val="00E9428D"/>
    <w:rsid w:val="00E94998"/>
    <w:rsid w:val="00EA0EF6"/>
    <w:rsid w:val="00EA1A6D"/>
    <w:rsid w:val="00EA1C8D"/>
    <w:rsid w:val="00EA1F58"/>
    <w:rsid w:val="00EB0A51"/>
    <w:rsid w:val="00EB3C47"/>
    <w:rsid w:val="00EB3DFC"/>
    <w:rsid w:val="00EB5BA6"/>
    <w:rsid w:val="00EC1A1F"/>
    <w:rsid w:val="00EC2F3B"/>
    <w:rsid w:val="00ED1A6C"/>
    <w:rsid w:val="00ED28EF"/>
    <w:rsid w:val="00ED2AF2"/>
    <w:rsid w:val="00ED5FF6"/>
    <w:rsid w:val="00ED79D0"/>
    <w:rsid w:val="00EE25A8"/>
    <w:rsid w:val="00EE4B90"/>
    <w:rsid w:val="00EE4C18"/>
    <w:rsid w:val="00EE53A4"/>
    <w:rsid w:val="00EE6DCC"/>
    <w:rsid w:val="00EF2E3A"/>
    <w:rsid w:val="00EF365E"/>
    <w:rsid w:val="00EF77A6"/>
    <w:rsid w:val="00F0132A"/>
    <w:rsid w:val="00F078DC"/>
    <w:rsid w:val="00F1096B"/>
    <w:rsid w:val="00F111E2"/>
    <w:rsid w:val="00F1187E"/>
    <w:rsid w:val="00F20F53"/>
    <w:rsid w:val="00F22818"/>
    <w:rsid w:val="00F26F2B"/>
    <w:rsid w:val="00F3119D"/>
    <w:rsid w:val="00F3731F"/>
    <w:rsid w:val="00F42C9F"/>
    <w:rsid w:val="00F442F0"/>
    <w:rsid w:val="00F45671"/>
    <w:rsid w:val="00F45BE6"/>
    <w:rsid w:val="00F463A8"/>
    <w:rsid w:val="00F469F4"/>
    <w:rsid w:val="00F46A01"/>
    <w:rsid w:val="00F47BE7"/>
    <w:rsid w:val="00F5076A"/>
    <w:rsid w:val="00F54AAF"/>
    <w:rsid w:val="00F60364"/>
    <w:rsid w:val="00F6317E"/>
    <w:rsid w:val="00F63D47"/>
    <w:rsid w:val="00F71234"/>
    <w:rsid w:val="00F720AA"/>
    <w:rsid w:val="00F73C45"/>
    <w:rsid w:val="00F77412"/>
    <w:rsid w:val="00F774F1"/>
    <w:rsid w:val="00F807C8"/>
    <w:rsid w:val="00F8103A"/>
    <w:rsid w:val="00F81E08"/>
    <w:rsid w:val="00F84B6B"/>
    <w:rsid w:val="00F856CD"/>
    <w:rsid w:val="00F87EC0"/>
    <w:rsid w:val="00F940D6"/>
    <w:rsid w:val="00F9701D"/>
    <w:rsid w:val="00FA0EB4"/>
    <w:rsid w:val="00FA3991"/>
    <w:rsid w:val="00FA5636"/>
    <w:rsid w:val="00FC104F"/>
    <w:rsid w:val="00FC4374"/>
    <w:rsid w:val="00FC4A7F"/>
    <w:rsid w:val="00FD00CF"/>
    <w:rsid w:val="00FE0A90"/>
    <w:rsid w:val="00FE1648"/>
    <w:rsid w:val="00FE1CAD"/>
    <w:rsid w:val="00FF0CED"/>
    <w:rsid w:val="00FF1872"/>
    <w:rsid w:val="00FF3CF9"/>
    <w:rsid w:val="00FF7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5B77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344E"/>
    <w:pPr>
      <w:spacing w:line="260" w:lineRule="atLeast"/>
    </w:pPr>
    <w:rPr>
      <w:sz w:val="22"/>
    </w:rPr>
  </w:style>
  <w:style w:type="paragraph" w:styleId="Heading1">
    <w:name w:val="heading 1"/>
    <w:basedOn w:val="Normal"/>
    <w:next w:val="Normal"/>
    <w:link w:val="Heading1Char"/>
    <w:uiPriority w:val="9"/>
    <w:qFormat/>
    <w:rsid w:val="00323B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23B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3B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323B4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323B4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23B4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23B4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23B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3B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344E"/>
  </w:style>
  <w:style w:type="paragraph" w:customStyle="1" w:styleId="OPCParaBase">
    <w:name w:val="OPCParaBase"/>
    <w:qFormat/>
    <w:rsid w:val="00DD344E"/>
    <w:pPr>
      <w:spacing w:line="260" w:lineRule="atLeast"/>
    </w:pPr>
    <w:rPr>
      <w:rFonts w:eastAsia="Times New Roman" w:cs="Times New Roman"/>
      <w:sz w:val="22"/>
      <w:lang w:eastAsia="en-AU"/>
    </w:rPr>
  </w:style>
  <w:style w:type="paragraph" w:customStyle="1" w:styleId="ShortT">
    <w:name w:val="ShortT"/>
    <w:basedOn w:val="OPCParaBase"/>
    <w:next w:val="Normal"/>
    <w:qFormat/>
    <w:rsid w:val="00DD344E"/>
    <w:pPr>
      <w:spacing w:line="240" w:lineRule="auto"/>
    </w:pPr>
    <w:rPr>
      <w:b/>
      <w:sz w:val="40"/>
    </w:rPr>
  </w:style>
  <w:style w:type="paragraph" w:customStyle="1" w:styleId="ActHead1">
    <w:name w:val="ActHead 1"/>
    <w:aliases w:val="c"/>
    <w:basedOn w:val="OPCParaBase"/>
    <w:next w:val="Normal"/>
    <w:qFormat/>
    <w:rsid w:val="00DD344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344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34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DD34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34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34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34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34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344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344E"/>
  </w:style>
  <w:style w:type="paragraph" w:customStyle="1" w:styleId="Blocks">
    <w:name w:val="Blocks"/>
    <w:aliases w:val="bb"/>
    <w:basedOn w:val="OPCParaBase"/>
    <w:qFormat/>
    <w:rsid w:val="00DD344E"/>
    <w:pPr>
      <w:spacing w:line="240" w:lineRule="auto"/>
    </w:pPr>
    <w:rPr>
      <w:sz w:val="24"/>
    </w:rPr>
  </w:style>
  <w:style w:type="paragraph" w:customStyle="1" w:styleId="BoxText">
    <w:name w:val="BoxText"/>
    <w:aliases w:val="bt"/>
    <w:basedOn w:val="OPCParaBase"/>
    <w:qFormat/>
    <w:rsid w:val="00DD34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344E"/>
    <w:rPr>
      <w:b/>
    </w:rPr>
  </w:style>
  <w:style w:type="paragraph" w:customStyle="1" w:styleId="BoxHeadItalic">
    <w:name w:val="BoxHeadItalic"/>
    <w:aliases w:val="bhi"/>
    <w:basedOn w:val="BoxText"/>
    <w:next w:val="BoxStep"/>
    <w:qFormat/>
    <w:rsid w:val="00DD344E"/>
    <w:rPr>
      <w:i/>
    </w:rPr>
  </w:style>
  <w:style w:type="paragraph" w:customStyle="1" w:styleId="BoxList">
    <w:name w:val="BoxList"/>
    <w:aliases w:val="bl"/>
    <w:basedOn w:val="BoxText"/>
    <w:qFormat/>
    <w:rsid w:val="00DD344E"/>
    <w:pPr>
      <w:ind w:left="1559" w:hanging="425"/>
    </w:pPr>
  </w:style>
  <w:style w:type="paragraph" w:customStyle="1" w:styleId="BoxNote">
    <w:name w:val="BoxNote"/>
    <w:aliases w:val="bn"/>
    <w:basedOn w:val="BoxText"/>
    <w:qFormat/>
    <w:rsid w:val="00DD344E"/>
    <w:pPr>
      <w:tabs>
        <w:tab w:val="left" w:pos="1985"/>
      </w:tabs>
      <w:spacing w:before="122" w:line="198" w:lineRule="exact"/>
      <w:ind w:left="2948" w:hanging="1814"/>
    </w:pPr>
    <w:rPr>
      <w:sz w:val="18"/>
    </w:rPr>
  </w:style>
  <w:style w:type="paragraph" w:customStyle="1" w:styleId="BoxPara">
    <w:name w:val="BoxPara"/>
    <w:aliases w:val="bp"/>
    <w:basedOn w:val="BoxText"/>
    <w:qFormat/>
    <w:rsid w:val="00DD344E"/>
    <w:pPr>
      <w:tabs>
        <w:tab w:val="right" w:pos="2268"/>
      </w:tabs>
      <w:ind w:left="2552" w:hanging="1418"/>
    </w:pPr>
  </w:style>
  <w:style w:type="paragraph" w:customStyle="1" w:styleId="BoxStep">
    <w:name w:val="BoxStep"/>
    <w:aliases w:val="bs"/>
    <w:basedOn w:val="BoxText"/>
    <w:qFormat/>
    <w:rsid w:val="00DD344E"/>
    <w:pPr>
      <w:ind w:left="1985" w:hanging="851"/>
    </w:pPr>
  </w:style>
  <w:style w:type="character" w:customStyle="1" w:styleId="CharAmPartNo">
    <w:name w:val="CharAmPartNo"/>
    <w:basedOn w:val="OPCCharBase"/>
    <w:qFormat/>
    <w:rsid w:val="00DD344E"/>
  </w:style>
  <w:style w:type="character" w:customStyle="1" w:styleId="CharAmPartText">
    <w:name w:val="CharAmPartText"/>
    <w:basedOn w:val="OPCCharBase"/>
    <w:qFormat/>
    <w:rsid w:val="00DD344E"/>
  </w:style>
  <w:style w:type="character" w:customStyle="1" w:styleId="CharAmSchNo">
    <w:name w:val="CharAmSchNo"/>
    <w:basedOn w:val="OPCCharBase"/>
    <w:qFormat/>
    <w:rsid w:val="00DD344E"/>
  </w:style>
  <w:style w:type="character" w:customStyle="1" w:styleId="CharAmSchText">
    <w:name w:val="CharAmSchText"/>
    <w:basedOn w:val="OPCCharBase"/>
    <w:qFormat/>
    <w:rsid w:val="00DD344E"/>
  </w:style>
  <w:style w:type="character" w:customStyle="1" w:styleId="CharBoldItalic">
    <w:name w:val="CharBoldItalic"/>
    <w:basedOn w:val="OPCCharBase"/>
    <w:uiPriority w:val="1"/>
    <w:qFormat/>
    <w:rsid w:val="00DD344E"/>
    <w:rPr>
      <w:b/>
      <w:i/>
    </w:rPr>
  </w:style>
  <w:style w:type="character" w:customStyle="1" w:styleId="CharChapNo">
    <w:name w:val="CharChapNo"/>
    <w:basedOn w:val="OPCCharBase"/>
    <w:uiPriority w:val="1"/>
    <w:qFormat/>
    <w:rsid w:val="00DD344E"/>
  </w:style>
  <w:style w:type="character" w:customStyle="1" w:styleId="CharChapText">
    <w:name w:val="CharChapText"/>
    <w:basedOn w:val="OPCCharBase"/>
    <w:uiPriority w:val="1"/>
    <w:qFormat/>
    <w:rsid w:val="00DD344E"/>
  </w:style>
  <w:style w:type="character" w:customStyle="1" w:styleId="CharDivNo">
    <w:name w:val="CharDivNo"/>
    <w:basedOn w:val="OPCCharBase"/>
    <w:uiPriority w:val="1"/>
    <w:qFormat/>
    <w:rsid w:val="00DD344E"/>
  </w:style>
  <w:style w:type="character" w:customStyle="1" w:styleId="CharDivText">
    <w:name w:val="CharDivText"/>
    <w:basedOn w:val="OPCCharBase"/>
    <w:uiPriority w:val="1"/>
    <w:qFormat/>
    <w:rsid w:val="00DD344E"/>
  </w:style>
  <w:style w:type="character" w:customStyle="1" w:styleId="CharItalic">
    <w:name w:val="CharItalic"/>
    <w:basedOn w:val="OPCCharBase"/>
    <w:uiPriority w:val="1"/>
    <w:qFormat/>
    <w:rsid w:val="00DD344E"/>
    <w:rPr>
      <w:i/>
    </w:rPr>
  </w:style>
  <w:style w:type="character" w:customStyle="1" w:styleId="CharPartNo">
    <w:name w:val="CharPartNo"/>
    <w:basedOn w:val="OPCCharBase"/>
    <w:uiPriority w:val="1"/>
    <w:qFormat/>
    <w:rsid w:val="00DD344E"/>
  </w:style>
  <w:style w:type="character" w:customStyle="1" w:styleId="CharPartText">
    <w:name w:val="CharPartText"/>
    <w:basedOn w:val="OPCCharBase"/>
    <w:uiPriority w:val="1"/>
    <w:qFormat/>
    <w:rsid w:val="00DD344E"/>
  </w:style>
  <w:style w:type="character" w:customStyle="1" w:styleId="CharSectno">
    <w:name w:val="CharSectno"/>
    <w:basedOn w:val="OPCCharBase"/>
    <w:qFormat/>
    <w:rsid w:val="00DD344E"/>
  </w:style>
  <w:style w:type="character" w:customStyle="1" w:styleId="CharSubdNo">
    <w:name w:val="CharSubdNo"/>
    <w:basedOn w:val="OPCCharBase"/>
    <w:uiPriority w:val="1"/>
    <w:qFormat/>
    <w:rsid w:val="00DD344E"/>
  </w:style>
  <w:style w:type="character" w:customStyle="1" w:styleId="CharSubdText">
    <w:name w:val="CharSubdText"/>
    <w:basedOn w:val="OPCCharBase"/>
    <w:uiPriority w:val="1"/>
    <w:qFormat/>
    <w:rsid w:val="00DD344E"/>
  </w:style>
  <w:style w:type="paragraph" w:customStyle="1" w:styleId="CTA--">
    <w:name w:val="CTA --"/>
    <w:basedOn w:val="OPCParaBase"/>
    <w:next w:val="Normal"/>
    <w:rsid w:val="00DD344E"/>
    <w:pPr>
      <w:spacing w:before="60" w:line="240" w:lineRule="atLeast"/>
      <w:ind w:left="142" w:hanging="142"/>
    </w:pPr>
    <w:rPr>
      <w:sz w:val="20"/>
    </w:rPr>
  </w:style>
  <w:style w:type="paragraph" w:customStyle="1" w:styleId="CTA-">
    <w:name w:val="CTA -"/>
    <w:basedOn w:val="OPCParaBase"/>
    <w:rsid w:val="00DD344E"/>
    <w:pPr>
      <w:spacing w:before="60" w:line="240" w:lineRule="atLeast"/>
      <w:ind w:left="85" w:hanging="85"/>
    </w:pPr>
    <w:rPr>
      <w:sz w:val="20"/>
    </w:rPr>
  </w:style>
  <w:style w:type="paragraph" w:customStyle="1" w:styleId="CTA---">
    <w:name w:val="CTA ---"/>
    <w:basedOn w:val="OPCParaBase"/>
    <w:next w:val="Normal"/>
    <w:rsid w:val="00DD344E"/>
    <w:pPr>
      <w:spacing w:before="60" w:line="240" w:lineRule="atLeast"/>
      <w:ind w:left="198" w:hanging="198"/>
    </w:pPr>
    <w:rPr>
      <w:sz w:val="20"/>
    </w:rPr>
  </w:style>
  <w:style w:type="paragraph" w:customStyle="1" w:styleId="CTA----">
    <w:name w:val="CTA ----"/>
    <w:basedOn w:val="OPCParaBase"/>
    <w:next w:val="Normal"/>
    <w:rsid w:val="00DD344E"/>
    <w:pPr>
      <w:spacing w:before="60" w:line="240" w:lineRule="atLeast"/>
      <w:ind w:left="255" w:hanging="255"/>
    </w:pPr>
    <w:rPr>
      <w:sz w:val="20"/>
    </w:rPr>
  </w:style>
  <w:style w:type="paragraph" w:customStyle="1" w:styleId="CTA1a">
    <w:name w:val="CTA 1(a)"/>
    <w:basedOn w:val="OPCParaBase"/>
    <w:rsid w:val="00DD344E"/>
    <w:pPr>
      <w:tabs>
        <w:tab w:val="right" w:pos="414"/>
      </w:tabs>
      <w:spacing w:before="40" w:line="240" w:lineRule="atLeast"/>
      <w:ind w:left="675" w:hanging="675"/>
    </w:pPr>
    <w:rPr>
      <w:sz w:val="20"/>
    </w:rPr>
  </w:style>
  <w:style w:type="paragraph" w:customStyle="1" w:styleId="CTA1ai">
    <w:name w:val="CTA 1(a)(i)"/>
    <w:basedOn w:val="OPCParaBase"/>
    <w:rsid w:val="00DD344E"/>
    <w:pPr>
      <w:tabs>
        <w:tab w:val="right" w:pos="1004"/>
      </w:tabs>
      <w:spacing w:before="40" w:line="240" w:lineRule="atLeast"/>
      <w:ind w:left="1253" w:hanging="1253"/>
    </w:pPr>
    <w:rPr>
      <w:sz w:val="20"/>
    </w:rPr>
  </w:style>
  <w:style w:type="paragraph" w:customStyle="1" w:styleId="CTA2a">
    <w:name w:val="CTA 2(a)"/>
    <w:basedOn w:val="OPCParaBase"/>
    <w:rsid w:val="00DD344E"/>
    <w:pPr>
      <w:tabs>
        <w:tab w:val="right" w:pos="482"/>
      </w:tabs>
      <w:spacing w:before="40" w:line="240" w:lineRule="atLeast"/>
      <w:ind w:left="748" w:hanging="748"/>
    </w:pPr>
    <w:rPr>
      <w:sz w:val="20"/>
    </w:rPr>
  </w:style>
  <w:style w:type="paragraph" w:customStyle="1" w:styleId="CTA2ai">
    <w:name w:val="CTA 2(a)(i)"/>
    <w:basedOn w:val="OPCParaBase"/>
    <w:rsid w:val="00DD344E"/>
    <w:pPr>
      <w:tabs>
        <w:tab w:val="right" w:pos="1089"/>
      </w:tabs>
      <w:spacing w:before="40" w:line="240" w:lineRule="atLeast"/>
      <w:ind w:left="1327" w:hanging="1327"/>
    </w:pPr>
    <w:rPr>
      <w:sz w:val="20"/>
    </w:rPr>
  </w:style>
  <w:style w:type="paragraph" w:customStyle="1" w:styleId="CTA3a">
    <w:name w:val="CTA 3(a)"/>
    <w:basedOn w:val="OPCParaBase"/>
    <w:rsid w:val="00DD344E"/>
    <w:pPr>
      <w:tabs>
        <w:tab w:val="right" w:pos="556"/>
      </w:tabs>
      <w:spacing w:before="40" w:line="240" w:lineRule="atLeast"/>
      <w:ind w:left="805" w:hanging="805"/>
    </w:pPr>
    <w:rPr>
      <w:sz w:val="20"/>
    </w:rPr>
  </w:style>
  <w:style w:type="paragraph" w:customStyle="1" w:styleId="CTA3ai">
    <w:name w:val="CTA 3(a)(i)"/>
    <w:basedOn w:val="OPCParaBase"/>
    <w:rsid w:val="00DD344E"/>
    <w:pPr>
      <w:tabs>
        <w:tab w:val="right" w:pos="1140"/>
      </w:tabs>
      <w:spacing w:before="40" w:line="240" w:lineRule="atLeast"/>
      <w:ind w:left="1361" w:hanging="1361"/>
    </w:pPr>
    <w:rPr>
      <w:sz w:val="20"/>
    </w:rPr>
  </w:style>
  <w:style w:type="paragraph" w:customStyle="1" w:styleId="CTA4a">
    <w:name w:val="CTA 4(a)"/>
    <w:basedOn w:val="OPCParaBase"/>
    <w:rsid w:val="00DD344E"/>
    <w:pPr>
      <w:tabs>
        <w:tab w:val="right" w:pos="624"/>
      </w:tabs>
      <w:spacing w:before="40" w:line="240" w:lineRule="atLeast"/>
      <w:ind w:left="873" w:hanging="873"/>
    </w:pPr>
    <w:rPr>
      <w:sz w:val="20"/>
    </w:rPr>
  </w:style>
  <w:style w:type="paragraph" w:customStyle="1" w:styleId="CTA4ai">
    <w:name w:val="CTA 4(a)(i)"/>
    <w:basedOn w:val="OPCParaBase"/>
    <w:rsid w:val="00DD344E"/>
    <w:pPr>
      <w:tabs>
        <w:tab w:val="right" w:pos="1213"/>
      </w:tabs>
      <w:spacing w:before="40" w:line="240" w:lineRule="atLeast"/>
      <w:ind w:left="1452" w:hanging="1452"/>
    </w:pPr>
    <w:rPr>
      <w:sz w:val="20"/>
    </w:rPr>
  </w:style>
  <w:style w:type="paragraph" w:customStyle="1" w:styleId="CTACAPS">
    <w:name w:val="CTA CAPS"/>
    <w:basedOn w:val="OPCParaBase"/>
    <w:rsid w:val="00DD344E"/>
    <w:pPr>
      <w:spacing w:before="60" w:line="240" w:lineRule="atLeast"/>
    </w:pPr>
    <w:rPr>
      <w:sz w:val="20"/>
    </w:rPr>
  </w:style>
  <w:style w:type="paragraph" w:customStyle="1" w:styleId="CTAright">
    <w:name w:val="CTA right"/>
    <w:basedOn w:val="OPCParaBase"/>
    <w:rsid w:val="00DD344E"/>
    <w:pPr>
      <w:spacing w:before="60" w:line="240" w:lineRule="auto"/>
      <w:jc w:val="right"/>
    </w:pPr>
    <w:rPr>
      <w:sz w:val="20"/>
    </w:rPr>
  </w:style>
  <w:style w:type="paragraph" w:customStyle="1" w:styleId="subsection">
    <w:name w:val="subsection"/>
    <w:aliases w:val="ss"/>
    <w:basedOn w:val="OPCParaBase"/>
    <w:link w:val="subsectionChar"/>
    <w:rsid w:val="00DD344E"/>
    <w:pPr>
      <w:tabs>
        <w:tab w:val="right" w:pos="1021"/>
      </w:tabs>
      <w:spacing w:before="180" w:line="240" w:lineRule="auto"/>
      <w:ind w:left="1134" w:hanging="1134"/>
    </w:pPr>
  </w:style>
  <w:style w:type="paragraph" w:customStyle="1" w:styleId="Definition">
    <w:name w:val="Definition"/>
    <w:aliases w:val="dd"/>
    <w:basedOn w:val="OPCParaBase"/>
    <w:rsid w:val="00DD344E"/>
    <w:pPr>
      <w:spacing w:before="180" w:line="240" w:lineRule="auto"/>
      <w:ind w:left="1134"/>
    </w:pPr>
  </w:style>
  <w:style w:type="paragraph" w:customStyle="1" w:styleId="ETAsubitem">
    <w:name w:val="ETA(subitem)"/>
    <w:basedOn w:val="OPCParaBase"/>
    <w:rsid w:val="00DD344E"/>
    <w:pPr>
      <w:tabs>
        <w:tab w:val="right" w:pos="340"/>
      </w:tabs>
      <w:spacing w:before="60" w:line="240" w:lineRule="auto"/>
      <w:ind w:left="454" w:hanging="454"/>
    </w:pPr>
    <w:rPr>
      <w:sz w:val="20"/>
    </w:rPr>
  </w:style>
  <w:style w:type="paragraph" w:customStyle="1" w:styleId="ETApara">
    <w:name w:val="ETA(para)"/>
    <w:basedOn w:val="OPCParaBase"/>
    <w:rsid w:val="00DD344E"/>
    <w:pPr>
      <w:tabs>
        <w:tab w:val="right" w:pos="754"/>
      </w:tabs>
      <w:spacing w:before="60" w:line="240" w:lineRule="auto"/>
      <w:ind w:left="828" w:hanging="828"/>
    </w:pPr>
    <w:rPr>
      <w:sz w:val="20"/>
    </w:rPr>
  </w:style>
  <w:style w:type="paragraph" w:customStyle="1" w:styleId="ETAsubpara">
    <w:name w:val="ETA(subpara)"/>
    <w:basedOn w:val="OPCParaBase"/>
    <w:rsid w:val="00DD344E"/>
    <w:pPr>
      <w:tabs>
        <w:tab w:val="right" w:pos="1083"/>
      </w:tabs>
      <w:spacing w:before="60" w:line="240" w:lineRule="auto"/>
      <w:ind w:left="1191" w:hanging="1191"/>
    </w:pPr>
    <w:rPr>
      <w:sz w:val="20"/>
    </w:rPr>
  </w:style>
  <w:style w:type="paragraph" w:customStyle="1" w:styleId="ETAsub-subpara">
    <w:name w:val="ETA(sub-subpara)"/>
    <w:basedOn w:val="OPCParaBase"/>
    <w:rsid w:val="00DD344E"/>
    <w:pPr>
      <w:tabs>
        <w:tab w:val="right" w:pos="1412"/>
      </w:tabs>
      <w:spacing w:before="60" w:line="240" w:lineRule="auto"/>
      <w:ind w:left="1525" w:hanging="1525"/>
    </w:pPr>
    <w:rPr>
      <w:sz w:val="20"/>
    </w:rPr>
  </w:style>
  <w:style w:type="paragraph" w:customStyle="1" w:styleId="Formula">
    <w:name w:val="Formula"/>
    <w:basedOn w:val="OPCParaBase"/>
    <w:rsid w:val="00DD344E"/>
    <w:pPr>
      <w:spacing w:line="240" w:lineRule="auto"/>
      <w:ind w:left="1134"/>
    </w:pPr>
    <w:rPr>
      <w:sz w:val="20"/>
    </w:rPr>
  </w:style>
  <w:style w:type="paragraph" w:styleId="Header">
    <w:name w:val="header"/>
    <w:basedOn w:val="OPCParaBase"/>
    <w:link w:val="HeaderChar"/>
    <w:unhideWhenUsed/>
    <w:rsid w:val="00DD344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344E"/>
    <w:rPr>
      <w:rFonts w:eastAsia="Times New Roman" w:cs="Times New Roman"/>
      <w:sz w:val="16"/>
      <w:lang w:eastAsia="en-AU"/>
    </w:rPr>
  </w:style>
  <w:style w:type="paragraph" w:customStyle="1" w:styleId="House">
    <w:name w:val="House"/>
    <w:basedOn w:val="OPCParaBase"/>
    <w:rsid w:val="00DD344E"/>
    <w:pPr>
      <w:spacing w:line="240" w:lineRule="auto"/>
    </w:pPr>
    <w:rPr>
      <w:sz w:val="28"/>
    </w:rPr>
  </w:style>
  <w:style w:type="paragraph" w:customStyle="1" w:styleId="Item">
    <w:name w:val="Item"/>
    <w:aliases w:val="i"/>
    <w:basedOn w:val="OPCParaBase"/>
    <w:next w:val="ItemHead"/>
    <w:rsid w:val="00DD344E"/>
    <w:pPr>
      <w:keepLines/>
      <w:spacing w:before="80" w:line="240" w:lineRule="auto"/>
      <w:ind w:left="709"/>
    </w:pPr>
  </w:style>
  <w:style w:type="paragraph" w:customStyle="1" w:styleId="ItemHead">
    <w:name w:val="ItemHead"/>
    <w:aliases w:val="ih"/>
    <w:basedOn w:val="OPCParaBase"/>
    <w:next w:val="Item"/>
    <w:rsid w:val="00DD344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344E"/>
    <w:pPr>
      <w:spacing w:line="240" w:lineRule="auto"/>
    </w:pPr>
    <w:rPr>
      <w:b/>
      <w:sz w:val="32"/>
    </w:rPr>
  </w:style>
  <w:style w:type="paragraph" w:customStyle="1" w:styleId="notedraft">
    <w:name w:val="note(draft)"/>
    <w:aliases w:val="nd"/>
    <w:basedOn w:val="OPCParaBase"/>
    <w:rsid w:val="00DD344E"/>
    <w:pPr>
      <w:spacing w:before="240" w:line="240" w:lineRule="auto"/>
      <w:ind w:left="284" w:hanging="284"/>
    </w:pPr>
    <w:rPr>
      <w:i/>
      <w:sz w:val="24"/>
    </w:rPr>
  </w:style>
  <w:style w:type="paragraph" w:customStyle="1" w:styleId="notemargin">
    <w:name w:val="note(margin)"/>
    <w:aliases w:val="nm"/>
    <w:basedOn w:val="OPCParaBase"/>
    <w:rsid w:val="00DD344E"/>
    <w:pPr>
      <w:tabs>
        <w:tab w:val="left" w:pos="709"/>
      </w:tabs>
      <w:spacing w:before="122" w:line="198" w:lineRule="exact"/>
      <w:ind w:left="709" w:hanging="709"/>
    </w:pPr>
    <w:rPr>
      <w:sz w:val="18"/>
    </w:rPr>
  </w:style>
  <w:style w:type="paragraph" w:customStyle="1" w:styleId="noteToPara">
    <w:name w:val="noteToPara"/>
    <w:aliases w:val="ntp"/>
    <w:basedOn w:val="OPCParaBase"/>
    <w:rsid w:val="00DD344E"/>
    <w:pPr>
      <w:spacing w:before="122" w:line="198" w:lineRule="exact"/>
      <w:ind w:left="2353" w:hanging="709"/>
    </w:pPr>
    <w:rPr>
      <w:sz w:val="18"/>
    </w:rPr>
  </w:style>
  <w:style w:type="paragraph" w:customStyle="1" w:styleId="noteParlAmend">
    <w:name w:val="note(ParlAmend)"/>
    <w:aliases w:val="npp"/>
    <w:basedOn w:val="OPCParaBase"/>
    <w:next w:val="ParlAmend"/>
    <w:rsid w:val="00DD344E"/>
    <w:pPr>
      <w:spacing w:line="240" w:lineRule="auto"/>
      <w:jc w:val="right"/>
    </w:pPr>
    <w:rPr>
      <w:rFonts w:ascii="Arial" w:hAnsi="Arial"/>
      <w:b/>
      <w:i/>
    </w:rPr>
  </w:style>
  <w:style w:type="paragraph" w:customStyle="1" w:styleId="Page1">
    <w:name w:val="Page1"/>
    <w:basedOn w:val="OPCParaBase"/>
    <w:rsid w:val="00DD344E"/>
    <w:pPr>
      <w:spacing w:before="5600" w:line="240" w:lineRule="auto"/>
    </w:pPr>
    <w:rPr>
      <w:b/>
      <w:sz w:val="32"/>
    </w:rPr>
  </w:style>
  <w:style w:type="paragraph" w:customStyle="1" w:styleId="PageBreak">
    <w:name w:val="PageBreak"/>
    <w:aliases w:val="pb"/>
    <w:basedOn w:val="OPCParaBase"/>
    <w:rsid w:val="00DD344E"/>
    <w:pPr>
      <w:spacing w:line="240" w:lineRule="auto"/>
    </w:pPr>
    <w:rPr>
      <w:sz w:val="20"/>
    </w:rPr>
  </w:style>
  <w:style w:type="paragraph" w:customStyle="1" w:styleId="paragraphsub">
    <w:name w:val="paragraph(sub)"/>
    <w:aliases w:val="aa"/>
    <w:basedOn w:val="OPCParaBase"/>
    <w:rsid w:val="00DD344E"/>
    <w:pPr>
      <w:tabs>
        <w:tab w:val="right" w:pos="1985"/>
      </w:tabs>
      <w:spacing w:before="40" w:line="240" w:lineRule="auto"/>
      <w:ind w:left="2098" w:hanging="2098"/>
    </w:pPr>
  </w:style>
  <w:style w:type="paragraph" w:customStyle="1" w:styleId="paragraphsub-sub">
    <w:name w:val="paragraph(sub-sub)"/>
    <w:aliases w:val="aaa"/>
    <w:basedOn w:val="OPCParaBase"/>
    <w:rsid w:val="00DD344E"/>
    <w:pPr>
      <w:tabs>
        <w:tab w:val="right" w:pos="2722"/>
      </w:tabs>
      <w:spacing w:before="40" w:line="240" w:lineRule="auto"/>
      <w:ind w:left="2835" w:hanging="2835"/>
    </w:pPr>
  </w:style>
  <w:style w:type="paragraph" w:customStyle="1" w:styleId="paragraph">
    <w:name w:val="paragraph"/>
    <w:aliases w:val="a"/>
    <w:basedOn w:val="OPCParaBase"/>
    <w:link w:val="paragraphChar"/>
    <w:rsid w:val="00DD344E"/>
    <w:pPr>
      <w:tabs>
        <w:tab w:val="right" w:pos="1531"/>
      </w:tabs>
      <w:spacing w:before="40" w:line="240" w:lineRule="auto"/>
      <w:ind w:left="1644" w:hanging="1644"/>
    </w:pPr>
  </w:style>
  <w:style w:type="paragraph" w:customStyle="1" w:styleId="ParlAmend">
    <w:name w:val="ParlAmend"/>
    <w:aliases w:val="pp"/>
    <w:basedOn w:val="OPCParaBase"/>
    <w:rsid w:val="00DD344E"/>
    <w:pPr>
      <w:spacing w:before="240" w:line="240" w:lineRule="atLeast"/>
      <w:ind w:hanging="567"/>
    </w:pPr>
    <w:rPr>
      <w:sz w:val="24"/>
    </w:rPr>
  </w:style>
  <w:style w:type="paragraph" w:customStyle="1" w:styleId="Penalty">
    <w:name w:val="Penalty"/>
    <w:basedOn w:val="OPCParaBase"/>
    <w:rsid w:val="00DD344E"/>
    <w:pPr>
      <w:tabs>
        <w:tab w:val="left" w:pos="2977"/>
      </w:tabs>
      <w:spacing w:before="180" w:line="240" w:lineRule="auto"/>
      <w:ind w:left="1985" w:hanging="851"/>
    </w:pPr>
  </w:style>
  <w:style w:type="paragraph" w:customStyle="1" w:styleId="Portfolio">
    <w:name w:val="Portfolio"/>
    <w:basedOn w:val="OPCParaBase"/>
    <w:rsid w:val="00DD344E"/>
    <w:pPr>
      <w:spacing w:line="240" w:lineRule="auto"/>
    </w:pPr>
    <w:rPr>
      <w:i/>
      <w:sz w:val="20"/>
    </w:rPr>
  </w:style>
  <w:style w:type="paragraph" w:customStyle="1" w:styleId="Preamble">
    <w:name w:val="Preamble"/>
    <w:basedOn w:val="OPCParaBase"/>
    <w:next w:val="Normal"/>
    <w:rsid w:val="00DD344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344E"/>
    <w:pPr>
      <w:spacing w:line="240" w:lineRule="auto"/>
    </w:pPr>
    <w:rPr>
      <w:i/>
      <w:sz w:val="20"/>
    </w:rPr>
  </w:style>
  <w:style w:type="paragraph" w:customStyle="1" w:styleId="Session">
    <w:name w:val="Session"/>
    <w:basedOn w:val="OPCParaBase"/>
    <w:rsid w:val="00DD344E"/>
    <w:pPr>
      <w:spacing w:line="240" w:lineRule="auto"/>
    </w:pPr>
    <w:rPr>
      <w:sz w:val="28"/>
    </w:rPr>
  </w:style>
  <w:style w:type="paragraph" w:customStyle="1" w:styleId="Sponsor">
    <w:name w:val="Sponsor"/>
    <w:basedOn w:val="OPCParaBase"/>
    <w:rsid w:val="00DD344E"/>
    <w:pPr>
      <w:spacing w:line="240" w:lineRule="auto"/>
    </w:pPr>
    <w:rPr>
      <w:i/>
    </w:rPr>
  </w:style>
  <w:style w:type="paragraph" w:customStyle="1" w:styleId="Subitem">
    <w:name w:val="Subitem"/>
    <w:aliases w:val="iss"/>
    <w:basedOn w:val="OPCParaBase"/>
    <w:rsid w:val="00DD344E"/>
    <w:pPr>
      <w:spacing w:before="180" w:line="240" w:lineRule="auto"/>
      <w:ind w:left="709" w:hanging="709"/>
    </w:pPr>
  </w:style>
  <w:style w:type="paragraph" w:customStyle="1" w:styleId="SubitemHead">
    <w:name w:val="SubitemHead"/>
    <w:aliases w:val="issh"/>
    <w:basedOn w:val="OPCParaBase"/>
    <w:rsid w:val="00DD34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344E"/>
    <w:pPr>
      <w:spacing w:before="40" w:line="240" w:lineRule="auto"/>
      <w:ind w:left="1134"/>
    </w:pPr>
  </w:style>
  <w:style w:type="paragraph" w:customStyle="1" w:styleId="SubsectionHead">
    <w:name w:val="SubsectionHead"/>
    <w:aliases w:val="ssh"/>
    <w:basedOn w:val="OPCParaBase"/>
    <w:next w:val="subsection"/>
    <w:rsid w:val="00DD344E"/>
    <w:pPr>
      <w:keepNext/>
      <w:keepLines/>
      <w:spacing w:before="240" w:line="240" w:lineRule="auto"/>
      <w:ind w:left="1134"/>
    </w:pPr>
    <w:rPr>
      <w:i/>
    </w:rPr>
  </w:style>
  <w:style w:type="paragraph" w:customStyle="1" w:styleId="Tablea">
    <w:name w:val="Table(a)"/>
    <w:aliases w:val="ta"/>
    <w:basedOn w:val="OPCParaBase"/>
    <w:rsid w:val="00DD344E"/>
    <w:pPr>
      <w:spacing w:before="60" w:line="240" w:lineRule="auto"/>
      <w:ind w:left="284" w:hanging="284"/>
    </w:pPr>
    <w:rPr>
      <w:sz w:val="20"/>
    </w:rPr>
  </w:style>
  <w:style w:type="paragraph" w:customStyle="1" w:styleId="TableAA">
    <w:name w:val="Table(AA)"/>
    <w:aliases w:val="taaa"/>
    <w:basedOn w:val="OPCParaBase"/>
    <w:rsid w:val="00DD344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344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DD344E"/>
    <w:pPr>
      <w:spacing w:before="60" w:line="240" w:lineRule="atLeast"/>
    </w:pPr>
    <w:rPr>
      <w:sz w:val="20"/>
    </w:rPr>
  </w:style>
  <w:style w:type="paragraph" w:customStyle="1" w:styleId="TLPBoxTextnote">
    <w:name w:val="TLPBoxText(note"/>
    <w:aliases w:val="right)"/>
    <w:basedOn w:val="OPCParaBase"/>
    <w:rsid w:val="00DD34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344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344E"/>
    <w:pPr>
      <w:spacing w:before="122" w:line="198" w:lineRule="exact"/>
      <w:ind w:left="1985" w:hanging="851"/>
      <w:jc w:val="right"/>
    </w:pPr>
    <w:rPr>
      <w:sz w:val="18"/>
    </w:rPr>
  </w:style>
  <w:style w:type="paragraph" w:customStyle="1" w:styleId="TLPTableBullet">
    <w:name w:val="TLPTableBullet"/>
    <w:aliases w:val="ttb"/>
    <w:basedOn w:val="OPCParaBase"/>
    <w:rsid w:val="00DD344E"/>
    <w:pPr>
      <w:spacing w:line="240" w:lineRule="exact"/>
      <w:ind w:left="284" w:hanging="284"/>
    </w:pPr>
    <w:rPr>
      <w:sz w:val="20"/>
    </w:rPr>
  </w:style>
  <w:style w:type="paragraph" w:styleId="TOC1">
    <w:name w:val="toc 1"/>
    <w:basedOn w:val="OPCParaBase"/>
    <w:next w:val="Normal"/>
    <w:uiPriority w:val="39"/>
    <w:semiHidden/>
    <w:unhideWhenUsed/>
    <w:rsid w:val="00DD344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D344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D344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D344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DD344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D344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D344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D34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D344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D344E"/>
    <w:pPr>
      <w:keepLines/>
      <w:spacing w:before="240" w:after="120" w:line="240" w:lineRule="auto"/>
      <w:ind w:left="794"/>
    </w:pPr>
    <w:rPr>
      <w:b/>
      <w:kern w:val="28"/>
      <w:sz w:val="20"/>
    </w:rPr>
  </w:style>
  <w:style w:type="paragraph" w:customStyle="1" w:styleId="TofSectsHeading">
    <w:name w:val="TofSects(Heading)"/>
    <w:basedOn w:val="OPCParaBase"/>
    <w:rsid w:val="00DD344E"/>
    <w:pPr>
      <w:spacing w:before="240" w:after="120" w:line="240" w:lineRule="auto"/>
    </w:pPr>
    <w:rPr>
      <w:b/>
      <w:sz w:val="24"/>
    </w:rPr>
  </w:style>
  <w:style w:type="paragraph" w:customStyle="1" w:styleId="TofSectsSection">
    <w:name w:val="TofSects(Section)"/>
    <w:basedOn w:val="OPCParaBase"/>
    <w:rsid w:val="00DD344E"/>
    <w:pPr>
      <w:keepLines/>
      <w:spacing w:before="40" w:line="240" w:lineRule="auto"/>
      <w:ind w:left="1588" w:hanging="794"/>
    </w:pPr>
    <w:rPr>
      <w:kern w:val="28"/>
      <w:sz w:val="18"/>
    </w:rPr>
  </w:style>
  <w:style w:type="paragraph" w:customStyle="1" w:styleId="TofSectsSubdiv">
    <w:name w:val="TofSects(Subdiv)"/>
    <w:basedOn w:val="OPCParaBase"/>
    <w:rsid w:val="00DD344E"/>
    <w:pPr>
      <w:keepLines/>
      <w:spacing w:before="80" w:line="240" w:lineRule="auto"/>
      <w:ind w:left="1588" w:hanging="794"/>
    </w:pPr>
    <w:rPr>
      <w:kern w:val="28"/>
    </w:rPr>
  </w:style>
  <w:style w:type="paragraph" w:customStyle="1" w:styleId="WRStyle">
    <w:name w:val="WR Style"/>
    <w:aliases w:val="WR"/>
    <w:basedOn w:val="OPCParaBase"/>
    <w:rsid w:val="00DD344E"/>
    <w:pPr>
      <w:spacing w:before="240" w:line="240" w:lineRule="auto"/>
      <w:ind w:left="284" w:hanging="284"/>
    </w:pPr>
    <w:rPr>
      <w:b/>
      <w:i/>
      <w:kern w:val="28"/>
      <w:sz w:val="24"/>
    </w:rPr>
  </w:style>
  <w:style w:type="paragraph" w:customStyle="1" w:styleId="notepara">
    <w:name w:val="note(para)"/>
    <w:aliases w:val="na"/>
    <w:basedOn w:val="OPCParaBase"/>
    <w:rsid w:val="00DD344E"/>
    <w:pPr>
      <w:spacing w:before="40" w:line="198" w:lineRule="exact"/>
      <w:ind w:left="2354" w:hanging="369"/>
    </w:pPr>
    <w:rPr>
      <w:sz w:val="18"/>
    </w:rPr>
  </w:style>
  <w:style w:type="paragraph" w:styleId="Footer">
    <w:name w:val="footer"/>
    <w:link w:val="FooterChar"/>
    <w:rsid w:val="00DD344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344E"/>
    <w:rPr>
      <w:rFonts w:eastAsia="Times New Roman" w:cs="Times New Roman"/>
      <w:sz w:val="22"/>
      <w:szCs w:val="24"/>
      <w:lang w:eastAsia="en-AU"/>
    </w:rPr>
  </w:style>
  <w:style w:type="character" w:styleId="LineNumber">
    <w:name w:val="line number"/>
    <w:basedOn w:val="OPCCharBase"/>
    <w:uiPriority w:val="99"/>
    <w:semiHidden/>
    <w:unhideWhenUsed/>
    <w:rsid w:val="00DD344E"/>
    <w:rPr>
      <w:sz w:val="16"/>
    </w:rPr>
  </w:style>
  <w:style w:type="table" w:customStyle="1" w:styleId="CFlag">
    <w:name w:val="CFlag"/>
    <w:basedOn w:val="TableNormal"/>
    <w:uiPriority w:val="99"/>
    <w:rsid w:val="00DD344E"/>
    <w:rPr>
      <w:rFonts w:eastAsia="Times New Roman" w:cs="Times New Roman"/>
      <w:lang w:eastAsia="en-AU"/>
    </w:rPr>
    <w:tblPr/>
  </w:style>
  <w:style w:type="paragraph" w:customStyle="1" w:styleId="CompiledActNo">
    <w:name w:val="CompiledActNo"/>
    <w:basedOn w:val="OPCParaBase"/>
    <w:next w:val="Normal"/>
    <w:rsid w:val="00DD344E"/>
    <w:rPr>
      <w:b/>
      <w:sz w:val="24"/>
      <w:szCs w:val="24"/>
    </w:rPr>
  </w:style>
  <w:style w:type="paragraph" w:customStyle="1" w:styleId="CompiledMadeUnder">
    <w:name w:val="CompiledMadeUnder"/>
    <w:basedOn w:val="OPCParaBase"/>
    <w:next w:val="Normal"/>
    <w:rsid w:val="00DD344E"/>
    <w:rPr>
      <w:i/>
      <w:sz w:val="24"/>
      <w:szCs w:val="24"/>
    </w:rPr>
  </w:style>
  <w:style w:type="paragraph" w:customStyle="1" w:styleId="ENotesText">
    <w:name w:val="ENotesText"/>
    <w:aliases w:val="Ent"/>
    <w:basedOn w:val="OPCParaBase"/>
    <w:next w:val="Normal"/>
    <w:rsid w:val="00DD344E"/>
    <w:pPr>
      <w:spacing w:before="120"/>
    </w:pPr>
  </w:style>
  <w:style w:type="paragraph" w:customStyle="1" w:styleId="Paragraphsub-sub-sub">
    <w:name w:val="Paragraph(sub-sub-sub)"/>
    <w:aliases w:val="aaaa"/>
    <w:basedOn w:val="OPCParaBase"/>
    <w:rsid w:val="00DD344E"/>
    <w:pPr>
      <w:tabs>
        <w:tab w:val="right" w:pos="3402"/>
      </w:tabs>
      <w:spacing w:before="40" w:line="240" w:lineRule="auto"/>
      <w:ind w:left="3402" w:hanging="3402"/>
    </w:pPr>
  </w:style>
  <w:style w:type="paragraph" w:customStyle="1" w:styleId="NoteToSubpara">
    <w:name w:val="NoteToSubpara"/>
    <w:aliases w:val="nts"/>
    <w:basedOn w:val="OPCParaBase"/>
    <w:rsid w:val="00DD344E"/>
    <w:pPr>
      <w:spacing w:before="40" w:line="198" w:lineRule="exact"/>
      <w:ind w:left="2835" w:hanging="709"/>
    </w:pPr>
    <w:rPr>
      <w:sz w:val="18"/>
    </w:rPr>
  </w:style>
  <w:style w:type="paragraph" w:customStyle="1" w:styleId="ENoteTableHeading">
    <w:name w:val="ENoteTableHeading"/>
    <w:aliases w:val="enth"/>
    <w:basedOn w:val="OPCParaBase"/>
    <w:rsid w:val="00DD344E"/>
    <w:pPr>
      <w:keepNext/>
      <w:spacing w:before="60" w:line="240" w:lineRule="atLeast"/>
    </w:pPr>
    <w:rPr>
      <w:rFonts w:ascii="Arial" w:hAnsi="Arial"/>
      <w:b/>
      <w:sz w:val="16"/>
    </w:rPr>
  </w:style>
  <w:style w:type="paragraph" w:customStyle="1" w:styleId="ENoteTTi">
    <w:name w:val="ENoteTTi"/>
    <w:aliases w:val="entti"/>
    <w:basedOn w:val="OPCParaBase"/>
    <w:rsid w:val="00DD344E"/>
    <w:pPr>
      <w:keepNext/>
      <w:spacing w:before="60" w:line="240" w:lineRule="atLeast"/>
      <w:ind w:left="170"/>
    </w:pPr>
    <w:rPr>
      <w:sz w:val="16"/>
    </w:rPr>
  </w:style>
  <w:style w:type="paragraph" w:customStyle="1" w:styleId="ENotesHeading1">
    <w:name w:val="ENotesHeading 1"/>
    <w:aliases w:val="Enh1"/>
    <w:basedOn w:val="OPCParaBase"/>
    <w:next w:val="Normal"/>
    <w:rsid w:val="00DD344E"/>
    <w:pPr>
      <w:spacing w:before="120"/>
      <w:outlineLvl w:val="1"/>
    </w:pPr>
    <w:rPr>
      <w:b/>
      <w:sz w:val="28"/>
      <w:szCs w:val="28"/>
    </w:rPr>
  </w:style>
  <w:style w:type="paragraph" w:customStyle="1" w:styleId="ENotesHeading2">
    <w:name w:val="ENotesHeading 2"/>
    <w:aliases w:val="Enh2"/>
    <w:basedOn w:val="OPCParaBase"/>
    <w:next w:val="Normal"/>
    <w:rsid w:val="00DD344E"/>
    <w:pPr>
      <w:spacing w:before="120" w:after="120"/>
      <w:outlineLvl w:val="2"/>
    </w:pPr>
    <w:rPr>
      <w:b/>
      <w:sz w:val="24"/>
      <w:szCs w:val="28"/>
    </w:rPr>
  </w:style>
  <w:style w:type="paragraph" w:customStyle="1" w:styleId="ENoteTTIndentHeading">
    <w:name w:val="ENoteTTIndentHeading"/>
    <w:aliases w:val="enTTHi"/>
    <w:basedOn w:val="OPCParaBase"/>
    <w:rsid w:val="00DD344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344E"/>
    <w:pPr>
      <w:spacing w:before="60" w:line="240" w:lineRule="atLeast"/>
    </w:pPr>
    <w:rPr>
      <w:sz w:val="16"/>
    </w:rPr>
  </w:style>
  <w:style w:type="paragraph" w:customStyle="1" w:styleId="MadeunderText">
    <w:name w:val="MadeunderText"/>
    <w:basedOn w:val="OPCParaBase"/>
    <w:next w:val="Normal"/>
    <w:rsid w:val="00DD344E"/>
    <w:pPr>
      <w:spacing w:before="240"/>
    </w:pPr>
    <w:rPr>
      <w:sz w:val="24"/>
      <w:szCs w:val="24"/>
    </w:rPr>
  </w:style>
  <w:style w:type="paragraph" w:customStyle="1" w:styleId="ENotesHeading3">
    <w:name w:val="ENotesHeading 3"/>
    <w:aliases w:val="Enh3"/>
    <w:basedOn w:val="OPCParaBase"/>
    <w:next w:val="Normal"/>
    <w:rsid w:val="00DD344E"/>
    <w:pPr>
      <w:keepNext/>
      <w:spacing w:before="120" w:line="240" w:lineRule="auto"/>
      <w:outlineLvl w:val="4"/>
    </w:pPr>
    <w:rPr>
      <w:b/>
      <w:szCs w:val="24"/>
    </w:rPr>
  </w:style>
  <w:style w:type="character" w:customStyle="1" w:styleId="CharSubPartTextCASA">
    <w:name w:val="CharSubPartText(CASA)"/>
    <w:basedOn w:val="OPCCharBase"/>
    <w:uiPriority w:val="1"/>
    <w:rsid w:val="00DD344E"/>
  </w:style>
  <w:style w:type="character" w:customStyle="1" w:styleId="CharSubPartNoCASA">
    <w:name w:val="CharSubPartNo(CASA)"/>
    <w:basedOn w:val="OPCCharBase"/>
    <w:uiPriority w:val="1"/>
    <w:rsid w:val="00DD344E"/>
  </w:style>
  <w:style w:type="paragraph" w:customStyle="1" w:styleId="ENoteTTIndentHeadingSub">
    <w:name w:val="ENoteTTIndentHeadingSub"/>
    <w:aliases w:val="enTTHis"/>
    <w:basedOn w:val="OPCParaBase"/>
    <w:rsid w:val="00DD344E"/>
    <w:pPr>
      <w:keepNext/>
      <w:spacing w:before="60" w:line="240" w:lineRule="atLeast"/>
      <w:ind w:left="340"/>
    </w:pPr>
    <w:rPr>
      <w:b/>
      <w:sz w:val="16"/>
    </w:rPr>
  </w:style>
  <w:style w:type="paragraph" w:customStyle="1" w:styleId="ENoteTTiSub">
    <w:name w:val="ENoteTTiSub"/>
    <w:aliases w:val="enttis"/>
    <w:basedOn w:val="OPCParaBase"/>
    <w:rsid w:val="00DD344E"/>
    <w:pPr>
      <w:keepNext/>
      <w:spacing w:before="60" w:line="240" w:lineRule="atLeast"/>
      <w:ind w:left="340"/>
    </w:pPr>
    <w:rPr>
      <w:sz w:val="16"/>
    </w:rPr>
  </w:style>
  <w:style w:type="paragraph" w:customStyle="1" w:styleId="SubDivisionMigration">
    <w:name w:val="SubDivisionMigration"/>
    <w:aliases w:val="sdm"/>
    <w:basedOn w:val="OPCParaBase"/>
    <w:rsid w:val="00DD34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344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D344E"/>
    <w:pPr>
      <w:spacing w:before="122" w:line="240" w:lineRule="auto"/>
      <w:ind w:left="1985" w:hanging="851"/>
    </w:pPr>
    <w:rPr>
      <w:sz w:val="18"/>
    </w:rPr>
  </w:style>
  <w:style w:type="paragraph" w:customStyle="1" w:styleId="FreeForm">
    <w:name w:val="FreeForm"/>
    <w:rsid w:val="00DD344E"/>
    <w:rPr>
      <w:rFonts w:ascii="Arial" w:hAnsi="Arial"/>
      <w:sz w:val="22"/>
    </w:rPr>
  </w:style>
  <w:style w:type="paragraph" w:customStyle="1" w:styleId="SOText">
    <w:name w:val="SO Text"/>
    <w:aliases w:val="sot"/>
    <w:link w:val="SOTextChar"/>
    <w:rsid w:val="00DD344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344E"/>
    <w:rPr>
      <w:sz w:val="22"/>
    </w:rPr>
  </w:style>
  <w:style w:type="paragraph" w:customStyle="1" w:styleId="SOTextNote">
    <w:name w:val="SO TextNote"/>
    <w:aliases w:val="sont"/>
    <w:basedOn w:val="SOText"/>
    <w:qFormat/>
    <w:rsid w:val="00DD344E"/>
    <w:pPr>
      <w:spacing w:before="122" w:line="198" w:lineRule="exact"/>
      <w:ind w:left="1843" w:hanging="709"/>
    </w:pPr>
    <w:rPr>
      <w:sz w:val="18"/>
    </w:rPr>
  </w:style>
  <w:style w:type="paragraph" w:customStyle="1" w:styleId="SOPara">
    <w:name w:val="SO Para"/>
    <w:aliases w:val="soa"/>
    <w:basedOn w:val="SOText"/>
    <w:link w:val="SOParaChar"/>
    <w:qFormat/>
    <w:rsid w:val="00DD344E"/>
    <w:pPr>
      <w:tabs>
        <w:tab w:val="right" w:pos="1786"/>
      </w:tabs>
      <w:spacing w:before="40"/>
      <w:ind w:left="2070" w:hanging="936"/>
    </w:pPr>
  </w:style>
  <w:style w:type="character" w:customStyle="1" w:styleId="SOParaChar">
    <w:name w:val="SO Para Char"/>
    <w:aliases w:val="soa Char"/>
    <w:basedOn w:val="DefaultParagraphFont"/>
    <w:link w:val="SOPara"/>
    <w:rsid w:val="00DD344E"/>
    <w:rPr>
      <w:sz w:val="22"/>
    </w:rPr>
  </w:style>
  <w:style w:type="paragraph" w:customStyle="1" w:styleId="FileName">
    <w:name w:val="FileName"/>
    <w:basedOn w:val="Normal"/>
    <w:rsid w:val="00DD344E"/>
  </w:style>
  <w:style w:type="paragraph" w:customStyle="1" w:styleId="TableHeading">
    <w:name w:val="TableHeading"/>
    <w:aliases w:val="th"/>
    <w:basedOn w:val="OPCParaBase"/>
    <w:next w:val="Tabletext"/>
    <w:rsid w:val="00DD344E"/>
    <w:pPr>
      <w:keepNext/>
      <w:spacing w:before="60" w:line="240" w:lineRule="atLeast"/>
    </w:pPr>
    <w:rPr>
      <w:b/>
      <w:sz w:val="20"/>
    </w:rPr>
  </w:style>
  <w:style w:type="paragraph" w:customStyle="1" w:styleId="SOHeadBold">
    <w:name w:val="SO HeadBold"/>
    <w:aliases w:val="sohb"/>
    <w:basedOn w:val="SOText"/>
    <w:next w:val="SOText"/>
    <w:link w:val="SOHeadBoldChar"/>
    <w:qFormat/>
    <w:rsid w:val="00DD344E"/>
    <w:rPr>
      <w:b/>
    </w:rPr>
  </w:style>
  <w:style w:type="character" w:customStyle="1" w:styleId="SOHeadBoldChar">
    <w:name w:val="SO HeadBold Char"/>
    <w:aliases w:val="sohb Char"/>
    <w:basedOn w:val="DefaultParagraphFont"/>
    <w:link w:val="SOHeadBold"/>
    <w:rsid w:val="00DD344E"/>
    <w:rPr>
      <w:b/>
      <w:sz w:val="22"/>
    </w:rPr>
  </w:style>
  <w:style w:type="paragraph" w:customStyle="1" w:styleId="SOHeadItalic">
    <w:name w:val="SO HeadItalic"/>
    <w:aliases w:val="sohi"/>
    <w:basedOn w:val="SOText"/>
    <w:next w:val="SOText"/>
    <w:link w:val="SOHeadItalicChar"/>
    <w:qFormat/>
    <w:rsid w:val="00DD344E"/>
    <w:rPr>
      <w:i/>
    </w:rPr>
  </w:style>
  <w:style w:type="character" w:customStyle="1" w:styleId="SOHeadItalicChar">
    <w:name w:val="SO HeadItalic Char"/>
    <w:aliases w:val="sohi Char"/>
    <w:basedOn w:val="DefaultParagraphFont"/>
    <w:link w:val="SOHeadItalic"/>
    <w:rsid w:val="00DD344E"/>
    <w:rPr>
      <w:i/>
      <w:sz w:val="22"/>
    </w:rPr>
  </w:style>
  <w:style w:type="paragraph" w:customStyle="1" w:styleId="SOBullet">
    <w:name w:val="SO Bullet"/>
    <w:aliases w:val="sotb"/>
    <w:basedOn w:val="SOText"/>
    <w:link w:val="SOBulletChar"/>
    <w:qFormat/>
    <w:rsid w:val="00DD344E"/>
    <w:pPr>
      <w:ind w:left="1559" w:hanging="425"/>
    </w:pPr>
  </w:style>
  <w:style w:type="character" w:customStyle="1" w:styleId="SOBulletChar">
    <w:name w:val="SO Bullet Char"/>
    <w:aliases w:val="sotb Char"/>
    <w:basedOn w:val="DefaultParagraphFont"/>
    <w:link w:val="SOBullet"/>
    <w:rsid w:val="00DD344E"/>
    <w:rPr>
      <w:sz w:val="22"/>
    </w:rPr>
  </w:style>
  <w:style w:type="paragraph" w:customStyle="1" w:styleId="SOBulletNote">
    <w:name w:val="SO BulletNote"/>
    <w:aliases w:val="sonb"/>
    <w:basedOn w:val="SOTextNote"/>
    <w:link w:val="SOBulletNoteChar"/>
    <w:qFormat/>
    <w:rsid w:val="00DD344E"/>
    <w:pPr>
      <w:tabs>
        <w:tab w:val="left" w:pos="1560"/>
      </w:tabs>
      <w:ind w:left="2268" w:hanging="1134"/>
    </w:pPr>
  </w:style>
  <w:style w:type="character" w:customStyle="1" w:styleId="SOBulletNoteChar">
    <w:name w:val="SO BulletNote Char"/>
    <w:aliases w:val="sonb Char"/>
    <w:basedOn w:val="DefaultParagraphFont"/>
    <w:link w:val="SOBulletNote"/>
    <w:rsid w:val="00DD344E"/>
    <w:rPr>
      <w:sz w:val="18"/>
    </w:rPr>
  </w:style>
  <w:style w:type="paragraph" w:customStyle="1" w:styleId="SOText2">
    <w:name w:val="SO Text2"/>
    <w:aliases w:val="sot2"/>
    <w:basedOn w:val="Normal"/>
    <w:next w:val="SOText"/>
    <w:link w:val="SOText2Char"/>
    <w:rsid w:val="00DD344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344E"/>
    <w:rPr>
      <w:sz w:val="22"/>
    </w:rPr>
  </w:style>
  <w:style w:type="paragraph" w:customStyle="1" w:styleId="SubPartCASA">
    <w:name w:val="SubPart(CASA)"/>
    <w:aliases w:val="csp"/>
    <w:basedOn w:val="OPCParaBase"/>
    <w:next w:val="ActHead3"/>
    <w:rsid w:val="00DD344E"/>
    <w:pPr>
      <w:keepNext/>
      <w:keepLines/>
      <w:spacing w:before="280"/>
      <w:ind w:left="1134" w:hanging="1134"/>
      <w:outlineLvl w:val="1"/>
    </w:pPr>
    <w:rPr>
      <w:b/>
      <w:kern w:val="28"/>
      <w:sz w:val="32"/>
    </w:rPr>
  </w:style>
  <w:style w:type="paragraph" w:customStyle="1" w:styleId="NotesHeading1">
    <w:name w:val="NotesHeading 1"/>
    <w:basedOn w:val="OPCParaBase"/>
    <w:next w:val="Normal"/>
    <w:rsid w:val="00DD344E"/>
    <w:rPr>
      <w:b/>
      <w:sz w:val="28"/>
      <w:szCs w:val="28"/>
    </w:rPr>
  </w:style>
  <w:style w:type="paragraph" w:customStyle="1" w:styleId="NotesHeading2">
    <w:name w:val="NotesHeading 2"/>
    <w:basedOn w:val="OPCParaBase"/>
    <w:next w:val="Normal"/>
    <w:rsid w:val="00DD344E"/>
    <w:rPr>
      <w:b/>
      <w:sz w:val="28"/>
      <w:szCs w:val="28"/>
    </w:rPr>
  </w:style>
  <w:style w:type="paragraph" w:customStyle="1" w:styleId="SignCoverPageEnd">
    <w:name w:val="SignCoverPageEnd"/>
    <w:basedOn w:val="OPCParaBase"/>
    <w:next w:val="Normal"/>
    <w:rsid w:val="00DD344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344E"/>
    <w:pPr>
      <w:pBdr>
        <w:top w:val="single" w:sz="4" w:space="1" w:color="auto"/>
      </w:pBdr>
      <w:spacing w:before="360"/>
      <w:ind w:right="397"/>
      <w:jc w:val="both"/>
    </w:pPr>
  </w:style>
  <w:style w:type="paragraph" w:customStyle="1" w:styleId="EndNotespara">
    <w:name w:val="EndNotes(para)"/>
    <w:aliases w:val="eta"/>
    <w:basedOn w:val="OPCParaBase"/>
    <w:next w:val="EndNotessubpara"/>
    <w:rsid w:val="00DD34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34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34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344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D344E"/>
    <w:pPr>
      <w:spacing w:before="60" w:line="240" w:lineRule="auto"/>
    </w:pPr>
    <w:rPr>
      <w:rFonts w:cs="Arial"/>
      <w:sz w:val="20"/>
      <w:szCs w:val="22"/>
    </w:rPr>
  </w:style>
  <w:style w:type="table" w:styleId="TableGrid">
    <w:name w:val="Table Grid"/>
    <w:basedOn w:val="TableNormal"/>
    <w:uiPriority w:val="59"/>
    <w:rsid w:val="00DD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DD344E"/>
  </w:style>
  <w:style w:type="character" w:customStyle="1" w:styleId="Heading1Char">
    <w:name w:val="Heading 1 Char"/>
    <w:basedOn w:val="DefaultParagraphFont"/>
    <w:link w:val="Heading1"/>
    <w:uiPriority w:val="9"/>
    <w:rsid w:val="00323B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23B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23B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23B4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323B4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23B4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23B4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23B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3B4D"/>
    <w:rPr>
      <w:rFonts w:asciiTheme="majorHAnsi" w:eastAsiaTheme="majorEastAsia" w:hAnsiTheme="majorHAnsi" w:cstheme="majorBidi"/>
      <w:i/>
      <w:iCs/>
      <w:color w:val="272727" w:themeColor="text1" w:themeTint="D8"/>
      <w:sz w:val="21"/>
      <w:szCs w:val="21"/>
    </w:rPr>
  </w:style>
  <w:style w:type="paragraph" w:customStyle="1" w:styleId="tableSub-heading">
    <w:name w:val="table.Sub-heading"/>
    <w:basedOn w:val="Normal"/>
    <w:rsid w:val="00BE56B9"/>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BE56B9"/>
    <w:pPr>
      <w:spacing w:before="24" w:after="24"/>
    </w:pPr>
    <w:rPr>
      <w:rFonts w:eastAsia="Calibri" w:cs="Times New Roman"/>
      <w:sz w:val="20"/>
    </w:rPr>
  </w:style>
  <w:style w:type="paragraph" w:customStyle="1" w:styleId="tableIndentText">
    <w:name w:val="table.Indent.Text"/>
    <w:rsid w:val="00BE56B9"/>
    <w:pPr>
      <w:tabs>
        <w:tab w:val="left" w:leader="dot" w:pos="5245"/>
      </w:tabs>
      <w:spacing w:before="24" w:after="24"/>
      <w:ind w:left="851" w:hanging="284"/>
    </w:pPr>
    <w:rPr>
      <w:rFonts w:ascii="Times" w:eastAsia="Times New Roman" w:hAnsi="Times" w:cs="Times New Roman"/>
    </w:rPr>
  </w:style>
  <w:style w:type="paragraph" w:styleId="ListParagraph">
    <w:name w:val="List Paragraph"/>
    <w:basedOn w:val="Normal"/>
    <w:uiPriority w:val="34"/>
    <w:qFormat/>
    <w:rsid w:val="006A7CB0"/>
    <w:pPr>
      <w:spacing w:line="240" w:lineRule="auto"/>
      <w:ind w:left="720"/>
    </w:pPr>
    <w:rPr>
      <w:rFonts w:ascii="Calibri" w:hAnsi="Calibri" w:cs="Calibri"/>
      <w:szCs w:val="22"/>
      <w:lang w:eastAsia="en-AU"/>
    </w:rPr>
  </w:style>
  <w:style w:type="paragraph" w:styleId="BalloonText">
    <w:name w:val="Balloon Text"/>
    <w:basedOn w:val="Normal"/>
    <w:link w:val="BalloonTextChar"/>
    <w:uiPriority w:val="99"/>
    <w:semiHidden/>
    <w:unhideWhenUsed/>
    <w:rsid w:val="00BF12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2F8"/>
    <w:rPr>
      <w:rFonts w:ascii="Segoe UI" w:hAnsi="Segoe UI" w:cs="Segoe UI"/>
      <w:sz w:val="18"/>
      <w:szCs w:val="18"/>
    </w:rPr>
  </w:style>
  <w:style w:type="character" w:customStyle="1" w:styleId="subsectionChar">
    <w:name w:val="subsection Char"/>
    <w:aliases w:val="ss Char"/>
    <w:basedOn w:val="DefaultParagraphFont"/>
    <w:link w:val="subsection"/>
    <w:locked/>
    <w:rsid w:val="0050358A"/>
    <w:rPr>
      <w:rFonts w:eastAsia="Times New Roman" w:cs="Times New Roman"/>
      <w:sz w:val="22"/>
      <w:lang w:eastAsia="en-AU"/>
    </w:rPr>
  </w:style>
  <w:style w:type="character" w:customStyle="1" w:styleId="paragraphChar">
    <w:name w:val="paragraph Char"/>
    <w:aliases w:val="a Char"/>
    <w:link w:val="paragraph"/>
    <w:rsid w:val="0050358A"/>
    <w:rPr>
      <w:rFonts w:eastAsia="Times New Roman" w:cs="Times New Roman"/>
      <w:sz w:val="22"/>
      <w:lang w:eastAsia="en-AU"/>
    </w:rPr>
  </w:style>
  <w:style w:type="character" w:customStyle="1" w:styleId="notetextChar">
    <w:name w:val="note(text) Char"/>
    <w:aliases w:val="n Char"/>
    <w:link w:val="notetext"/>
    <w:rsid w:val="0050358A"/>
    <w:rPr>
      <w:rFonts w:eastAsia="Times New Roman" w:cs="Times New Roman"/>
      <w:sz w:val="18"/>
      <w:lang w:eastAsia="en-AU"/>
    </w:rPr>
  </w:style>
  <w:style w:type="character" w:customStyle="1" w:styleId="ActHead5Char">
    <w:name w:val="ActHead 5 Char"/>
    <w:aliases w:val="s Char"/>
    <w:link w:val="ActHead5"/>
    <w:rsid w:val="00CE7E14"/>
    <w:rPr>
      <w:rFonts w:eastAsia="Times New Roman" w:cs="Times New Roman"/>
      <w:b/>
      <w:kern w:val="28"/>
      <w:sz w:val="24"/>
      <w:lang w:eastAsia="en-AU"/>
    </w:rPr>
  </w:style>
  <w:style w:type="character" w:customStyle="1" w:styleId="ActHead4Char">
    <w:name w:val="ActHead 4 Char"/>
    <w:aliases w:val="sd Char"/>
    <w:link w:val="ActHead4"/>
    <w:rsid w:val="00CE7E14"/>
    <w:rPr>
      <w:rFonts w:eastAsia="Times New Roman" w:cs="Times New Roman"/>
      <w:b/>
      <w:kern w:val="28"/>
      <w:sz w:val="26"/>
      <w:lang w:eastAsia="en-AU"/>
    </w:rPr>
  </w:style>
  <w:style w:type="character" w:customStyle="1" w:styleId="TabletextChar">
    <w:name w:val="Tabletext Char"/>
    <w:aliases w:val="tt Char"/>
    <w:basedOn w:val="DefaultParagraphFont"/>
    <w:link w:val="Tabletext"/>
    <w:rsid w:val="00CE7E14"/>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1497">
      <w:bodyDiv w:val="1"/>
      <w:marLeft w:val="0"/>
      <w:marRight w:val="0"/>
      <w:marTop w:val="0"/>
      <w:marBottom w:val="0"/>
      <w:divBdr>
        <w:top w:val="none" w:sz="0" w:space="0" w:color="auto"/>
        <w:left w:val="none" w:sz="0" w:space="0" w:color="auto"/>
        <w:bottom w:val="none" w:sz="0" w:space="0" w:color="auto"/>
        <w:right w:val="none" w:sz="0" w:space="0" w:color="auto"/>
      </w:divBdr>
    </w:div>
    <w:div w:id="486097740">
      <w:bodyDiv w:val="1"/>
      <w:marLeft w:val="0"/>
      <w:marRight w:val="0"/>
      <w:marTop w:val="0"/>
      <w:marBottom w:val="0"/>
      <w:divBdr>
        <w:top w:val="none" w:sz="0" w:space="0" w:color="auto"/>
        <w:left w:val="none" w:sz="0" w:space="0" w:color="auto"/>
        <w:bottom w:val="none" w:sz="0" w:space="0" w:color="auto"/>
        <w:right w:val="none" w:sz="0" w:space="0" w:color="auto"/>
      </w:divBdr>
    </w:div>
    <w:div w:id="858391664">
      <w:bodyDiv w:val="1"/>
      <w:marLeft w:val="0"/>
      <w:marRight w:val="0"/>
      <w:marTop w:val="0"/>
      <w:marBottom w:val="0"/>
      <w:divBdr>
        <w:top w:val="none" w:sz="0" w:space="0" w:color="auto"/>
        <w:left w:val="none" w:sz="0" w:space="0" w:color="auto"/>
        <w:bottom w:val="none" w:sz="0" w:space="0" w:color="auto"/>
        <w:right w:val="none" w:sz="0" w:space="0" w:color="auto"/>
      </w:divBdr>
    </w:div>
    <w:div w:id="10797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8</Pages>
  <Words>1895</Words>
  <Characters>9612</Characters>
  <Application>Microsoft Office Word</Application>
  <DocSecurity>2</DocSecurity>
  <PresentationFormat/>
  <Lines>252</Lines>
  <Paragraphs>142</Paragraphs>
  <ScaleCrop>false</ScaleCrop>
  <HeadingPairs>
    <vt:vector size="2" baseType="variant">
      <vt:variant>
        <vt:lpstr>Title</vt:lpstr>
      </vt:variant>
      <vt:variant>
        <vt:i4>1</vt:i4>
      </vt:variant>
    </vt:vector>
  </HeadingPairs>
  <TitlesOfParts>
    <vt:vector size="1" baseType="lpstr">
      <vt:lpstr>Exposure Draft - Treasury Laws Amendment (Measures for Future Bills) Bill 2023: Deductions for payments relating to intangible assets connected with low corporate tax jurisdictions</vt:lpstr>
    </vt:vector>
  </TitlesOfParts>
  <Manager/>
  <Company/>
  <LinksUpToDate>false</LinksUpToDate>
  <CharactersWithSpaces>11365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Future Bills) Bill 2023: Deductions for payments relating to intangible assets connected with low corporate tax jurisdictions</dc:title>
  <dc:subject/>
  <dc:creator/>
  <cp:keywords/>
  <dc:description/>
  <cp:lastModifiedBy/>
  <cp:revision>1</cp:revision>
  <cp:lastPrinted>2023-05-24T22:36:00Z</cp:lastPrinted>
  <dcterms:created xsi:type="dcterms:W3CDTF">2023-06-21T00:49:00Z</dcterms:created>
  <dcterms:modified xsi:type="dcterms:W3CDTF">2023-06-22T07:40:00Z</dcterms:modified>
  <cp:category/>
  <cp:contentStatus/>
  <dc:language/>
  <cp:version/>
</cp:coreProperties>
</file>