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630F28" w14:paraId="7F149596" w14:textId="77777777" w:rsidTr="00630F28">
        <w:tc>
          <w:tcPr>
            <w:tcW w:w="5000" w:type="pct"/>
            <w:shd w:val="clear" w:color="auto" w:fill="auto"/>
          </w:tcPr>
          <w:p w14:paraId="51B74F20" w14:textId="77777777" w:rsidR="00630F28" w:rsidRDefault="00630F28" w:rsidP="00630F2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00635DDD" w14:textId="77777777" w:rsidR="00630F28" w:rsidRPr="00630F28" w:rsidRDefault="00630F28" w:rsidP="00630F28">
            <w:pPr>
              <w:rPr>
                <w:b/>
                <w:sz w:val="20"/>
              </w:rPr>
            </w:pPr>
          </w:p>
        </w:tc>
      </w:tr>
    </w:tbl>
    <w:p w14:paraId="53BBA570" w14:textId="77777777" w:rsidR="00630F28" w:rsidRDefault="00630F28" w:rsidP="00932FA3">
      <w:pPr>
        <w:rPr>
          <w:sz w:val="32"/>
          <w:szCs w:val="32"/>
        </w:rPr>
      </w:pPr>
    </w:p>
    <w:p w14:paraId="60C68AFC" w14:textId="77777777"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</w:p>
    <w:p w14:paraId="3BCEC275" w14:textId="77777777" w:rsidR="00664C63" w:rsidRDefault="00276DEA" w:rsidP="00664C63">
      <w:pPr>
        <w:pStyle w:val="ShortT"/>
      </w:pPr>
      <w:r w:rsidRPr="00276DEA">
        <w:t>Treasury Laws Amendment (Measures for Consultation) Bill 2023</w:t>
      </w:r>
      <w:r w:rsidR="00664C63">
        <w:t xml:space="preserve">: </w:t>
      </w:r>
      <w:r>
        <w:t>Non-arm’s Length Expense Rules for Superannuation Funds</w:t>
      </w:r>
    </w:p>
    <w:p w14:paraId="0606E557" w14:textId="77777777" w:rsidR="00664C63" w:rsidRDefault="00664C63" w:rsidP="00664C63">
      <w:pPr>
        <w:jc w:val="center"/>
      </w:pPr>
    </w:p>
    <w:p w14:paraId="5198DE1F" w14:textId="77777777"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14:paraId="18C1E1A7" w14:textId="77777777" w:rsidTr="00F66042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08E28D8" w14:textId="77777777"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14:paraId="69D87765" w14:textId="77777777" w:rsidTr="00F6604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A8ED2" w14:textId="77777777"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45EF40" w14:textId="77777777"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81F60" w14:textId="77777777"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14:paraId="4019D224" w14:textId="77777777" w:rsidTr="00F66042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0694F82" w14:textId="77777777"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31C04B1" w14:textId="77777777"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4ECEBAA" w14:textId="77777777"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664C63" w14:paraId="2A4CDAF5" w14:textId="77777777" w:rsidTr="00F66042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9F92CF" w14:textId="77777777" w:rsidR="00664C63" w:rsidRDefault="00664C63" w:rsidP="00B11E96">
            <w:pPr>
              <w:pStyle w:val="Tabletext"/>
            </w:pPr>
            <w:r>
              <w:t xml:space="preserve">1.  </w:t>
            </w:r>
            <w:r w:rsidR="00EB5471">
              <w:t>Schedule X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9CFDFF9" w14:textId="77777777" w:rsidR="00664C63" w:rsidRDefault="00EB5471" w:rsidP="00B11E96">
            <w:pPr>
              <w:pStyle w:val="Tabletext"/>
            </w:pPr>
            <w:r w:rsidRPr="004340C5">
              <w:rPr>
                <w:lang w:eastAsia="en-US"/>
              </w:rPr>
              <w:t>The first 1 January, 1 April, 1 July or 1 October to occur after 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6D025F3" w14:textId="77777777" w:rsidR="00664C63" w:rsidRDefault="00664C63" w:rsidP="00B11E96">
            <w:pPr>
              <w:pStyle w:val="Tabletext"/>
            </w:pPr>
          </w:p>
        </w:tc>
      </w:tr>
    </w:tbl>
    <w:p w14:paraId="6178B042" w14:textId="77777777" w:rsidR="00FD1986" w:rsidRPr="00FD1986" w:rsidRDefault="00FD1986" w:rsidP="00FD1986">
      <w:pPr>
        <w:pStyle w:val="ActHead6"/>
        <w:pageBreakBefore/>
      </w:pPr>
      <w:r w:rsidRPr="00630F28">
        <w:rPr>
          <w:rStyle w:val="CharAmSchNo"/>
        </w:rPr>
        <w:lastRenderedPageBreak/>
        <w:t>Schedule X</w:t>
      </w:r>
      <w:r>
        <w:t>—</w:t>
      </w:r>
      <w:r w:rsidRPr="00630F28">
        <w:rPr>
          <w:rStyle w:val="CharAmSchText"/>
        </w:rPr>
        <w:t>Non-arm’s length expenses of superannuation funds</w:t>
      </w:r>
    </w:p>
    <w:p w14:paraId="6E0ECA36" w14:textId="77777777" w:rsidR="00F66042" w:rsidRPr="00630F28" w:rsidRDefault="00F66042" w:rsidP="00F66042">
      <w:pPr>
        <w:pStyle w:val="Header"/>
      </w:pPr>
      <w:r w:rsidRPr="00630F28">
        <w:rPr>
          <w:rStyle w:val="CharAmPartNo"/>
        </w:rPr>
        <w:t xml:space="preserve"> </w:t>
      </w:r>
      <w:r w:rsidRPr="00630F28">
        <w:rPr>
          <w:rStyle w:val="CharAmPartText"/>
        </w:rPr>
        <w:t xml:space="preserve"> </w:t>
      </w:r>
    </w:p>
    <w:p w14:paraId="48706B95" w14:textId="77777777" w:rsidR="0033411C" w:rsidRDefault="00FD1986" w:rsidP="00FD1986">
      <w:pPr>
        <w:pStyle w:val="ActHead9"/>
      </w:pPr>
      <w:r w:rsidRPr="00FD1986">
        <w:t>Income Tax Assessment Act 1997</w:t>
      </w:r>
    </w:p>
    <w:p w14:paraId="1BDC179C" w14:textId="77777777" w:rsidR="00665BD5" w:rsidRDefault="00190481" w:rsidP="00C32676">
      <w:pPr>
        <w:pStyle w:val="ItemHead"/>
      </w:pPr>
      <w:proofErr w:type="gramStart"/>
      <w:r>
        <w:t>1</w:t>
      </w:r>
      <w:r w:rsidR="00C32676">
        <w:t xml:space="preserve"> </w:t>
      </w:r>
      <w:r w:rsidR="00665BD5">
        <w:t xml:space="preserve"> </w:t>
      </w:r>
      <w:r w:rsidR="00365791">
        <w:t>Subsection</w:t>
      </w:r>
      <w:proofErr w:type="gramEnd"/>
      <w:r w:rsidR="00365791">
        <w:t xml:space="preserve"> 295-545(2)</w:t>
      </w:r>
    </w:p>
    <w:p w14:paraId="65828566" w14:textId="77777777" w:rsidR="00365791" w:rsidRDefault="00365791" w:rsidP="00365791">
      <w:pPr>
        <w:pStyle w:val="Item"/>
      </w:pPr>
      <w:r>
        <w:t>Repeal the subsection, substitute:</w:t>
      </w:r>
    </w:p>
    <w:p w14:paraId="5B449011" w14:textId="77777777" w:rsidR="000A3194" w:rsidRDefault="00365791" w:rsidP="000A3194">
      <w:pPr>
        <w:pStyle w:val="subsection"/>
      </w:pPr>
      <w:r>
        <w:tab/>
        <w:t>(2)</w:t>
      </w:r>
      <w:r>
        <w:tab/>
        <w:t xml:space="preserve">If an entity is not of a kind referred to in paragraph 295-550(8)(a), the </w:t>
      </w:r>
      <w:r w:rsidRPr="00365791">
        <w:rPr>
          <w:b/>
          <w:i/>
        </w:rPr>
        <w:t xml:space="preserve">non-arm’s length component </w:t>
      </w:r>
      <w:r w:rsidRPr="00365791">
        <w:t xml:space="preserve">for an income year </w:t>
      </w:r>
      <w:r w:rsidR="000A3194">
        <w:t xml:space="preserve">is </w:t>
      </w:r>
      <w:r w:rsidRPr="00365791">
        <w:t>the entity’s *non-arm’s length income for that year less any deductions to the extent that they are attributable to that income</w:t>
      </w:r>
      <w:r w:rsidR="000A3194">
        <w:t>.</w:t>
      </w:r>
    </w:p>
    <w:p w14:paraId="7057B93C" w14:textId="77777777" w:rsidR="00365791" w:rsidRDefault="00365791" w:rsidP="000A3194">
      <w:pPr>
        <w:pStyle w:val="subsection"/>
      </w:pPr>
      <w:r>
        <w:tab/>
        <w:t>(</w:t>
      </w:r>
      <w:r w:rsidR="009E6E41">
        <w:t>2A</w:t>
      </w:r>
      <w:r>
        <w:t>)</w:t>
      </w:r>
      <w:r>
        <w:tab/>
        <w:t xml:space="preserve">If the entity is of a kind referred to in paragraph 295-550(8)(a), the </w:t>
      </w:r>
      <w:r w:rsidRPr="00365791">
        <w:rPr>
          <w:b/>
          <w:i/>
        </w:rPr>
        <w:t>non-arm’s length component</w:t>
      </w:r>
      <w:r w:rsidRPr="00853DCD">
        <w:rPr>
          <w:i/>
        </w:rPr>
        <w:t xml:space="preserve"> </w:t>
      </w:r>
      <w:r w:rsidRPr="00365791">
        <w:t>for an income year is</w:t>
      </w:r>
      <w:r>
        <w:t xml:space="preserve"> the lesser of</w:t>
      </w:r>
      <w:r w:rsidR="009E6E41">
        <w:t>:</w:t>
      </w:r>
    </w:p>
    <w:p w14:paraId="706A2390" w14:textId="77777777" w:rsidR="009E6E41" w:rsidRDefault="009E6E41" w:rsidP="009E6E41">
      <w:pPr>
        <w:pStyle w:val="paragraph"/>
      </w:pPr>
      <w:r>
        <w:tab/>
        <w:t>(a)</w:t>
      </w:r>
      <w:r>
        <w:tab/>
      </w:r>
      <w:r w:rsidRPr="00365791">
        <w:t>the</w:t>
      </w:r>
      <w:r>
        <w:t xml:space="preserve"> sum of:</w:t>
      </w:r>
    </w:p>
    <w:p w14:paraId="32E33364" w14:textId="77777777" w:rsidR="009E6E41" w:rsidRDefault="009E6E41" w:rsidP="009E6E41">
      <w:pPr>
        <w:pStyle w:val="paragraphsub"/>
      </w:pPr>
      <w:r w:rsidRPr="009E6E41">
        <w:tab/>
        <w:t>(</w:t>
      </w:r>
      <w:r>
        <w:t>i</w:t>
      </w:r>
      <w:r w:rsidRPr="009E6E41">
        <w:t>)</w:t>
      </w:r>
      <w:r w:rsidRPr="009E6E41">
        <w:tab/>
      </w:r>
      <w:r>
        <w:t>each amount</w:t>
      </w:r>
      <w:r w:rsidR="008013D8">
        <w:t xml:space="preserve"> of the entity’s</w:t>
      </w:r>
      <w:r>
        <w:t xml:space="preserve"> </w:t>
      </w:r>
      <w:r w:rsidRPr="00365791">
        <w:t>*non-arm’s length income</w:t>
      </w:r>
      <w:r>
        <w:t xml:space="preserve"> </w:t>
      </w:r>
      <w:r w:rsidR="008013D8">
        <w:t xml:space="preserve">under any of subsections 295-550(1) to (5) </w:t>
      </w:r>
      <w:r>
        <w:t xml:space="preserve">for </w:t>
      </w:r>
      <w:r w:rsidRPr="00365791">
        <w:t>that year less any deductions to the extent that they are attributable to that income</w:t>
      </w:r>
      <w:r>
        <w:t>; and</w:t>
      </w:r>
    </w:p>
    <w:p w14:paraId="51374258" w14:textId="77777777" w:rsidR="009E6E41" w:rsidRPr="009E6E41" w:rsidRDefault="009E6E41" w:rsidP="009E6E41">
      <w:pPr>
        <w:pStyle w:val="paragraphsub"/>
      </w:pPr>
      <w:r>
        <w:tab/>
        <w:t>(ii)</w:t>
      </w:r>
      <w:r>
        <w:tab/>
        <w:t xml:space="preserve">each amount </w:t>
      </w:r>
      <w:r w:rsidR="004832D9">
        <w:t xml:space="preserve">of the entity’s </w:t>
      </w:r>
      <w:r w:rsidR="004832D9" w:rsidRPr="00365791">
        <w:t>non-arm’s length income</w:t>
      </w:r>
      <w:r w:rsidR="004832D9">
        <w:t xml:space="preserve"> under subsections </w:t>
      </w:r>
      <w:r>
        <w:t>295-550(8) or (9)</w:t>
      </w:r>
      <w:r w:rsidR="004832D9">
        <w:t xml:space="preserve"> for </w:t>
      </w:r>
      <w:r w:rsidR="004832D9" w:rsidRPr="00365791">
        <w:t>that year</w:t>
      </w:r>
      <w:r>
        <w:t>; and</w:t>
      </w:r>
    </w:p>
    <w:p w14:paraId="4FF8FA97" w14:textId="77777777" w:rsidR="00C32676" w:rsidRDefault="009E6E41" w:rsidP="009E6E41">
      <w:pPr>
        <w:pStyle w:val="paragraph"/>
      </w:pPr>
      <w:r>
        <w:tab/>
        <w:t>(b)</w:t>
      </w:r>
      <w:r>
        <w:tab/>
        <w:t>the entity’s taxable income for the income year</w:t>
      </w:r>
      <w:r w:rsidR="00C32676">
        <w:t>:</w:t>
      </w:r>
    </w:p>
    <w:p w14:paraId="1DB25DC8" w14:textId="77777777" w:rsidR="009E6E41" w:rsidRDefault="00C32676" w:rsidP="00C32676">
      <w:pPr>
        <w:pStyle w:val="paragraphsub"/>
      </w:pPr>
      <w:r>
        <w:tab/>
        <w:t>(i)</w:t>
      </w:r>
      <w:r>
        <w:tab/>
      </w:r>
      <w:r w:rsidR="009E6E41">
        <w:t xml:space="preserve">less the contributions that </w:t>
      </w:r>
      <w:r w:rsidR="008013D8">
        <w:t>are i</w:t>
      </w:r>
      <w:r w:rsidR="009E6E41">
        <w:t>ncluded in the entity’s assessable income under Subdivision 295-C for the income year</w:t>
      </w:r>
      <w:r>
        <w:t>; and</w:t>
      </w:r>
    </w:p>
    <w:p w14:paraId="5EC47CD9" w14:textId="77777777" w:rsidR="00C32676" w:rsidRDefault="00C32676" w:rsidP="00C32676">
      <w:pPr>
        <w:pStyle w:val="paragraphsub"/>
      </w:pPr>
      <w:r>
        <w:tab/>
        <w:t>(ii)</w:t>
      </w:r>
      <w:r>
        <w:tab/>
      </w:r>
      <w:proofErr w:type="gramStart"/>
      <w:r>
        <w:t>plus</w:t>
      </w:r>
      <w:proofErr w:type="gramEnd"/>
      <w:r>
        <w:t xml:space="preserve"> any </w:t>
      </w:r>
      <w:r w:rsidRPr="00365791">
        <w:t>deductions to the extent that they are attributable to th</w:t>
      </w:r>
      <w:r>
        <w:t>ose contributions.</w:t>
      </w:r>
    </w:p>
    <w:p w14:paraId="32F67DB4" w14:textId="77777777" w:rsidR="00FD1986" w:rsidRDefault="00190481" w:rsidP="00FD1986">
      <w:pPr>
        <w:pStyle w:val="ItemHead"/>
      </w:pPr>
      <w:proofErr w:type="gramStart"/>
      <w:r>
        <w:t>2</w:t>
      </w:r>
      <w:r w:rsidR="00FB1AF9">
        <w:t xml:space="preserve">  </w:t>
      </w:r>
      <w:r w:rsidR="00C006F6">
        <w:t>Paragraphs</w:t>
      </w:r>
      <w:proofErr w:type="gramEnd"/>
      <w:r w:rsidR="00FD1986">
        <w:t xml:space="preserve"> 295-550(1)</w:t>
      </w:r>
      <w:r w:rsidR="00C006F6">
        <w:t>(b) and (c)</w:t>
      </w:r>
    </w:p>
    <w:p w14:paraId="3541394F" w14:textId="77777777" w:rsidR="00C006F6" w:rsidRDefault="00C006F6" w:rsidP="00C006F6">
      <w:pPr>
        <w:pStyle w:val="Item"/>
      </w:pPr>
      <w:r>
        <w:t>Repeal the paragraphs, substitute:</w:t>
      </w:r>
    </w:p>
    <w:p w14:paraId="22405A27" w14:textId="77777777" w:rsidR="00C006F6" w:rsidRDefault="00C006F6" w:rsidP="00C006F6">
      <w:pPr>
        <w:pStyle w:val="paragraph"/>
      </w:pPr>
      <w:r>
        <w:tab/>
        <w:t>(b)</w:t>
      </w:r>
      <w:r>
        <w:tab/>
      </w:r>
      <w:r w:rsidR="00665BD5">
        <w:t>if the entity is of a kind referred to in paragraph (8)(a)</w:t>
      </w:r>
      <w:r>
        <w:t>:</w:t>
      </w:r>
    </w:p>
    <w:p w14:paraId="19CF4477" w14:textId="77777777" w:rsidR="00C006F6" w:rsidRDefault="00C006F6" w:rsidP="00C006F6">
      <w:pPr>
        <w:pStyle w:val="paragraphsub"/>
      </w:pPr>
      <w:r>
        <w:tab/>
        <w:t>(i)</w:t>
      </w:r>
      <w:r>
        <w:tab/>
      </w:r>
      <w:r w:rsidRPr="00C006F6">
        <w:t>in gaining or producing the income, the entity incurs a loss, outgoing or expenditure of an amount that is less than the amount of a loss, outgoing or expenditure that the entity might have been expected to incur if those parties had been dealing with each other at arm’s length in relation to the scheme;</w:t>
      </w:r>
      <w:r>
        <w:t xml:space="preserve"> and</w:t>
      </w:r>
    </w:p>
    <w:p w14:paraId="3F8248D8" w14:textId="77777777" w:rsidR="00C006F6" w:rsidRDefault="00C006F6" w:rsidP="00C006F6">
      <w:pPr>
        <w:pStyle w:val="paragraphsub"/>
      </w:pPr>
      <w:r>
        <w:tab/>
        <w:t>(ii)</w:t>
      </w:r>
      <w:r>
        <w:tab/>
      </w:r>
      <w:r w:rsidR="00A5554B">
        <w:t xml:space="preserve">the </w:t>
      </w:r>
      <w:r w:rsidR="00A5554B" w:rsidRPr="00C006F6">
        <w:t>loss, outgoing or expenditure</w:t>
      </w:r>
      <w:r w:rsidR="00A5554B">
        <w:t xml:space="preserve"> is not a </w:t>
      </w:r>
      <w:r w:rsidR="00A5554B" w:rsidRPr="00C006F6">
        <w:t>loss, outgoing or expenditure</w:t>
      </w:r>
      <w:r w:rsidR="00665BD5">
        <w:t xml:space="preserve"> </w:t>
      </w:r>
      <w:r w:rsidR="0023276B">
        <w:t>to which subsection</w:t>
      </w:r>
      <w:r w:rsidR="00665BD5">
        <w:t xml:space="preserve"> (8)</w:t>
      </w:r>
      <w:r w:rsidR="0023276B">
        <w:t xml:space="preserve"> </w:t>
      </w:r>
      <w:proofErr w:type="gramStart"/>
      <w:r w:rsidR="0023276B">
        <w:t>applies</w:t>
      </w:r>
      <w:r w:rsidR="00A5554B">
        <w:t>;</w:t>
      </w:r>
      <w:proofErr w:type="gramEnd"/>
    </w:p>
    <w:p w14:paraId="0431687B" w14:textId="77777777" w:rsidR="00C006F6" w:rsidRPr="00C006F6" w:rsidRDefault="00C006F6" w:rsidP="00C006F6">
      <w:pPr>
        <w:pStyle w:val="paragraph"/>
      </w:pPr>
      <w:r>
        <w:lastRenderedPageBreak/>
        <w:tab/>
        <w:t>(c)</w:t>
      </w:r>
      <w:r>
        <w:tab/>
      </w:r>
      <w:r w:rsidR="00665BD5">
        <w:t>if the entity is of a kind referred to in paragraph (8)(a)</w:t>
      </w:r>
      <w:r>
        <w:t>:</w:t>
      </w:r>
    </w:p>
    <w:p w14:paraId="7681DA46" w14:textId="77777777" w:rsidR="00C006F6" w:rsidRDefault="00C006F6" w:rsidP="00C006F6">
      <w:pPr>
        <w:pStyle w:val="paragraphsub"/>
      </w:pPr>
      <w:r w:rsidRPr="00C006F6">
        <w:tab/>
        <w:t>(</w:t>
      </w:r>
      <w:r>
        <w:t>i</w:t>
      </w:r>
      <w:r w:rsidRPr="00C006F6">
        <w:t>)</w:t>
      </w:r>
      <w:r w:rsidRPr="00C006F6">
        <w:tab/>
        <w:t>in gaining or producing the income, the entity does not incur a loss, outgoing or expenditure that the entity might have been expected to incur if those parties had been dealing with each other at arm’s length in relation to the scheme</w:t>
      </w:r>
      <w:r>
        <w:t>; and</w:t>
      </w:r>
    </w:p>
    <w:p w14:paraId="6E9F93FB" w14:textId="77777777" w:rsidR="00C006F6" w:rsidRPr="00C006F6" w:rsidRDefault="00C006F6" w:rsidP="00A5554B">
      <w:pPr>
        <w:pStyle w:val="paragraphsub"/>
      </w:pPr>
      <w:r>
        <w:tab/>
        <w:t>(ii)</w:t>
      </w:r>
      <w:r>
        <w:tab/>
      </w:r>
      <w:r w:rsidR="00A5554B">
        <w:t xml:space="preserve">the </w:t>
      </w:r>
      <w:r w:rsidR="00A5554B" w:rsidRPr="00C006F6">
        <w:t>loss, outgoing or expenditure</w:t>
      </w:r>
      <w:r w:rsidR="0023276B">
        <w:t xml:space="preserve"> not incurred</w:t>
      </w:r>
      <w:r w:rsidR="00A5554B">
        <w:t xml:space="preserve"> </w:t>
      </w:r>
      <w:r w:rsidR="0023276B">
        <w:t xml:space="preserve">is not a </w:t>
      </w:r>
      <w:r w:rsidR="0023276B" w:rsidRPr="00C006F6">
        <w:t>loss, outgoing or expenditure</w:t>
      </w:r>
      <w:r w:rsidR="0023276B">
        <w:t xml:space="preserve"> to which subsection (9) applies</w:t>
      </w:r>
      <w:r w:rsidR="000A4AFD">
        <w:t>.</w:t>
      </w:r>
    </w:p>
    <w:p w14:paraId="7AFCFB64" w14:textId="77777777" w:rsidR="00C32676" w:rsidRDefault="00190481" w:rsidP="00A5554B">
      <w:pPr>
        <w:pStyle w:val="ItemHead"/>
      </w:pPr>
      <w:proofErr w:type="gramStart"/>
      <w:r>
        <w:t>3</w:t>
      </w:r>
      <w:r w:rsidR="00C32676">
        <w:t xml:space="preserve">  At</w:t>
      </w:r>
      <w:proofErr w:type="gramEnd"/>
      <w:r w:rsidR="00C32676">
        <w:t xml:space="preserve"> the end of </w:t>
      </w:r>
      <w:r w:rsidR="00413D0A">
        <w:t>subsection 295-550(1)</w:t>
      </w:r>
    </w:p>
    <w:p w14:paraId="56452B3B" w14:textId="77777777" w:rsidR="00C32676" w:rsidRDefault="00C32676" w:rsidP="00C32676">
      <w:pPr>
        <w:pStyle w:val="Item"/>
      </w:pPr>
      <w:r>
        <w:t>Add:</w:t>
      </w:r>
    </w:p>
    <w:p w14:paraId="369852AC" w14:textId="77777777" w:rsidR="00C32676" w:rsidRPr="00C32676" w:rsidRDefault="00C32676" w:rsidP="00C32676">
      <w:pPr>
        <w:pStyle w:val="notetext"/>
      </w:pPr>
      <w:r>
        <w:t>Note:</w:t>
      </w:r>
      <w:r>
        <w:tab/>
        <w:t xml:space="preserve">The application of </w:t>
      </w:r>
      <w:r w:rsidR="00DE7C55">
        <w:t xml:space="preserve">previous </w:t>
      </w:r>
      <w:r>
        <w:t>p</w:t>
      </w:r>
      <w:r w:rsidRPr="00C32676">
        <w:t>aragraphs 295-550(1)(b) and (c)</w:t>
      </w:r>
      <w:r>
        <w:t xml:space="preserve">, as inserted by the </w:t>
      </w:r>
      <w:r w:rsidRPr="00DE7C55">
        <w:rPr>
          <w:i/>
        </w:rPr>
        <w:t>Treasury Laws Amendment (2018 Superannuation Measures No. 1) Act 2019</w:t>
      </w:r>
      <w:r w:rsidR="00DE7C55">
        <w:t xml:space="preserve"> is affected by [</w:t>
      </w:r>
      <w:r w:rsidR="00DE7C55" w:rsidRPr="00DE7C55">
        <w:rPr>
          <w:i/>
        </w:rPr>
        <w:t>Schedule X to the Treasury Laws Amendment (Measures for Consultation) Act 2023</w:t>
      </w:r>
      <w:r w:rsidR="00DE7C55">
        <w:t>].</w:t>
      </w:r>
    </w:p>
    <w:p w14:paraId="0CA85AF7" w14:textId="77777777" w:rsidR="00A5554B" w:rsidRDefault="00190481" w:rsidP="00A5554B">
      <w:pPr>
        <w:pStyle w:val="ItemHead"/>
      </w:pPr>
      <w:proofErr w:type="gramStart"/>
      <w:r>
        <w:t>4</w:t>
      </w:r>
      <w:r w:rsidR="00561CD0">
        <w:t xml:space="preserve">  </w:t>
      </w:r>
      <w:r w:rsidR="00A5554B">
        <w:t>Paragraphs</w:t>
      </w:r>
      <w:proofErr w:type="gramEnd"/>
      <w:r w:rsidR="00561CD0">
        <w:t xml:space="preserve"> 295-550(</w:t>
      </w:r>
      <w:r w:rsidR="00EB10E4">
        <w:t>5</w:t>
      </w:r>
      <w:r w:rsidR="00561CD0">
        <w:t>)</w:t>
      </w:r>
      <w:r w:rsidR="00A5554B">
        <w:t>(b) and (c)</w:t>
      </w:r>
    </w:p>
    <w:p w14:paraId="31B67E56" w14:textId="77777777" w:rsidR="00A5554B" w:rsidRDefault="00A5554B" w:rsidP="00A5554B">
      <w:pPr>
        <w:pStyle w:val="Item"/>
      </w:pPr>
      <w:r>
        <w:t>Repeal the paragraphs, substitute:</w:t>
      </w:r>
    </w:p>
    <w:p w14:paraId="41198375" w14:textId="77777777" w:rsidR="00A5554B" w:rsidRDefault="00A5554B" w:rsidP="00A5554B">
      <w:pPr>
        <w:pStyle w:val="paragraph"/>
      </w:pPr>
      <w:r>
        <w:tab/>
        <w:t>(b)</w:t>
      </w:r>
      <w:r>
        <w:tab/>
        <w:t xml:space="preserve">if the entity </w:t>
      </w:r>
      <w:r w:rsidR="00665BD5">
        <w:t>is of a kind referred to in paragraph (8)(a)</w:t>
      </w:r>
      <w:r>
        <w:t>—</w:t>
      </w:r>
      <w:r w:rsidRPr="00A5554B">
        <w:t>in acquiring the entitlement or in gaining or producing the income, the entity incurs a loss, outgoing or expenditure of an amount that is less than the amount of a loss, outgoing or expenditure that the entity might have been expected to incur if those parties had been dealing with each other at arm’s length in relation to the scheme;</w:t>
      </w:r>
    </w:p>
    <w:p w14:paraId="0AD4EDA8" w14:textId="77777777" w:rsidR="00561CD0" w:rsidRDefault="00A5554B" w:rsidP="00A5554B">
      <w:pPr>
        <w:pStyle w:val="paragraph"/>
      </w:pPr>
      <w:r w:rsidRPr="00A5554B">
        <w:tab/>
        <w:t>(c)</w:t>
      </w:r>
      <w:r>
        <w:tab/>
      </w:r>
      <w:r w:rsidR="00665BD5">
        <w:t>if the entity is of a kind referred to in paragraph (8)(a)</w:t>
      </w:r>
      <w:r>
        <w:t>)—</w:t>
      </w:r>
      <w:r w:rsidRPr="00A5554B">
        <w:t>in acquiring the entitlement or in gaining or producing the income, the entity does not incur a loss, outgoing or expenditure that the entity might have been expected to incur if those parties had been dealing with each other at arm’s length in relation to the scheme.</w:t>
      </w:r>
    </w:p>
    <w:p w14:paraId="25AE0AD1" w14:textId="77777777" w:rsidR="00DE7C55" w:rsidRPr="00A5554B" w:rsidRDefault="00DE7C55" w:rsidP="00DE7C55">
      <w:pPr>
        <w:pStyle w:val="notetext"/>
      </w:pPr>
      <w:r>
        <w:t>Note:</w:t>
      </w:r>
      <w:r>
        <w:tab/>
        <w:t>The application of previous p</w:t>
      </w:r>
      <w:r w:rsidRPr="00C32676">
        <w:t>aragraphs 295-550(</w:t>
      </w:r>
      <w:r>
        <w:t>5</w:t>
      </w:r>
      <w:r w:rsidRPr="00C32676">
        <w:t>)(b) and (c)</w:t>
      </w:r>
      <w:r>
        <w:t xml:space="preserve">, as inserted by the </w:t>
      </w:r>
      <w:r w:rsidRPr="00DE7C55">
        <w:rPr>
          <w:i/>
        </w:rPr>
        <w:t>Treasury Laws Amendment (2018 Superannuation Measures No. 1) Act 2019</w:t>
      </w:r>
      <w:r>
        <w:t>, is affected by [</w:t>
      </w:r>
      <w:r w:rsidRPr="00DE7C55">
        <w:rPr>
          <w:i/>
        </w:rPr>
        <w:t>Schedule X to the Treasury Laws Amendment (Measures for Consultation) Act 2023</w:t>
      </w:r>
      <w:r>
        <w:t>].</w:t>
      </w:r>
    </w:p>
    <w:p w14:paraId="20E1C407" w14:textId="77777777" w:rsidR="00FB1AF9" w:rsidRDefault="00190481" w:rsidP="00FB1AF9">
      <w:pPr>
        <w:pStyle w:val="ItemHead"/>
      </w:pPr>
      <w:proofErr w:type="gramStart"/>
      <w:r>
        <w:t>5</w:t>
      </w:r>
      <w:r w:rsidR="00FB1AF9">
        <w:t xml:space="preserve">  </w:t>
      </w:r>
      <w:r w:rsidR="00A5554B">
        <w:t>At</w:t>
      </w:r>
      <w:proofErr w:type="gramEnd"/>
      <w:r w:rsidR="00A5554B">
        <w:t xml:space="preserve"> the end of section</w:t>
      </w:r>
      <w:r w:rsidR="00FB1AF9">
        <w:t xml:space="preserve"> 295-550</w:t>
      </w:r>
    </w:p>
    <w:p w14:paraId="1029FAB1" w14:textId="77777777" w:rsidR="00FB1AF9" w:rsidRDefault="00A5554B" w:rsidP="00FB1AF9">
      <w:pPr>
        <w:pStyle w:val="Item"/>
      </w:pPr>
      <w:r>
        <w:t>Add:</w:t>
      </w:r>
    </w:p>
    <w:p w14:paraId="358309FB" w14:textId="77777777" w:rsidR="00913711" w:rsidRPr="00913711" w:rsidRDefault="0023276B" w:rsidP="00913711">
      <w:pPr>
        <w:pStyle w:val="SubsectionHead"/>
      </w:pPr>
      <w:r>
        <w:lastRenderedPageBreak/>
        <w:t>C</w:t>
      </w:r>
      <w:r w:rsidR="00913711">
        <w:t>ertain small complying superannuation entities</w:t>
      </w:r>
      <w:r>
        <w:t>—general expenses</w:t>
      </w:r>
    </w:p>
    <w:p w14:paraId="7F22A611" w14:textId="77777777" w:rsidR="00916982" w:rsidRDefault="00A5554B" w:rsidP="00916982">
      <w:pPr>
        <w:pStyle w:val="subsection"/>
      </w:pPr>
      <w:r>
        <w:tab/>
      </w:r>
      <w:r w:rsidR="005014F3">
        <w:t>(8)</w:t>
      </w:r>
      <w:r w:rsidR="005014F3">
        <w:tab/>
        <w:t>If</w:t>
      </w:r>
      <w:r w:rsidR="00916982">
        <w:t>:</w:t>
      </w:r>
    </w:p>
    <w:p w14:paraId="6F49C9BE" w14:textId="77777777" w:rsidR="00916982" w:rsidRDefault="00916982" w:rsidP="00916982">
      <w:pPr>
        <w:pStyle w:val="paragraph"/>
      </w:pPr>
      <w:r>
        <w:tab/>
        <w:t>(a)</w:t>
      </w:r>
      <w:r>
        <w:tab/>
      </w:r>
      <w:r w:rsidR="00190481">
        <w:t xml:space="preserve">a </w:t>
      </w:r>
      <w:r w:rsidR="005014F3">
        <w:t>*complying superannuation entity is</w:t>
      </w:r>
      <w:r>
        <w:t>:</w:t>
      </w:r>
    </w:p>
    <w:p w14:paraId="7CCD69B1" w14:textId="77777777" w:rsidR="005014F3" w:rsidRDefault="00916982" w:rsidP="00916982">
      <w:pPr>
        <w:pStyle w:val="paragraphsub"/>
      </w:pPr>
      <w:r>
        <w:tab/>
        <w:t>(i)</w:t>
      </w:r>
      <w:r>
        <w:tab/>
      </w:r>
      <w:r w:rsidR="005014F3" w:rsidRPr="005014F3">
        <w:t>a regulated superannuation fund</w:t>
      </w:r>
      <w:r w:rsidR="005014F3">
        <w:t xml:space="preserve"> </w:t>
      </w:r>
      <w:r w:rsidR="005014F3" w:rsidRPr="005014F3">
        <w:t>with no more than 6 members</w:t>
      </w:r>
      <w:r w:rsidR="005014F3">
        <w:t>; or</w:t>
      </w:r>
    </w:p>
    <w:p w14:paraId="6F5CAC40" w14:textId="77777777" w:rsidR="005014F3" w:rsidRDefault="005014F3" w:rsidP="005014F3">
      <w:pPr>
        <w:pStyle w:val="paragraphsub"/>
      </w:pPr>
      <w:r>
        <w:tab/>
        <w:t>(ii)</w:t>
      </w:r>
      <w:r>
        <w:tab/>
      </w:r>
      <w:r w:rsidR="00190481">
        <w:t xml:space="preserve">a </w:t>
      </w:r>
      <w:r>
        <w:t>self managed superannuation fund; and</w:t>
      </w:r>
    </w:p>
    <w:p w14:paraId="51490451" w14:textId="77777777" w:rsidR="00916982" w:rsidRDefault="00913711" w:rsidP="00913711">
      <w:pPr>
        <w:pStyle w:val="paragraph"/>
      </w:pPr>
      <w:r>
        <w:tab/>
        <w:t>(b)</w:t>
      </w:r>
      <w:r>
        <w:tab/>
      </w:r>
      <w:proofErr w:type="gramStart"/>
      <w:r w:rsidR="00916982">
        <w:t>as a result of</w:t>
      </w:r>
      <w:proofErr w:type="gramEnd"/>
      <w:r w:rsidR="00916982">
        <w:t xml:space="preserve"> a *scheme the parties to which were not dealing with each other at *arm’s length in relation to the scheme</w:t>
      </w:r>
      <w:r w:rsidR="00F601BE">
        <w:t>:</w:t>
      </w:r>
    </w:p>
    <w:p w14:paraId="79377502" w14:textId="77777777" w:rsidR="00916982" w:rsidRPr="00916982" w:rsidRDefault="00916982" w:rsidP="00916982">
      <w:pPr>
        <w:pStyle w:val="paragraphsub"/>
      </w:pPr>
      <w:r>
        <w:tab/>
        <w:t>(i</w:t>
      </w:r>
      <w:r w:rsidRPr="00916982">
        <w:t>)</w:t>
      </w:r>
      <w:r w:rsidRPr="00916982">
        <w:tab/>
        <w:t>in gaining or producing the *ordinary income and *statutory income of the entity (but not in gaining or producing income in relation to any particular asset or assets of the entity), the entity incurs a loss, outgoing or expenditure of an amount; and</w:t>
      </w:r>
    </w:p>
    <w:p w14:paraId="5F90C8E8" w14:textId="77777777" w:rsidR="00916982" w:rsidRPr="00916982" w:rsidRDefault="00916982" w:rsidP="00916982">
      <w:pPr>
        <w:pStyle w:val="paragraphsub"/>
      </w:pPr>
      <w:r w:rsidRPr="00916982">
        <w:tab/>
        <w:t>(</w:t>
      </w:r>
      <w:r>
        <w:t>ii</w:t>
      </w:r>
      <w:r w:rsidRPr="00916982">
        <w:t>)</w:t>
      </w:r>
      <w:r w:rsidRPr="00916982">
        <w:tab/>
        <w:t>the amount is less than the amount of a loss, outgoing or expenditure that the entity might have been expected to incur if those parties had been dealing with each other at arm’s length in relation to the scheme;</w:t>
      </w:r>
      <w:r w:rsidR="00665BD5">
        <w:t xml:space="preserve"> and</w:t>
      </w:r>
    </w:p>
    <w:p w14:paraId="50785DCC" w14:textId="77777777" w:rsidR="00916982" w:rsidRDefault="00916982" w:rsidP="00916982">
      <w:pPr>
        <w:pStyle w:val="paragraphsub"/>
      </w:pPr>
      <w:r w:rsidRPr="00916982">
        <w:tab/>
        <w:t>(</w:t>
      </w:r>
      <w:r>
        <w:t>iii</w:t>
      </w:r>
      <w:r w:rsidRPr="00916982">
        <w:t>)</w:t>
      </w:r>
      <w:r w:rsidRPr="00916982">
        <w:tab/>
        <w:t>the loss, outgoing or expenditure is no</w:t>
      </w:r>
      <w:r w:rsidR="004832D9">
        <w:t xml:space="preserve">t </w:t>
      </w:r>
      <w:r w:rsidRPr="00916982">
        <w:t xml:space="preserve">of capital or of a capital </w:t>
      </w:r>
      <w:proofErr w:type="gramStart"/>
      <w:r w:rsidRPr="00916982">
        <w:t>nature</w:t>
      </w:r>
      <w:r>
        <w:t>;</w:t>
      </w:r>
      <w:proofErr w:type="gramEnd"/>
    </w:p>
    <w:p w14:paraId="34B33C11" w14:textId="77777777" w:rsidR="00916982" w:rsidRPr="00916982" w:rsidRDefault="00916982" w:rsidP="00916982">
      <w:pPr>
        <w:pStyle w:val="subsection2"/>
      </w:pPr>
      <w:r>
        <w:t>an amount of the entity’s ordinary income and statutory income equal to</w:t>
      </w:r>
      <w:r w:rsidRPr="004D34E1">
        <w:t xml:space="preserve"> twice the difference between the amount </w:t>
      </w:r>
      <w:r>
        <w:t>that</w:t>
      </w:r>
      <w:r w:rsidRPr="004D34E1">
        <w:t xml:space="preserve"> the entity did incur and the amount that the entity might have been expected to incur</w:t>
      </w:r>
      <w:r>
        <w:t xml:space="preserve"> is </w:t>
      </w:r>
      <w:r w:rsidRPr="00916982">
        <w:rPr>
          <w:b/>
          <w:i/>
        </w:rPr>
        <w:t>non-arm’s length income</w:t>
      </w:r>
      <w:r>
        <w:t xml:space="preserve"> of the entity.</w:t>
      </w:r>
    </w:p>
    <w:p w14:paraId="5B1433A9" w14:textId="77777777" w:rsidR="00916982" w:rsidRDefault="00916982" w:rsidP="00916982">
      <w:pPr>
        <w:pStyle w:val="subsection"/>
      </w:pPr>
      <w:r>
        <w:tab/>
        <w:t>(9)</w:t>
      </w:r>
      <w:r>
        <w:tab/>
        <w:t>If:</w:t>
      </w:r>
    </w:p>
    <w:p w14:paraId="310ED248" w14:textId="77777777" w:rsidR="00916982" w:rsidRDefault="00916982" w:rsidP="00916982">
      <w:pPr>
        <w:pStyle w:val="paragraph"/>
      </w:pPr>
      <w:r>
        <w:tab/>
        <w:t>(a)</w:t>
      </w:r>
      <w:r>
        <w:tab/>
      </w:r>
      <w:r w:rsidR="00190481">
        <w:t xml:space="preserve">a </w:t>
      </w:r>
      <w:r>
        <w:t>*complying superannuation entity is</w:t>
      </w:r>
      <w:r w:rsidR="00665BD5">
        <w:t xml:space="preserve"> of a kind referred to in </w:t>
      </w:r>
      <w:r>
        <w:t>paragraph (8)(a); and</w:t>
      </w:r>
    </w:p>
    <w:p w14:paraId="20A5DF9C" w14:textId="77777777" w:rsidR="00916982" w:rsidRDefault="00916982" w:rsidP="00916982">
      <w:pPr>
        <w:pStyle w:val="paragraph"/>
      </w:pPr>
      <w:r>
        <w:tab/>
        <w:t>(b)</w:t>
      </w:r>
      <w:r>
        <w:tab/>
      </w:r>
      <w:proofErr w:type="gramStart"/>
      <w:r>
        <w:t>as a result of</w:t>
      </w:r>
      <w:proofErr w:type="gramEnd"/>
      <w:r>
        <w:t xml:space="preserve"> a *scheme the parties to which were not dealing with each other at *arm’s length in relation to the scheme</w:t>
      </w:r>
      <w:r w:rsidR="00F601BE">
        <w:t>:</w:t>
      </w:r>
    </w:p>
    <w:p w14:paraId="16803A24" w14:textId="77777777" w:rsidR="00916982" w:rsidRDefault="00916982" w:rsidP="00916982">
      <w:pPr>
        <w:pStyle w:val="paragraphsub"/>
      </w:pPr>
      <w:r>
        <w:tab/>
        <w:t>(i</w:t>
      </w:r>
      <w:r w:rsidRPr="00916982">
        <w:t>)</w:t>
      </w:r>
      <w:r w:rsidRPr="00916982">
        <w:tab/>
        <w:t xml:space="preserve">in gaining or producing the *ordinary income and *statutory income of the entity (but not in gaining or producing income in relation to any particular asset or assets of the entity), </w:t>
      </w:r>
      <w:r>
        <w:t xml:space="preserve">the </w:t>
      </w:r>
      <w:r w:rsidRPr="00916982">
        <w:t>entity does not incur a loss, outgoing or expenditure that the entity might have been expected to incur if those parties had been dealing with each other at arm’s length in relation to the scheme</w:t>
      </w:r>
      <w:r>
        <w:t>; and</w:t>
      </w:r>
    </w:p>
    <w:p w14:paraId="50434215" w14:textId="77777777" w:rsidR="00916982" w:rsidRDefault="00916982" w:rsidP="00916982">
      <w:pPr>
        <w:pStyle w:val="paragraphsub"/>
      </w:pPr>
      <w:r w:rsidRPr="00916982">
        <w:tab/>
        <w:t>(</w:t>
      </w:r>
      <w:r>
        <w:t>ii</w:t>
      </w:r>
      <w:r w:rsidRPr="00916982">
        <w:t>)</w:t>
      </w:r>
      <w:r w:rsidRPr="00916982">
        <w:tab/>
        <w:t>the loss, outgoing or expenditure</w:t>
      </w:r>
      <w:r w:rsidR="004832D9">
        <w:t xml:space="preserve"> </w:t>
      </w:r>
      <w:r w:rsidRPr="00916982">
        <w:t xml:space="preserve">would not have been of capital or of a capital </w:t>
      </w:r>
      <w:proofErr w:type="gramStart"/>
      <w:r w:rsidRPr="00916982">
        <w:t>nature</w:t>
      </w:r>
      <w:r>
        <w:t>;</w:t>
      </w:r>
      <w:proofErr w:type="gramEnd"/>
    </w:p>
    <w:p w14:paraId="3F4AF2A6" w14:textId="77777777" w:rsidR="00665BD5" w:rsidRPr="00916982" w:rsidRDefault="00665BD5" w:rsidP="00665BD5">
      <w:pPr>
        <w:pStyle w:val="subsection2"/>
      </w:pPr>
      <w:r>
        <w:lastRenderedPageBreak/>
        <w:t>an amount of the entity’s ordinary income and statutory income equal to</w:t>
      </w:r>
      <w:r w:rsidRPr="004D34E1">
        <w:t xml:space="preserve"> twice the amount that the entity might have been expected to incur</w:t>
      </w:r>
      <w:r>
        <w:t xml:space="preserve"> is </w:t>
      </w:r>
      <w:r w:rsidRPr="00916982">
        <w:rPr>
          <w:b/>
          <w:i/>
        </w:rPr>
        <w:t>non-arm’s length income</w:t>
      </w:r>
      <w:r>
        <w:t xml:space="preserve"> of the entity.</w:t>
      </w:r>
    </w:p>
    <w:p w14:paraId="394BAE09" w14:textId="77777777" w:rsidR="00EB5471" w:rsidRPr="00F66042" w:rsidRDefault="00190481" w:rsidP="00F66042">
      <w:pPr>
        <w:pStyle w:val="Transitional"/>
      </w:pPr>
      <w:proofErr w:type="gramStart"/>
      <w:r>
        <w:t>6</w:t>
      </w:r>
      <w:r w:rsidR="00EB5471" w:rsidRPr="00F66042">
        <w:t xml:space="preserve">  Application</w:t>
      </w:r>
      <w:proofErr w:type="gramEnd"/>
      <w:r w:rsidR="00EB5471" w:rsidRPr="00F66042">
        <w:t xml:space="preserve"> of amendments</w:t>
      </w:r>
    </w:p>
    <w:p w14:paraId="2760600B" w14:textId="77777777" w:rsidR="004500E2" w:rsidRDefault="000E0538" w:rsidP="000E0538">
      <w:pPr>
        <w:pStyle w:val="Subitem"/>
      </w:pPr>
      <w:r>
        <w:tab/>
        <w:t>The amendments</w:t>
      </w:r>
      <w:r w:rsidR="00864CE9">
        <w:t xml:space="preserve"> of</w:t>
      </w:r>
      <w:r w:rsidR="00B010C9">
        <w:t xml:space="preserve"> the </w:t>
      </w:r>
      <w:r w:rsidR="00B010C9" w:rsidRPr="00B010C9">
        <w:rPr>
          <w:i/>
        </w:rPr>
        <w:t xml:space="preserve">Income Tax Assessment Act 1997 </w:t>
      </w:r>
      <w:r>
        <w:t>made by this Schedule apply</w:t>
      </w:r>
      <w:r w:rsidR="00B010C9">
        <w:t xml:space="preserve"> in relation to</w:t>
      </w:r>
      <w:r w:rsidR="004500E2">
        <w:t>:</w:t>
      </w:r>
    </w:p>
    <w:p w14:paraId="3751587E" w14:textId="77777777" w:rsidR="004500E2" w:rsidRDefault="004500E2" w:rsidP="004500E2">
      <w:pPr>
        <w:pStyle w:val="paragraph"/>
      </w:pPr>
      <w:r>
        <w:tab/>
        <w:t>(a)</w:t>
      </w:r>
      <w:r>
        <w:tab/>
        <w:t xml:space="preserve">income derived in the 2023-24 income year or a later income </w:t>
      </w:r>
      <w:proofErr w:type="gramStart"/>
      <w:r>
        <w:t>year;</w:t>
      </w:r>
      <w:proofErr w:type="gramEnd"/>
      <w:r>
        <w:t xml:space="preserve"> and</w:t>
      </w:r>
    </w:p>
    <w:p w14:paraId="46BCB316" w14:textId="77777777" w:rsidR="004832D9" w:rsidRDefault="004500E2" w:rsidP="004832D9">
      <w:pPr>
        <w:pStyle w:val="paragraph"/>
      </w:pPr>
      <w:r>
        <w:tab/>
        <w:t>(b)</w:t>
      </w:r>
      <w:r>
        <w:tab/>
      </w:r>
      <w:r w:rsidR="00B010C9">
        <w:t>a l</w:t>
      </w:r>
      <w:r w:rsidR="00B010C9" w:rsidRPr="004D34E1">
        <w:t>oss, outgoing or expenditure</w:t>
      </w:r>
      <w:r w:rsidR="00FA33C6">
        <w:t xml:space="preserve"> that is</w:t>
      </w:r>
      <w:r w:rsidR="004832D9">
        <w:t xml:space="preserve"> incurred in the 2023-24 income year or a later income </w:t>
      </w:r>
      <w:proofErr w:type="gramStart"/>
      <w:r w:rsidR="004832D9">
        <w:t>year;</w:t>
      </w:r>
      <w:proofErr w:type="gramEnd"/>
      <w:r w:rsidR="004832D9">
        <w:t xml:space="preserve"> and</w:t>
      </w:r>
    </w:p>
    <w:p w14:paraId="502F409D" w14:textId="77777777" w:rsidR="004832D9" w:rsidRDefault="004832D9" w:rsidP="004832D9">
      <w:pPr>
        <w:pStyle w:val="paragraph"/>
      </w:pPr>
      <w:r>
        <w:tab/>
        <w:t>(c)</w:t>
      </w:r>
      <w:r>
        <w:tab/>
      </w:r>
      <w:r w:rsidRPr="00916982">
        <w:t>a loss, outgoing or expenditure that</w:t>
      </w:r>
      <w:r>
        <w:t xml:space="preserve"> was not incurred in the 2023-24 income year or a later income </w:t>
      </w:r>
      <w:proofErr w:type="gramStart"/>
      <w:r>
        <w:t>year, but</w:t>
      </w:r>
      <w:proofErr w:type="gramEnd"/>
      <w:r>
        <w:t xml:space="preserve"> </w:t>
      </w:r>
      <w:r w:rsidRPr="00916982">
        <w:t>might have been expected to</w:t>
      </w:r>
      <w:r>
        <w:t xml:space="preserve"> have been incurred</w:t>
      </w:r>
      <w:r w:rsidRPr="00916982">
        <w:t xml:space="preserve"> </w:t>
      </w:r>
      <w:r>
        <w:t>in the 2023-24 income year or a later income year.</w:t>
      </w:r>
    </w:p>
    <w:p w14:paraId="3FCE96E9" w14:textId="77777777" w:rsidR="00B010C9" w:rsidRDefault="009D743D" w:rsidP="009D743D">
      <w:pPr>
        <w:pStyle w:val="ActHead9"/>
      </w:pPr>
      <w:r w:rsidRPr="00EB5471">
        <w:t>Treasury Laws Amendment (2018 Superannuation Measures No. 1) Act 2019</w:t>
      </w:r>
    </w:p>
    <w:p w14:paraId="7380343F" w14:textId="77777777" w:rsidR="009D743D" w:rsidRDefault="00190481" w:rsidP="009D743D">
      <w:pPr>
        <w:pStyle w:val="ItemHead"/>
      </w:pPr>
      <w:proofErr w:type="gramStart"/>
      <w:r>
        <w:t>7</w:t>
      </w:r>
      <w:r w:rsidR="009D743D">
        <w:t xml:space="preserve">  Item</w:t>
      </w:r>
      <w:proofErr w:type="gramEnd"/>
      <w:r w:rsidR="009D743D">
        <w:t xml:space="preserve"> 4 of Schedule 2</w:t>
      </w:r>
    </w:p>
    <w:p w14:paraId="1861394B" w14:textId="77777777" w:rsidR="009D743D" w:rsidRDefault="009D743D" w:rsidP="009D743D">
      <w:pPr>
        <w:pStyle w:val="Item"/>
      </w:pPr>
      <w:r>
        <w:t>Before “</w:t>
      </w:r>
      <w:r w:rsidRPr="009D743D">
        <w:t>The amendments</w:t>
      </w:r>
      <w:r>
        <w:t xml:space="preserve">”, insert </w:t>
      </w:r>
      <w:r w:rsidR="000A4AFD">
        <w:t>“</w:t>
      </w:r>
      <w:r>
        <w:t>(1)”.</w:t>
      </w:r>
    </w:p>
    <w:p w14:paraId="64DFB501" w14:textId="77777777" w:rsidR="009D743D" w:rsidRDefault="00190481" w:rsidP="009D743D">
      <w:pPr>
        <w:pStyle w:val="ItemHead"/>
      </w:pPr>
      <w:proofErr w:type="gramStart"/>
      <w:r>
        <w:t>8</w:t>
      </w:r>
      <w:r w:rsidR="009D743D">
        <w:t xml:space="preserve">  At</w:t>
      </w:r>
      <w:proofErr w:type="gramEnd"/>
      <w:r w:rsidR="009D743D">
        <w:t xml:space="preserve"> the end of item 4 of Schedule 2</w:t>
      </w:r>
    </w:p>
    <w:p w14:paraId="752FE17E" w14:textId="77777777" w:rsidR="009D743D" w:rsidRDefault="009D743D" w:rsidP="009D743D">
      <w:pPr>
        <w:pStyle w:val="Item"/>
      </w:pPr>
      <w:r>
        <w:t>Add:</w:t>
      </w:r>
    </w:p>
    <w:p w14:paraId="48EAA1D3" w14:textId="77777777" w:rsidR="004832D9" w:rsidRDefault="009D743D" w:rsidP="009D743D">
      <w:pPr>
        <w:pStyle w:val="Subitem"/>
      </w:pPr>
      <w:r>
        <w:t>(2)</w:t>
      </w:r>
      <w:r>
        <w:tab/>
        <w:t>Despite subitem (1), the amendments do not apply, and are taken never to have applied, in relation to</w:t>
      </w:r>
      <w:r w:rsidR="004832D9">
        <w:t>:</w:t>
      </w:r>
    </w:p>
    <w:p w14:paraId="6C4EE9A6" w14:textId="77777777" w:rsidR="004832D9" w:rsidRDefault="004832D9" w:rsidP="004832D9">
      <w:pPr>
        <w:pStyle w:val="paragraph"/>
      </w:pPr>
      <w:r>
        <w:tab/>
        <w:t>(</w:t>
      </w:r>
      <w:r w:rsidR="0023276B">
        <w:t>a</w:t>
      </w:r>
      <w:r>
        <w:t>)</w:t>
      </w:r>
      <w:r>
        <w:tab/>
        <w:t>a l</w:t>
      </w:r>
      <w:r w:rsidRPr="004D34E1">
        <w:t>oss, outgoing or expenditure</w:t>
      </w:r>
      <w:r>
        <w:t xml:space="preserve"> that is incurred before the </w:t>
      </w:r>
      <w:r w:rsidRPr="00EB5471">
        <w:t xml:space="preserve">2018-19 </w:t>
      </w:r>
      <w:r>
        <w:t xml:space="preserve">income </w:t>
      </w:r>
      <w:proofErr w:type="gramStart"/>
      <w:r>
        <w:t>year;</w:t>
      </w:r>
      <w:proofErr w:type="gramEnd"/>
      <w:r>
        <w:t xml:space="preserve"> and</w:t>
      </w:r>
    </w:p>
    <w:p w14:paraId="2A6688E1" w14:textId="77777777" w:rsidR="004832D9" w:rsidRDefault="004832D9" w:rsidP="0036465C">
      <w:pPr>
        <w:pStyle w:val="paragraph"/>
      </w:pPr>
      <w:r>
        <w:tab/>
        <w:t>(</w:t>
      </w:r>
      <w:r w:rsidR="0023276B">
        <w:t>b</w:t>
      </w:r>
      <w:r>
        <w:t>)</w:t>
      </w:r>
      <w:r>
        <w:tab/>
      </w:r>
      <w:r w:rsidRPr="00916982">
        <w:t>a loss, outgoing or expenditure that</w:t>
      </w:r>
      <w:r>
        <w:t xml:space="preserve"> was not incurred before the </w:t>
      </w:r>
      <w:r w:rsidRPr="00EB5471">
        <w:t xml:space="preserve">2018-19 </w:t>
      </w:r>
      <w:r>
        <w:t xml:space="preserve">income </w:t>
      </w:r>
      <w:proofErr w:type="gramStart"/>
      <w:r>
        <w:t>year, but</w:t>
      </w:r>
      <w:proofErr w:type="gramEnd"/>
      <w:r>
        <w:t xml:space="preserve"> </w:t>
      </w:r>
      <w:r w:rsidRPr="00916982">
        <w:t xml:space="preserve">might have been expected to </w:t>
      </w:r>
      <w:r>
        <w:t xml:space="preserve">be incurred before the </w:t>
      </w:r>
      <w:r w:rsidRPr="00EB5471">
        <w:t xml:space="preserve">2018-19 </w:t>
      </w:r>
      <w:r>
        <w:t>income year.</w:t>
      </w:r>
    </w:p>
    <w:p w14:paraId="3A9DF814" w14:textId="77777777" w:rsidR="00EB5471" w:rsidRPr="00EB5471" w:rsidRDefault="00EB5471" w:rsidP="00EB5471">
      <w:pPr>
        <w:pStyle w:val="notedraft"/>
      </w:pPr>
    </w:p>
    <w:sectPr w:rsidR="00EB5471" w:rsidRPr="00EB5471" w:rsidSect="00BD16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78E4" w14:textId="77777777" w:rsidR="006B1EC0" w:rsidRDefault="006B1EC0" w:rsidP="00664C63">
      <w:pPr>
        <w:spacing w:line="240" w:lineRule="auto"/>
      </w:pPr>
      <w:r>
        <w:separator/>
      </w:r>
    </w:p>
  </w:endnote>
  <w:endnote w:type="continuationSeparator" w:id="0">
    <w:p w14:paraId="09B0D017" w14:textId="77777777" w:rsidR="006B1EC0" w:rsidRDefault="006B1EC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0690" w14:textId="77777777" w:rsidR="006B1EC0" w:rsidRPr="00BB4623" w:rsidRDefault="006B1EC0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14:paraId="41F9B8A0" w14:textId="77777777" w:rsidR="006B1EC0" w:rsidRPr="00BB4623" w:rsidRDefault="006B1EC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242CA4B3" w14:textId="77777777" w:rsidR="006B1EC0" w:rsidRPr="00BB4623" w:rsidRDefault="006B1EC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7CD6B" w14:textId="77777777" w:rsidR="006B1EC0" w:rsidRDefault="006B1EC0" w:rsidP="0095602D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6B1EC0" w:rsidRPr="00B3608C" w14:paraId="416B798F" w14:textId="77777777" w:rsidTr="00B11E96">
      <w:trPr>
        <w:trHeight w:val="280"/>
      </w:trPr>
      <w:tc>
        <w:tcPr>
          <w:tcW w:w="7087" w:type="dxa"/>
        </w:tcPr>
        <w:p w14:paraId="02102BC3" w14:textId="77777777" w:rsidR="006B1EC0" w:rsidRPr="00B3608C" w:rsidRDefault="006B1EC0" w:rsidP="00B11E9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6B1EC0" w:rsidRPr="00B3608C" w14:paraId="085ECB64" w14:textId="77777777" w:rsidTr="00B11E96">
      <w:tc>
        <w:tcPr>
          <w:tcW w:w="7087" w:type="dxa"/>
        </w:tcPr>
        <w:p w14:paraId="532332C0" w14:textId="77777777" w:rsidR="006B1EC0" w:rsidRPr="00B3608C" w:rsidRDefault="006B1EC0" w:rsidP="00B11E9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37AD746D" w14:textId="77777777" w:rsidR="006B1EC0" w:rsidRPr="00BB4623" w:rsidRDefault="006B1EC0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1456A6EC" wp14:editId="5B4E5ACA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02CBB2" w14:textId="77777777" w:rsidR="006B1EC0" w:rsidRPr="00324EB0" w:rsidRDefault="00E97594" w:rsidP="00B11E9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6A6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1802CBB2" w14:textId="77777777" w:rsidR="006B1EC0" w:rsidRPr="00324EB0" w:rsidRDefault="00E97594" w:rsidP="00B11E9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BF8D" w14:textId="77777777" w:rsidR="006B1EC0" w:rsidRPr="00BB4623" w:rsidRDefault="006B1EC0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F706" w14:textId="77777777" w:rsidR="006B1EC0" w:rsidRDefault="006B1EC0" w:rsidP="00664C63">
      <w:pPr>
        <w:spacing w:line="240" w:lineRule="auto"/>
      </w:pPr>
      <w:r>
        <w:separator/>
      </w:r>
    </w:p>
  </w:footnote>
  <w:footnote w:type="continuationSeparator" w:id="0">
    <w:p w14:paraId="4944776F" w14:textId="77777777" w:rsidR="006B1EC0" w:rsidRDefault="006B1EC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186F" w14:textId="77777777" w:rsidR="006B1EC0" w:rsidRPr="00BB4623" w:rsidRDefault="006B1EC0" w:rsidP="00664C63">
    <w:pPr>
      <w:rPr>
        <w:sz w:val="24"/>
      </w:rPr>
    </w:pPr>
  </w:p>
  <w:p w14:paraId="4733306B" w14:textId="77777777" w:rsidR="006B1EC0" w:rsidRPr="00BB4623" w:rsidRDefault="006B1EC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D551" w14:textId="77777777" w:rsidR="006B1EC0" w:rsidRPr="00BB4623" w:rsidRDefault="006B1EC0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2F37F89" wp14:editId="627096D0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FDD3EB" w14:textId="77777777" w:rsidR="006B1EC0" w:rsidRPr="00324EB0" w:rsidRDefault="00E97594" w:rsidP="00B11E9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37F8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67FDD3EB" w14:textId="77777777" w:rsidR="006B1EC0" w:rsidRPr="00324EB0" w:rsidRDefault="00E97594" w:rsidP="00B11E9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0CA46649" w14:textId="77777777" w:rsidR="006B1EC0" w:rsidRPr="00BB4623" w:rsidRDefault="006B1EC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A86B" w14:textId="77777777" w:rsidR="006B1EC0" w:rsidRPr="00BB4623" w:rsidRDefault="006B1EC0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40A117C2"/>
    <w:multiLevelType w:val="hybridMultilevel"/>
    <w:tmpl w:val="68FCFE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3107D"/>
    <w:multiLevelType w:val="hybridMultilevel"/>
    <w:tmpl w:val="8A14A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01525">
    <w:abstractNumId w:val="9"/>
  </w:num>
  <w:num w:numId="2" w16cid:durableId="1744907517">
    <w:abstractNumId w:val="7"/>
  </w:num>
  <w:num w:numId="3" w16cid:durableId="1241211666">
    <w:abstractNumId w:val="6"/>
  </w:num>
  <w:num w:numId="4" w16cid:durableId="735589203">
    <w:abstractNumId w:val="5"/>
  </w:num>
  <w:num w:numId="5" w16cid:durableId="1111705298">
    <w:abstractNumId w:val="4"/>
  </w:num>
  <w:num w:numId="6" w16cid:durableId="740834870">
    <w:abstractNumId w:val="8"/>
  </w:num>
  <w:num w:numId="7" w16cid:durableId="1691490258">
    <w:abstractNumId w:val="3"/>
  </w:num>
  <w:num w:numId="8" w16cid:durableId="37553538">
    <w:abstractNumId w:val="2"/>
  </w:num>
  <w:num w:numId="9" w16cid:durableId="876889151">
    <w:abstractNumId w:val="1"/>
  </w:num>
  <w:num w:numId="10" w16cid:durableId="401490862">
    <w:abstractNumId w:val="0"/>
  </w:num>
  <w:num w:numId="11" w16cid:durableId="1627271352">
    <w:abstractNumId w:val="11"/>
  </w:num>
  <w:num w:numId="12" w16cid:durableId="1825196061">
    <w:abstractNumId w:val="10"/>
  </w:num>
  <w:num w:numId="13" w16cid:durableId="1991011372">
    <w:abstractNumId w:val="13"/>
  </w:num>
  <w:num w:numId="14" w16cid:durableId="1846554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6DEA"/>
    <w:rsid w:val="00012D34"/>
    <w:rsid w:val="000136AF"/>
    <w:rsid w:val="00014B9A"/>
    <w:rsid w:val="000226AA"/>
    <w:rsid w:val="00055D20"/>
    <w:rsid w:val="000614BF"/>
    <w:rsid w:val="00073C5A"/>
    <w:rsid w:val="00076362"/>
    <w:rsid w:val="00087033"/>
    <w:rsid w:val="000A3194"/>
    <w:rsid w:val="000A4AFD"/>
    <w:rsid w:val="000C4502"/>
    <w:rsid w:val="000C74F9"/>
    <w:rsid w:val="000D05EF"/>
    <w:rsid w:val="000D3899"/>
    <w:rsid w:val="000D7739"/>
    <w:rsid w:val="000E0538"/>
    <w:rsid w:val="000F07D1"/>
    <w:rsid w:val="000F21C1"/>
    <w:rsid w:val="000F4126"/>
    <w:rsid w:val="001016D1"/>
    <w:rsid w:val="0010240E"/>
    <w:rsid w:val="0010745C"/>
    <w:rsid w:val="0011196F"/>
    <w:rsid w:val="0011206D"/>
    <w:rsid w:val="00151AE2"/>
    <w:rsid w:val="00166C2F"/>
    <w:rsid w:val="00182C9A"/>
    <w:rsid w:val="0018435F"/>
    <w:rsid w:val="00190481"/>
    <w:rsid w:val="001939E1"/>
    <w:rsid w:val="00195382"/>
    <w:rsid w:val="001B0F61"/>
    <w:rsid w:val="001B1F20"/>
    <w:rsid w:val="001C69C4"/>
    <w:rsid w:val="001E3590"/>
    <w:rsid w:val="001E7407"/>
    <w:rsid w:val="001F1B59"/>
    <w:rsid w:val="001F4590"/>
    <w:rsid w:val="002060DA"/>
    <w:rsid w:val="00211436"/>
    <w:rsid w:val="0021250A"/>
    <w:rsid w:val="002277A0"/>
    <w:rsid w:val="0023276B"/>
    <w:rsid w:val="00240749"/>
    <w:rsid w:val="00276DEA"/>
    <w:rsid w:val="00296415"/>
    <w:rsid w:val="00297ECB"/>
    <w:rsid w:val="002B1D6F"/>
    <w:rsid w:val="002C085A"/>
    <w:rsid w:val="002C1977"/>
    <w:rsid w:val="002C3093"/>
    <w:rsid w:val="002D043A"/>
    <w:rsid w:val="002F08B3"/>
    <w:rsid w:val="003110E9"/>
    <w:rsid w:val="00313C6F"/>
    <w:rsid w:val="0033411C"/>
    <w:rsid w:val="00334771"/>
    <w:rsid w:val="003415D3"/>
    <w:rsid w:val="00343BFF"/>
    <w:rsid w:val="00352B0F"/>
    <w:rsid w:val="0036465C"/>
    <w:rsid w:val="00365791"/>
    <w:rsid w:val="00383E5B"/>
    <w:rsid w:val="00386040"/>
    <w:rsid w:val="00391123"/>
    <w:rsid w:val="003A2D4F"/>
    <w:rsid w:val="003B0F1E"/>
    <w:rsid w:val="003D0317"/>
    <w:rsid w:val="003D0BFE"/>
    <w:rsid w:val="003D2D96"/>
    <w:rsid w:val="003D5700"/>
    <w:rsid w:val="003D60B6"/>
    <w:rsid w:val="003F60D2"/>
    <w:rsid w:val="00402376"/>
    <w:rsid w:val="004043EE"/>
    <w:rsid w:val="0040616D"/>
    <w:rsid w:val="004116CD"/>
    <w:rsid w:val="00413D0A"/>
    <w:rsid w:val="004168B4"/>
    <w:rsid w:val="00420D7A"/>
    <w:rsid w:val="00424CA9"/>
    <w:rsid w:val="00427D10"/>
    <w:rsid w:val="00434453"/>
    <w:rsid w:val="0044291A"/>
    <w:rsid w:val="004500E2"/>
    <w:rsid w:val="004832D9"/>
    <w:rsid w:val="004952F6"/>
    <w:rsid w:val="00496F97"/>
    <w:rsid w:val="004D34E1"/>
    <w:rsid w:val="004E3680"/>
    <w:rsid w:val="004F2781"/>
    <w:rsid w:val="005014F3"/>
    <w:rsid w:val="005104CE"/>
    <w:rsid w:val="00516B8D"/>
    <w:rsid w:val="005212DF"/>
    <w:rsid w:val="00521994"/>
    <w:rsid w:val="00537FBC"/>
    <w:rsid w:val="00540599"/>
    <w:rsid w:val="00543850"/>
    <w:rsid w:val="00561CD0"/>
    <w:rsid w:val="00584052"/>
    <w:rsid w:val="00584811"/>
    <w:rsid w:val="00593763"/>
    <w:rsid w:val="00593AA6"/>
    <w:rsid w:val="00594161"/>
    <w:rsid w:val="00594749"/>
    <w:rsid w:val="005A6F34"/>
    <w:rsid w:val="005B4067"/>
    <w:rsid w:val="005B6FFC"/>
    <w:rsid w:val="005C3F41"/>
    <w:rsid w:val="005C5800"/>
    <w:rsid w:val="005D210F"/>
    <w:rsid w:val="005D4DEA"/>
    <w:rsid w:val="005D67DD"/>
    <w:rsid w:val="00600219"/>
    <w:rsid w:val="00611C2E"/>
    <w:rsid w:val="00625623"/>
    <w:rsid w:val="00630F28"/>
    <w:rsid w:val="006444FB"/>
    <w:rsid w:val="0065106B"/>
    <w:rsid w:val="006527A6"/>
    <w:rsid w:val="00664C63"/>
    <w:rsid w:val="00665BD5"/>
    <w:rsid w:val="00677CC2"/>
    <w:rsid w:val="00681A4A"/>
    <w:rsid w:val="0069207B"/>
    <w:rsid w:val="00695FE2"/>
    <w:rsid w:val="006B1EC0"/>
    <w:rsid w:val="006B51F1"/>
    <w:rsid w:val="006C1863"/>
    <w:rsid w:val="006C7F8C"/>
    <w:rsid w:val="006D3764"/>
    <w:rsid w:val="006E4AB2"/>
    <w:rsid w:val="00700B2C"/>
    <w:rsid w:val="007121E0"/>
    <w:rsid w:val="00713084"/>
    <w:rsid w:val="00713A02"/>
    <w:rsid w:val="007173B8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56D4"/>
    <w:rsid w:val="00795FCE"/>
    <w:rsid w:val="007A659A"/>
    <w:rsid w:val="007B081F"/>
    <w:rsid w:val="007C0373"/>
    <w:rsid w:val="007C6E74"/>
    <w:rsid w:val="007E4CC8"/>
    <w:rsid w:val="008013D8"/>
    <w:rsid w:val="00830815"/>
    <w:rsid w:val="0083558D"/>
    <w:rsid w:val="00853DCD"/>
    <w:rsid w:val="00856A31"/>
    <w:rsid w:val="00864CE9"/>
    <w:rsid w:val="0087285C"/>
    <w:rsid w:val="00873839"/>
    <w:rsid w:val="008754D0"/>
    <w:rsid w:val="00883892"/>
    <w:rsid w:val="008A58B4"/>
    <w:rsid w:val="008A6470"/>
    <w:rsid w:val="008D0EE0"/>
    <w:rsid w:val="008E05CA"/>
    <w:rsid w:val="008E6222"/>
    <w:rsid w:val="00913711"/>
    <w:rsid w:val="00916982"/>
    <w:rsid w:val="00923941"/>
    <w:rsid w:val="00931D06"/>
    <w:rsid w:val="00932377"/>
    <w:rsid w:val="00932FA3"/>
    <w:rsid w:val="0095602D"/>
    <w:rsid w:val="009620C2"/>
    <w:rsid w:val="00994801"/>
    <w:rsid w:val="009A4790"/>
    <w:rsid w:val="009C377C"/>
    <w:rsid w:val="009D743D"/>
    <w:rsid w:val="009E6E41"/>
    <w:rsid w:val="009F08D9"/>
    <w:rsid w:val="00A120DD"/>
    <w:rsid w:val="00A231E2"/>
    <w:rsid w:val="00A25627"/>
    <w:rsid w:val="00A415B9"/>
    <w:rsid w:val="00A5554B"/>
    <w:rsid w:val="00A64912"/>
    <w:rsid w:val="00A70A74"/>
    <w:rsid w:val="00AA5445"/>
    <w:rsid w:val="00AB5A90"/>
    <w:rsid w:val="00AD27B3"/>
    <w:rsid w:val="00AD5641"/>
    <w:rsid w:val="00AE59F7"/>
    <w:rsid w:val="00AE7BD7"/>
    <w:rsid w:val="00B010C9"/>
    <w:rsid w:val="00B05DED"/>
    <w:rsid w:val="00B11E96"/>
    <w:rsid w:val="00B22D8E"/>
    <w:rsid w:val="00B26413"/>
    <w:rsid w:val="00B30BBF"/>
    <w:rsid w:val="00B33B3C"/>
    <w:rsid w:val="00B340B6"/>
    <w:rsid w:val="00B3608C"/>
    <w:rsid w:val="00B372A6"/>
    <w:rsid w:val="00B429C2"/>
    <w:rsid w:val="00B61C25"/>
    <w:rsid w:val="00B634E1"/>
    <w:rsid w:val="00B70E56"/>
    <w:rsid w:val="00BA0E3A"/>
    <w:rsid w:val="00BC30F2"/>
    <w:rsid w:val="00BD1655"/>
    <w:rsid w:val="00BE719A"/>
    <w:rsid w:val="00BE720A"/>
    <w:rsid w:val="00C006F6"/>
    <w:rsid w:val="00C1405E"/>
    <w:rsid w:val="00C32676"/>
    <w:rsid w:val="00C42BF8"/>
    <w:rsid w:val="00C50043"/>
    <w:rsid w:val="00C53114"/>
    <w:rsid w:val="00C723B9"/>
    <w:rsid w:val="00C7573B"/>
    <w:rsid w:val="00C77D10"/>
    <w:rsid w:val="00C825F9"/>
    <w:rsid w:val="00CB0EA8"/>
    <w:rsid w:val="00CC0D25"/>
    <w:rsid w:val="00CC7A09"/>
    <w:rsid w:val="00CD7ADF"/>
    <w:rsid w:val="00CF0BB2"/>
    <w:rsid w:val="00CF4975"/>
    <w:rsid w:val="00D11268"/>
    <w:rsid w:val="00D13441"/>
    <w:rsid w:val="00D3213F"/>
    <w:rsid w:val="00D374CE"/>
    <w:rsid w:val="00D40252"/>
    <w:rsid w:val="00D467B9"/>
    <w:rsid w:val="00D65289"/>
    <w:rsid w:val="00D67311"/>
    <w:rsid w:val="00D70DFB"/>
    <w:rsid w:val="00D7186F"/>
    <w:rsid w:val="00D75C00"/>
    <w:rsid w:val="00D766DF"/>
    <w:rsid w:val="00D9284D"/>
    <w:rsid w:val="00DC3327"/>
    <w:rsid w:val="00DC6234"/>
    <w:rsid w:val="00DD024A"/>
    <w:rsid w:val="00DD314D"/>
    <w:rsid w:val="00DE7C55"/>
    <w:rsid w:val="00E05704"/>
    <w:rsid w:val="00E1043D"/>
    <w:rsid w:val="00E1363F"/>
    <w:rsid w:val="00E23842"/>
    <w:rsid w:val="00E54CAB"/>
    <w:rsid w:val="00E74DC7"/>
    <w:rsid w:val="00E85CB9"/>
    <w:rsid w:val="00E94998"/>
    <w:rsid w:val="00E97594"/>
    <w:rsid w:val="00EB10E4"/>
    <w:rsid w:val="00EB45B1"/>
    <w:rsid w:val="00EB5471"/>
    <w:rsid w:val="00ED1A6C"/>
    <w:rsid w:val="00ED28EF"/>
    <w:rsid w:val="00EE25A8"/>
    <w:rsid w:val="00EE6DCC"/>
    <w:rsid w:val="00EF2E3A"/>
    <w:rsid w:val="00F00719"/>
    <w:rsid w:val="00F0132A"/>
    <w:rsid w:val="00F078DC"/>
    <w:rsid w:val="00F27BEA"/>
    <w:rsid w:val="00F5076A"/>
    <w:rsid w:val="00F601BE"/>
    <w:rsid w:val="00F66042"/>
    <w:rsid w:val="00F71234"/>
    <w:rsid w:val="00F8103A"/>
    <w:rsid w:val="00F9504D"/>
    <w:rsid w:val="00FA33C6"/>
    <w:rsid w:val="00FA3991"/>
    <w:rsid w:val="00FB1AF9"/>
    <w:rsid w:val="00FC104F"/>
    <w:rsid w:val="00FD1986"/>
    <w:rsid w:val="00FF0CED"/>
    <w:rsid w:val="00FF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B22C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5C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4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4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4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4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4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4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4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4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4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85CB9"/>
  </w:style>
  <w:style w:type="paragraph" w:customStyle="1" w:styleId="OPCParaBase">
    <w:name w:val="OPCParaBase"/>
    <w:qFormat/>
    <w:rsid w:val="00E85C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E85C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85C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85C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85C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85C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85C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85C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85C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85C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85CB9"/>
  </w:style>
  <w:style w:type="paragraph" w:customStyle="1" w:styleId="Blocks">
    <w:name w:val="Blocks"/>
    <w:aliases w:val="bb"/>
    <w:basedOn w:val="OPCParaBase"/>
    <w:qFormat/>
    <w:rsid w:val="00E85C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85C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85CB9"/>
    <w:rPr>
      <w:i/>
    </w:rPr>
  </w:style>
  <w:style w:type="paragraph" w:customStyle="1" w:styleId="BoxList">
    <w:name w:val="BoxList"/>
    <w:aliases w:val="bl"/>
    <w:basedOn w:val="BoxText"/>
    <w:qFormat/>
    <w:rsid w:val="00E85C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85C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85C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85CB9"/>
    <w:pPr>
      <w:ind w:left="1985" w:hanging="851"/>
    </w:pPr>
  </w:style>
  <w:style w:type="character" w:customStyle="1" w:styleId="CharAmPartNo">
    <w:name w:val="CharAmPartNo"/>
    <w:basedOn w:val="OPCCharBase"/>
    <w:qFormat/>
    <w:rsid w:val="00E85CB9"/>
  </w:style>
  <w:style w:type="character" w:customStyle="1" w:styleId="CharAmPartText">
    <w:name w:val="CharAmPartText"/>
    <w:basedOn w:val="OPCCharBase"/>
    <w:qFormat/>
    <w:rsid w:val="00E85CB9"/>
  </w:style>
  <w:style w:type="character" w:customStyle="1" w:styleId="CharAmSchNo">
    <w:name w:val="CharAmSchNo"/>
    <w:basedOn w:val="OPCCharBase"/>
    <w:qFormat/>
    <w:rsid w:val="00E85CB9"/>
  </w:style>
  <w:style w:type="character" w:customStyle="1" w:styleId="CharAmSchText">
    <w:name w:val="CharAmSchText"/>
    <w:basedOn w:val="OPCCharBase"/>
    <w:qFormat/>
    <w:rsid w:val="00E85CB9"/>
  </w:style>
  <w:style w:type="character" w:customStyle="1" w:styleId="CharBoldItalic">
    <w:name w:val="CharBoldItalic"/>
    <w:basedOn w:val="OPCCharBase"/>
    <w:uiPriority w:val="1"/>
    <w:qFormat/>
    <w:rsid w:val="00E85C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E85CB9"/>
  </w:style>
  <w:style w:type="character" w:customStyle="1" w:styleId="CharChapText">
    <w:name w:val="CharChapText"/>
    <w:basedOn w:val="OPCCharBase"/>
    <w:uiPriority w:val="1"/>
    <w:qFormat/>
    <w:rsid w:val="00E85CB9"/>
  </w:style>
  <w:style w:type="character" w:customStyle="1" w:styleId="CharDivNo">
    <w:name w:val="CharDivNo"/>
    <w:basedOn w:val="OPCCharBase"/>
    <w:uiPriority w:val="1"/>
    <w:qFormat/>
    <w:rsid w:val="00E85CB9"/>
  </w:style>
  <w:style w:type="character" w:customStyle="1" w:styleId="CharDivText">
    <w:name w:val="CharDivText"/>
    <w:basedOn w:val="OPCCharBase"/>
    <w:uiPriority w:val="1"/>
    <w:qFormat/>
    <w:rsid w:val="00E85CB9"/>
  </w:style>
  <w:style w:type="character" w:customStyle="1" w:styleId="CharItalic">
    <w:name w:val="CharItalic"/>
    <w:basedOn w:val="OPCCharBase"/>
    <w:uiPriority w:val="1"/>
    <w:qFormat/>
    <w:rsid w:val="00E85CB9"/>
    <w:rPr>
      <w:i/>
    </w:rPr>
  </w:style>
  <w:style w:type="character" w:customStyle="1" w:styleId="CharPartNo">
    <w:name w:val="CharPartNo"/>
    <w:basedOn w:val="OPCCharBase"/>
    <w:uiPriority w:val="1"/>
    <w:qFormat/>
    <w:rsid w:val="00E85CB9"/>
  </w:style>
  <w:style w:type="character" w:customStyle="1" w:styleId="CharPartText">
    <w:name w:val="CharPartText"/>
    <w:basedOn w:val="OPCCharBase"/>
    <w:uiPriority w:val="1"/>
    <w:qFormat/>
    <w:rsid w:val="00E85CB9"/>
  </w:style>
  <w:style w:type="character" w:customStyle="1" w:styleId="CharSectno">
    <w:name w:val="CharSectno"/>
    <w:basedOn w:val="OPCCharBase"/>
    <w:qFormat/>
    <w:rsid w:val="00E85CB9"/>
  </w:style>
  <w:style w:type="character" w:customStyle="1" w:styleId="CharSubdNo">
    <w:name w:val="CharSubdNo"/>
    <w:basedOn w:val="OPCCharBase"/>
    <w:uiPriority w:val="1"/>
    <w:qFormat/>
    <w:rsid w:val="00E85CB9"/>
  </w:style>
  <w:style w:type="character" w:customStyle="1" w:styleId="CharSubdText">
    <w:name w:val="CharSubdText"/>
    <w:basedOn w:val="OPCCharBase"/>
    <w:uiPriority w:val="1"/>
    <w:qFormat/>
    <w:rsid w:val="00E85CB9"/>
  </w:style>
  <w:style w:type="paragraph" w:customStyle="1" w:styleId="CTA--">
    <w:name w:val="CTA --"/>
    <w:basedOn w:val="OPCParaBase"/>
    <w:next w:val="Normal"/>
    <w:rsid w:val="00E85C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85C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85C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85C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85C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85C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85C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85C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85C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85C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85C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85C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85C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85C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85C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85C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85C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85C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85C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85C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85C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85C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85C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85C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85C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85C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85C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85C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85C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85C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85C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85C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85C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85C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85C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85C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85C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85C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85C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85C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85C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85C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85C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85C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85C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85C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85C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85C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85C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semiHidden/>
    <w:unhideWhenUsed/>
    <w:rsid w:val="00E85C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85C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85C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85C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85C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85C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85C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85C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85C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85C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85CB9"/>
    <w:rPr>
      <w:sz w:val="16"/>
    </w:rPr>
  </w:style>
  <w:style w:type="table" w:customStyle="1" w:styleId="CFlag">
    <w:name w:val="CFlag"/>
    <w:basedOn w:val="TableNormal"/>
    <w:uiPriority w:val="99"/>
    <w:rsid w:val="00E85CB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29641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9641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85CB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E85C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E85C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85C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85C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85CB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85CB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85C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85C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85C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85CB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85CB9"/>
  </w:style>
  <w:style w:type="character" w:customStyle="1" w:styleId="CharSubPartNoCASA">
    <w:name w:val="CharSubPartNo(CASA)"/>
    <w:basedOn w:val="OPCCharBase"/>
    <w:uiPriority w:val="1"/>
    <w:rsid w:val="00E85CB9"/>
  </w:style>
  <w:style w:type="paragraph" w:customStyle="1" w:styleId="ENoteTTIndentHeadingSub">
    <w:name w:val="ENoteTTIndentHeadingSub"/>
    <w:aliases w:val="enTTHis"/>
    <w:basedOn w:val="OPCParaBase"/>
    <w:rsid w:val="00E85C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85C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85C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85CB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E85C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85CB9"/>
    <w:rPr>
      <w:sz w:val="22"/>
    </w:rPr>
  </w:style>
  <w:style w:type="paragraph" w:customStyle="1" w:styleId="SOTextNote">
    <w:name w:val="SO TextNote"/>
    <w:aliases w:val="sont"/>
    <w:basedOn w:val="SOText"/>
    <w:qFormat/>
    <w:rsid w:val="00E85C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85C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85CB9"/>
    <w:rPr>
      <w:sz w:val="22"/>
    </w:rPr>
  </w:style>
  <w:style w:type="paragraph" w:customStyle="1" w:styleId="FileName">
    <w:name w:val="FileName"/>
    <w:basedOn w:val="Normal"/>
    <w:rsid w:val="00E85CB9"/>
  </w:style>
  <w:style w:type="paragraph" w:customStyle="1" w:styleId="TableHeading">
    <w:name w:val="TableHeading"/>
    <w:aliases w:val="th"/>
    <w:basedOn w:val="OPCParaBase"/>
    <w:next w:val="Tabletext"/>
    <w:rsid w:val="00E85CB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85C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85C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85C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85C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85C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85C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85C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85C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85C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E85CB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85C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E85C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85C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85C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85C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E85C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85C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85C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85C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E85CB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E8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E85CB9"/>
  </w:style>
  <w:style w:type="character" w:customStyle="1" w:styleId="Heading1Char">
    <w:name w:val="Heading 1 Char"/>
    <w:basedOn w:val="DefaultParagraphFont"/>
    <w:link w:val="Heading1"/>
    <w:uiPriority w:val="9"/>
    <w:rsid w:val="00EB5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47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4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471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471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4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4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47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4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1138</Words>
  <Characters>5909</Characters>
  <Application>Microsoft Office Word</Application>
  <DocSecurity>2</DocSecurity>
  <PresentationFormat/>
  <Lines>128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- Treasury Laws Amendment (Measures For Consultation) Bill 2023: Non-Arm’s Length Expense Rules For Superannuation Funds</vt:lpstr>
    </vt:vector>
  </TitlesOfParts>
  <Manager/>
  <Company/>
  <LinksUpToDate>false</LinksUpToDate>
  <CharactersWithSpaces>7008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Treasury Laws Amendment (Measures For Consultation) Bill 2023: Non-Arm’s Length Expense Rules For Superannuation Funds</dc:title>
  <dc:subject/>
  <dc:creator/>
  <cp:keywords/>
  <dc:description/>
  <cp:lastModifiedBy/>
  <cp:revision>1</cp:revision>
  <cp:lastPrinted>2023-06-08T02:24:00Z</cp:lastPrinted>
  <dcterms:created xsi:type="dcterms:W3CDTF">2023-06-16T06:04:00Z</dcterms:created>
  <dcterms:modified xsi:type="dcterms:W3CDTF">2023-06-16T06:05:00Z</dcterms:modified>
  <cp:category/>
  <cp:contentStatus/>
  <dc:language/>
  <cp:version/>
</cp:coreProperties>
</file>