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136595370" w:displacedByCustomXml="next"/>
    <w:bookmarkEnd w:id="0" w:displacedByCustomXml="next"/>
    <w:sdt>
      <w:sdtPr>
        <w:rPr>
          <w:rFonts w:eastAsiaTheme="majorEastAsia" w:cstheme="majorBidi"/>
          <w:b/>
          <w:color w:val="002C47" w:themeColor="accent1"/>
          <w:spacing w:val="5"/>
          <w:kern w:val="28"/>
          <w:sz w:val="72"/>
          <w:szCs w:val="52"/>
        </w:rPr>
        <w:id w:val="-385645642"/>
        <w:docPartObj>
          <w:docPartGallery w:val="Cover Pages"/>
          <w:docPartUnique/>
        </w:docPartObj>
      </w:sdtPr>
      <w:sdtEndPr/>
      <w:sdtContent>
        <w:p w14:paraId="5998B377" w14:textId="7AFEA0A6" w:rsidR="00CE310C" w:rsidRDefault="00CE310C" w:rsidP="00964856">
          <w:pPr>
            <w:rPr>
              <w:rFonts w:ascii="Trebuchet MS" w:hAnsi="Trebuchet MS"/>
              <w:color w:val="003865"/>
              <w:sz w:val="52"/>
              <w:szCs w:val="44"/>
            </w:rPr>
          </w:pPr>
          <w:r w:rsidRPr="00240ABF">
            <w:rPr>
              <w:noProof/>
            </w:rPr>
            <w:drawing>
              <wp:inline distT="0" distB="0" distL="0" distR="0" wp14:anchorId="1FA3E8C5" wp14:editId="6E2594BF">
                <wp:extent cx="3390900" cy="672071"/>
                <wp:effectExtent l="0" t="0" r="0" b="0"/>
                <wp:docPr id="4" name="Picture 4" descr="GOV CDR RGB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OV CDR RGB COLOU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12169" cy="676287"/>
                        </a:xfrm>
                        <a:prstGeom prst="rect">
                          <a:avLst/>
                        </a:prstGeom>
                        <a:noFill/>
                        <a:ln>
                          <a:noFill/>
                        </a:ln>
                      </pic:spPr>
                    </pic:pic>
                  </a:graphicData>
                </a:graphic>
              </wp:inline>
            </w:drawing>
          </w:r>
        </w:p>
        <w:p w14:paraId="7A887F24" w14:textId="7431199C" w:rsidR="00B22B7E" w:rsidRPr="00B22B7E" w:rsidRDefault="00D460C0" w:rsidP="00B22B7E">
          <w:pPr>
            <w:pStyle w:val="Title"/>
            <w:spacing w:after="120"/>
            <w:contextualSpacing w:val="0"/>
            <w:rPr>
              <w:rFonts w:ascii="Trebuchet MS" w:hAnsi="Trebuchet MS"/>
              <w:color w:val="003865"/>
              <w:sz w:val="52"/>
              <w:szCs w:val="44"/>
            </w:rPr>
          </w:pPr>
          <w:r>
            <w:rPr>
              <w:rFonts w:ascii="Trebuchet MS" w:hAnsi="Trebuchet MS"/>
              <w:color w:val="003865"/>
              <w:sz w:val="52"/>
              <w:szCs w:val="44"/>
            </w:rPr>
            <w:br/>
          </w:r>
          <w:r w:rsidR="005903F7" w:rsidRPr="00CD2AB2">
            <w:rPr>
              <w:rFonts w:ascii="Trebuchet MS" w:hAnsi="Trebuchet MS"/>
              <w:color w:val="003865"/>
              <w:sz w:val="52"/>
              <w:szCs w:val="44"/>
            </w:rPr>
            <w:t>Government</w:t>
          </w:r>
          <w:r w:rsidR="000A0E4C" w:rsidRPr="00CD2AB2">
            <w:rPr>
              <w:rFonts w:ascii="Trebuchet MS" w:hAnsi="Trebuchet MS"/>
              <w:color w:val="003865"/>
              <w:sz w:val="52"/>
              <w:szCs w:val="44"/>
            </w:rPr>
            <w:t xml:space="preserve"> </w:t>
          </w:r>
          <w:r w:rsidR="00D600F3">
            <w:rPr>
              <w:rFonts w:ascii="Trebuchet MS" w:hAnsi="Trebuchet MS"/>
              <w:color w:val="003865"/>
              <w:sz w:val="52"/>
              <w:szCs w:val="44"/>
            </w:rPr>
            <w:t>s</w:t>
          </w:r>
          <w:r w:rsidR="00F574B0" w:rsidRPr="00CD2AB2">
            <w:rPr>
              <w:rFonts w:ascii="Trebuchet MS" w:hAnsi="Trebuchet MS"/>
              <w:color w:val="003865"/>
              <w:sz w:val="52"/>
              <w:szCs w:val="44"/>
            </w:rPr>
            <w:t xml:space="preserve">tatement </w:t>
          </w:r>
          <w:r w:rsidR="005903F7" w:rsidRPr="00CD2AB2">
            <w:rPr>
              <w:rFonts w:ascii="Trebuchet MS" w:hAnsi="Trebuchet MS"/>
              <w:color w:val="003865"/>
              <w:sz w:val="52"/>
              <w:szCs w:val="44"/>
            </w:rPr>
            <w:t>in response to</w:t>
          </w:r>
          <w:r w:rsidR="00F574B0" w:rsidRPr="00CD2AB2">
            <w:rPr>
              <w:rFonts w:ascii="Trebuchet MS" w:hAnsi="Trebuchet MS"/>
              <w:color w:val="003865"/>
              <w:sz w:val="52"/>
              <w:szCs w:val="44"/>
            </w:rPr>
            <w:t xml:space="preserve"> </w:t>
          </w:r>
          <w:r w:rsidR="000E0877" w:rsidRPr="00CD2AB2">
            <w:rPr>
              <w:rFonts w:ascii="Trebuchet MS" w:hAnsi="Trebuchet MS"/>
              <w:color w:val="003865"/>
              <w:sz w:val="52"/>
              <w:szCs w:val="44"/>
            </w:rPr>
            <w:t>the Statutory Review of the Consumer Data Right</w:t>
          </w:r>
        </w:p>
        <w:p w14:paraId="2860D6E3" w14:textId="5D542EFC" w:rsidR="00812358" w:rsidRPr="00B22B7E" w:rsidRDefault="008C7752" w:rsidP="006C315F">
          <w:pPr>
            <w:pStyle w:val="Title"/>
            <w:spacing w:before="240" w:after="0"/>
            <w:contextualSpacing w:val="0"/>
            <w:rPr>
              <w:rFonts w:ascii="Trebuchet MS" w:hAnsi="Trebuchet MS"/>
              <w:color w:val="003865"/>
              <w:sz w:val="52"/>
              <w:szCs w:val="44"/>
            </w:rPr>
            <w:sectPr w:rsidR="00812358" w:rsidRPr="00B22B7E" w:rsidSect="00294A51">
              <w:headerReference w:type="even" r:id="rId12"/>
              <w:headerReference w:type="default" r:id="rId13"/>
              <w:footerReference w:type="even" r:id="rId14"/>
              <w:footerReference w:type="default" r:id="rId15"/>
              <w:headerReference w:type="first" r:id="rId16"/>
              <w:pgSz w:w="11906" w:h="16838" w:code="9"/>
              <w:pgMar w:top="1417" w:right="1417" w:bottom="0" w:left="1417" w:header="709" w:footer="0" w:gutter="0"/>
              <w:pgNumType w:start="0"/>
              <w:cols w:space="708"/>
              <w:titlePg/>
              <w:docGrid w:linePitch="360"/>
            </w:sectPr>
          </w:pPr>
          <w:r>
            <w:rPr>
              <w:rFonts w:ascii="Trebuchet MS" w:hAnsi="Trebuchet MS"/>
              <w:color w:val="003865"/>
              <w:sz w:val="36"/>
              <w:szCs w:val="28"/>
            </w:rPr>
            <w:t>June</w:t>
          </w:r>
          <w:r w:rsidR="000E0877" w:rsidRPr="00CD2AB2">
            <w:rPr>
              <w:rFonts w:ascii="Trebuchet MS" w:hAnsi="Trebuchet MS"/>
              <w:color w:val="003865"/>
              <w:sz w:val="36"/>
              <w:szCs w:val="28"/>
            </w:rPr>
            <w:t xml:space="preserve"> 2023</w:t>
          </w:r>
        </w:p>
      </w:sdtContent>
    </w:sdt>
    <w:bookmarkStart w:id="1" w:name="_Toc452635030" w:displacedByCustomXml="prev"/>
    <w:bookmarkStart w:id="2" w:name="_Toc432067103" w:displacedByCustomXml="prev"/>
    <w:p w14:paraId="2A21E6DD" w14:textId="60FD7314" w:rsidR="00812358" w:rsidRDefault="00015C82" w:rsidP="002316EE">
      <w:pPr>
        <w:spacing w:before="0" w:after="160" w:line="259" w:lineRule="auto"/>
      </w:pPr>
      <w:r w:rsidRPr="000F463D">
        <w:rPr>
          <w:rFonts w:ascii="Trebuchet MS" w:hAnsi="Trebuchet MS"/>
          <w:noProof/>
          <w:color w:val="003865"/>
          <w:sz w:val="36"/>
          <w:szCs w:val="28"/>
        </w:rPr>
        <w:drawing>
          <wp:anchor distT="0" distB="0" distL="114300" distR="114300" simplePos="0" relativeHeight="251658240" behindDoc="0" locked="0" layoutInCell="1" allowOverlap="1" wp14:anchorId="7CFACE85" wp14:editId="7634A113">
            <wp:simplePos x="0" y="0"/>
            <wp:positionH relativeFrom="page">
              <wp:align>left</wp:align>
            </wp:positionH>
            <wp:positionV relativeFrom="paragraph">
              <wp:posOffset>328930</wp:posOffset>
            </wp:positionV>
            <wp:extent cx="7552690" cy="6673215"/>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17" cstate="print">
                      <a:extLst>
                        <a:ext uri="{28A0092B-C50C-407E-A947-70E740481C1C}">
                          <a14:useLocalDpi xmlns:a14="http://schemas.microsoft.com/office/drawing/2010/main" val="0"/>
                        </a:ext>
                      </a:extLst>
                    </a:blip>
                    <a:srcRect t="37536"/>
                    <a:stretch/>
                  </pic:blipFill>
                  <pic:spPr bwMode="auto">
                    <a:xfrm>
                      <a:off x="0" y="0"/>
                      <a:ext cx="7552690" cy="667321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8CB6C3E" w14:textId="6EAAD107" w:rsidR="002316EE" w:rsidRPr="007144EF" w:rsidRDefault="002316EE" w:rsidP="002316EE">
      <w:pPr>
        <w:spacing w:before="0" w:after="160" w:line="259" w:lineRule="auto"/>
      </w:pPr>
      <w:r w:rsidRPr="00CD2AB2">
        <w:lastRenderedPageBreak/>
        <w:t>© Commonwealth of Australia 2023</w:t>
      </w:r>
    </w:p>
    <w:p w14:paraId="3F045CC4" w14:textId="77777777" w:rsidR="002316EE" w:rsidRPr="00CD2AB2" w:rsidRDefault="002316EE" w:rsidP="002316EE">
      <w:pPr>
        <w:tabs>
          <w:tab w:val="left" w:pos="1650"/>
        </w:tabs>
        <w:spacing w:before="240"/>
        <w:rPr>
          <w:rFonts w:cstheme="minorBidi"/>
          <w:sz w:val="24"/>
          <w:szCs w:val="24"/>
        </w:rPr>
      </w:pPr>
      <w:r w:rsidRPr="00CD2AB2">
        <w:t>This publication is available for your use under a</w:t>
      </w:r>
      <w:r w:rsidRPr="00CD2AB2">
        <w:rPr>
          <w:rFonts w:cstheme="minorHAnsi"/>
          <w:sz w:val="24"/>
          <w:szCs w:val="24"/>
        </w:rPr>
        <w:t xml:space="preserve"> </w:t>
      </w:r>
      <w:hyperlink r:id="rId18" w:history="1">
        <w:r w:rsidRPr="00CD2AB2">
          <w:rPr>
            <w:rStyle w:val="Hyperlink"/>
          </w:rPr>
          <w:t>Creative Commons Attribution 3.0 Australia</w:t>
        </w:r>
      </w:hyperlink>
      <w:r w:rsidRPr="00CD2AB2">
        <w:rPr>
          <w:rFonts w:cstheme="minorHAnsi"/>
          <w:sz w:val="24"/>
          <w:szCs w:val="24"/>
        </w:rPr>
        <w:t xml:space="preserve"> </w:t>
      </w:r>
      <w:r w:rsidRPr="00CD2AB2">
        <w:t>licence, with the exception of the Commonwealth Coat of Arms, the Treasury logo, photographs, images, signatures and where otherwise stated. The full licence terms are available from</w:t>
      </w:r>
      <w:r w:rsidRPr="00CD2AB2">
        <w:rPr>
          <w:rFonts w:cstheme="minorHAnsi"/>
          <w:sz w:val="24"/>
          <w:szCs w:val="24"/>
        </w:rPr>
        <w:t xml:space="preserve"> </w:t>
      </w:r>
      <w:hyperlink r:id="rId19" w:history="1">
        <w:r w:rsidRPr="00CD2AB2">
          <w:rPr>
            <w:rStyle w:val="Hyperlink"/>
          </w:rPr>
          <w:t>http://creativecommons.org/licenses/by/3.0/au/legalcode</w:t>
        </w:r>
      </w:hyperlink>
      <w:r w:rsidRPr="00CD2AB2">
        <w:rPr>
          <w:rStyle w:val="Hyperlink"/>
        </w:rPr>
        <w:t>.</w:t>
      </w:r>
      <w:r w:rsidRPr="00CD2AB2">
        <w:rPr>
          <w:sz w:val="24"/>
          <w:szCs w:val="24"/>
        </w:rPr>
        <w:t xml:space="preserve"> </w:t>
      </w:r>
    </w:p>
    <w:p w14:paraId="2567A7AB" w14:textId="77777777" w:rsidR="002316EE" w:rsidRPr="00CD2AB2" w:rsidRDefault="002316EE" w:rsidP="002316EE">
      <w:pPr>
        <w:pStyle w:val="ChartGraphic"/>
        <w:jc w:val="left"/>
      </w:pPr>
      <w:r w:rsidRPr="000F463D">
        <w:rPr>
          <w:noProof/>
          <w:color w:val="2B579A"/>
          <w:shd w:val="clear" w:color="auto" w:fill="E6E6E6"/>
          <w:lang w:eastAsia="zh-CN"/>
        </w:rPr>
        <w:drawing>
          <wp:inline distT="0" distB="0" distL="0" distR="0" wp14:anchorId="0A4A4784" wp14:editId="5EA657BC">
            <wp:extent cx="809625" cy="285750"/>
            <wp:effectExtent l="0" t="0" r="9525" b="0"/>
            <wp:docPr id="3" name="Picture 3" descr="Creative Commons attribution licence 3.0 icon. " title="Creative Commons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 by_grey"/>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809625" cy="285750"/>
                    </a:xfrm>
                    <a:prstGeom prst="rect">
                      <a:avLst/>
                    </a:prstGeom>
                    <a:noFill/>
                    <a:ln w="9525">
                      <a:noFill/>
                      <a:miter lim="800000"/>
                      <a:headEnd/>
                      <a:tailEnd/>
                    </a:ln>
                  </pic:spPr>
                </pic:pic>
              </a:graphicData>
            </a:graphic>
          </wp:inline>
        </w:drawing>
      </w:r>
    </w:p>
    <w:p w14:paraId="14980425" w14:textId="77777777" w:rsidR="002316EE" w:rsidRPr="00CD2AB2" w:rsidRDefault="002316EE" w:rsidP="002316EE">
      <w:pPr>
        <w:tabs>
          <w:tab w:val="left" w:pos="1650"/>
        </w:tabs>
        <w:spacing w:before="240"/>
      </w:pPr>
      <w:r w:rsidRPr="00CD2AB2">
        <w:t>Use of Treasury material under a</w:t>
      </w:r>
      <w:r w:rsidRPr="00CD2AB2">
        <w:rPr>
          <w:rFonts w:cstheme="minorHAnsi"/>
          <w:sz w:val="24"/>
          <w:szCs w:val="24"/>
        </w:rPr>
        <w:t xml:space="preserve"> </w:t>
      </w:r>
      <w:hyperlink r:id="rId21" w:history="1">
        <w:r w:rsidRPr="00CD2AB2">
          <w:rPr>
            <w:rStyle w:val="Hyperlink"/>
          </w:rPr>
          <w:t>Creative Commons Attribution 3.0 Australia</w:t>
        </w:r>
      </w:hyperlink>
      <w:r w:rsidRPr="00CD2AB2">
        <w:rPr>
          <w:rStyle w:val="Hyperlink"/>
        </w:rPr>
        <w:t xml:space="preserve"> </w:t>
      </w:r>
      <w:r w:rsidRPr="00CD2AB2">
        <w:t>licence requires you to attribute the work (but not in any way that suggests that the Treasury endorses you or your use of the work).</w:t>
      </w:r>
    </w:p>
    <w:p w14:paraId="26E3BBB0" w14:textId="77777777" w:rsidR="002316EE" w:rsidRPr="00CD2AB2" w:rsidRDefault="002316EE" w:rsidP="002316EE">
      <w:pPr>
        <w:ind w:left="709"/>
        <w:rPr>
          <w:i/>
        </w:rPr>
      </w:pPr>
      <w:r w:rsidRPr="00CD2AB2">
        <w:rPr>
          <w:i/>
        </w:rPr>
        <w:t>Treasury material used ‘as supplied’.</w:t>
      </w:r>
    </w:p>
    <w:p w14:paraId="09A403EA" w14:textId="77777777" w:rsidR="002316EE" w:rsidRPr="00CD2AB2" w:rsidRDefault="002316EE" w:rsidP="002316EE">
      <w:pPr>
        <w:spacing w:before="240"/>
      </w:pPr>
      <w:r w:rsidRPr="00CD2AB2">
        <w:t xml:space="preserve">Provided you have not modified or transformed Treasury material in any way including, for example, by changing the Treasury text; calculating percentage changes; graphing or charting data; or deriving new statistics from published Treasury statistics — then Treasury prefers the following attribution: </w:t>
      </w:r>
    </w:p>
    <w:p w14:paraId="7436EB97" w14:textId="77777777" w:rsidR="002316EE" w:rsidRPr="00CD2AB2" w:rsidRDefault="002316EE" w:rsidP="002316EE">
      <w:pPr>
        <w:ind w:firstLine="720"/>
      </w:pPr>
      <w:r w:rsidRPr="00CD2AB2">
        <w:rPr>
          <w:i/>
        </w:rPr>
        <w:t xml:space="preserve">Source: The </w:t>
      </w:r>
      <w:r w:rsidRPr="00CD2AB2">
        <w:rPr>
          <w:i/>
          <w:iCs/>
        </w:rPr>
        <w:t>Australian Government the Treasury</w:t>
      </w:r>
      <w:r w:rsidRPr="00CD2AB2">
        <w:t>.</w:t>
      </w:r>
    </w:p>
    <w:p w14:paraId="79F8F9E9" w14:textId="77777777" w:rsidR="002316EE" w:rsidRPr="00CD2AB2" w:rsidRDefault="002316EE" w:rsidP="002316EE">
      <w:pPr>
        <w:spacing w:before="240"/>
      </w:pPr>
      <w:r w:rsidRPr="00CD2AB2">
        <w:rPr>
          <w:b/>
        </w:rPr>
        <w:t>Derivative</w:t>
      </w:r>
      <w:r w:rsidRPr="00CD2AB2">
        <w:t xml:space="preserve"> </w:t>
      </w:r>
      <w:r w:rsidRPr="00CD2AB2">
        <w:rPr>
          <w:b/>
        </w:rPr>
        <w:t>material</w:t>
      </w:r>
    </w:p>
    <w:p w14:paraId="5F985BCD" w14:textId="77777777" w:rsidR="002316EE" w:rsidRPr="00CD2AB2" w:rsidRDefault="002316EE" w:rsidP="002316EE">
      <w:r w:rsidRPr="00CD2AB2">
        <w:t xml:space="preserve">If you have modified or transformed Treasury material, or derived new material from those of the Treasury in any way, then Treasury prefers the following attribution: </w:t>
      </w:r>
    </w:p>
    <w:p w14:paraId="7306A08F" w14:textId="77777777" w:rsidR="002316EE" w:rsidRPr="00CD2AB2" w:rsidRDefault="002316EE" w:rsidP="002316EE">
      <w:pPr>
        <w:ind w:firstLine="720"/>
      </w:pPr>
      <w:r w:rsidRPr="00CD2AB2">
        <w:rPr>
          <w:i/>
        </w:rPr>
        <w:t>Based on The Australian Government the Treasury data</w:t>
      </w:r>
      <w:r w:rsidRPr="00CD2AB2">
        <w:t>.</w:t>
      </w:r>
    </w:p>
    <w:p w14:paraId="604A8D07" w14:textId="77777777" w:rsidR="002316EE" w:rsidRPr="00CD2AB2" w:rsidRDefault="002316EE" w:rsidP="002316EE">
      <w:pPr>
        <w:spacing w:before="240"/>
        <w:rPr>
          <w:b/>
        </w:rPr>
      </w:pPr>
      <w:r w:rsidRPr="00CD2AB2">
        <w:rPr>
          <w:b/>
        </w:rPr>
        <w:t>Use of the Coat of Arms</w:t>
      </w:r>
    </w:p>
    <w:p w14:paraId="271121C8" w14:textId="77777777" w:rsidR="002316EE" w:rsidRPr="00CD2AB2" w:rsidRDefault="002316EE" w:rsidP="002316EE">
      <w:pPr>
        <w:spacing w:before="240"/>
      </w:pPr>
      <w:r w:rsidRPr="00CD2AB2">
        <w:t xml:space="preserve">The terms under which the Coat of Arms can be used are set out on the Department of the Prime Minister and Cabinet website (see </w:t>
      </w:r>
      <w:hyperlink r:id="rId22" w:history="1">
        <w:r w:rsidRPr="00CD2AB2">
          <w:rPr>
            <w:rStyle w:val="Hyperlink"/>
          </w:rPr>
          <w:t>http://www.pmc.gov.au/government/commonwealth-coat-arms</w:t>
        </w:r>
      </w:hyperlink>
      <w:r w:rsidRPr="00CD2AB2">
        <w:t>).</w:t>
      </w:r>
    </w:p>
    <w:p w14:paraId="5749C022" w14:textId="77777777" w:rsidR="002316EE" w:rsidRPr="00CD2AB2" w:rsidRDefault="002316EE" w:rsidP="002316EE">
      <w:pPr>
        <w:spacing w:before="240"/>
        <w:rPr>
          <w:b/>
        </w:rPr>
      </w:pPr>
      <w:r w:rsidRPr="00CD2AB2">
        <w:rPr>
          <w:b/>
        </w:rPr>
        <w:t>Other uses</w:t>
      </w:r>
    </w:p>
    <w:p w14:paraId="435CC752" w14:textId="77777777" w:rsidR="002316EE" w:rsidRPr="00CD2AB2" w:rsidRDefault="002316EE" w:rsidP="002316EE">
      <w:r w:rsidRPr="00CD2AB2">
        <w:t>Enquiries regarding this licence and any other use of this document are welcome at:</w:t>
      </w:r>
    </w:p>
    <w:p w14:paraId="59576F00" w14:textId="77777777" w:rsidR="002316EE" w:rsidRPr="00CD2AB2" w:rsidRDefault="002316EE" w:rsidP="002316EE">
      <w:pPr>
        <w:ind w:left="720"/>
        <w:rPr>
          <w:rStyle w:val="Hyperlink"/>
        </w:rPr>
      </w:pPr>
      <w:r w:rsidRPr="00CD2AB2">
        <w:t>Manager</w:t>
      </w:r>
      <w:r w:rsidRPr="00CD2AB2">
        <w:br/>
        <w:t>Media and Speeches Unit</w:t>
      </w:r>
      <w:r w:rsidRPr="00CD2AB2">
        <w:br/>
        <w:t>The Treasury</w:t>
      </w:r>
      <w:r w:rsidRPr="00CD2AB2">
        <w:br/>
        <w:t xml:space="preserve">Langton Crescent </w:t>
      </w:r>
      <w:r w:rsidRPr="00CD2AB2">
        <w:br/>
      </w:r>
      <w:proofErr w:type="gramStart"/>
      <w:r w:rsidRPr="00CD2AB2">
        <w:t>Parkes  ACT</w:t>
      </w:r>
      <w:proofErr w:type="gramEnd"/>
      <w:r w:rsidRPr="00CD2AB2">
        <w:t xml:space="preserve">  2600</w:t>
      </w:r>
      <w:r w:rsidRPr="00CD2AB2">
        <w:br/>
        <w:t xml:space="preserve">Email: </w:t>
      </w:r>
      <w:hyperlink r:id="rId23" w:history="1">
        <w:r w:rsidRPr="00CD2AB2">
          <w:rPr>
            <w:rStyle w:val="Hyperlink"/>
          </w:rPr>
          <w:t>media@treasury.gov.au</w:t>
        </w:r>
      </w:hyperlink>
      <w:r w:rsidRPr="00CD2AB2">
        <w:rPr>
          <w:rStyle w:val="Hyperlink"/>
        </w:rPr>
        <w:t xml:space="preserve"> </w:t>
      </w:r>
    </w:p>
    <w:p w14:paraId="39AE5BF2" w14:textId="77777777" w:rsidR="00812358" w:rsidRDefault="00812358">
      <w:pPr>
        <w:spacing w:before="0" w:after="160" w:line="259" w:lineRule="auto"/>
        <w:rPr>
          <w:rFonts w:ascii="Arial" w:eastAsiaTheme="majorEastAsia" w:hAnsi="Arial" w:cstheme="majorBidi"/>
          <w:b/>
          <w:bCs/>
          <w:color w:val="003865"/>
          <w:sz w:val="24"/>
          <w:szCs w:val="28"/>
          <w:lang w:eastAsia="en-US"/>
        </w:rPr>
        <w:sectPr w:rsidR="00812358" w:rsidSect="00144133">
          <w:type w:val="continuous"/>
          <w:pgSz w:w="11906" w:h="16838" w:code="9"/>
          <w:pgMar w:top="1417" w:right="1417" w:bottom="0" w:left="1417" w:header="709" w:footer="434" w:gutter="0"/>
          <w:cols w:space="708"/>
          <w:titlePg/>
          <w:docGrid w:linePitch="360"/>
        </w:sectPr>
      </w:pPr>
    </w:p>
    <w:p w14:paraId="5CEEA798" w14:textId="66CD5D9E" w:rsidR="009B570A" w:rsidRPr="00CD2AB2" w:rsidRDefault="009B570A">
      <w:pPr>
        <w:spacing w:before="0" w:after="160" w:line="259" w:lineRule="auto"/>
        <w:rPr>
          <w:rFonts w:ascii="Arial" w:eastAsiaTheme="majorEastAsia" w:hAnsi="Arial" w:cstheme="majorBidi"/>
          <w:b/>
          <w:bCs/>
          <w:color w:val="003865"/>
          <w:sz w:val="24"/>
          <w:szCs w:val="28"/>
          <w:lang w:eastAsia="en-US"/>
        </w:rPr>
      </w:pPr>
    </w:p>
    <w:p w14:paraId="2F6F0DC2" w14:textId="77777777" w:rsidR="00812358" w:rsidRDefault="00812358">
      <w:pPr>
        <w:spacing w:before="0" w:after="160" w:line="259" w:lineRule="auto"/>
        <w:rPr>
          <w:rFonts w:ascii="Arial" w:eastAsiaTheme="majorEastAsia" w:hAnsi="Arial" w:cstheme="majorBidi"/>
          <w:b/>
          <w:bCs/>
          <w:color w:val="003865"/>
          <w:sz w:val="24"/>
          <w:szCs w:val="28"/>
          <w:lang w:eastAsia="en-US"/>
        </w:rPr>
      </w:pPr>
      <w:r>
        <w:br w:type="page"/>
      </w:r>
    </w:p>
    <w:p w14:paraId="7019827B" w14:textId="710A33B8" w:rsidR="00AA1416" w:rsidRPr="00CD2AB2" w:rsidRDefault="00AE20CA" w:rsidP="00AA1416">
      <w:pPr>
        <w:pStyle w:val="TOCLevel2"/>
        <w:jc w:val="left"/>
      </w:pPr>
      <w:r w:rsidRPr="00CD2AB2">
        <w:lastRenderedPageBreak/>
        <w:t>Introduction</w:t>
      </w:r>
    </w:p>
    <w:p w14:paraId="7ABC49AA" w14:textId="7B094DC3" w:rsidR="00AE20CA" w:rsidRPr="00CD2AB2" w:rsidRDefault="00AE20CA" w:rsidP="00AA1416">
      <w:r w:rsidRPr="00CD2AB2">
        <w:t xml:space="preserve">The Australian Government welcomes the opportunity to respond to the </w:t>
      </w:r>
      <w:r w:rsidR="002F4450" w:rsidRPr="00CD2AB2">
        <w:t>findings and recommendations of the independent Statutory Review of the Consumer Data Right</w:t>
      </w:r>
      <w:r w:rsidR="00431C0E" w:rsidRPr="00CD2AB2">
        <w:t xml:space="preserve"> (CDR)</w:t>
      </w:r>
      <w:r w:rsidR="0043747D" w:rsidRPr="00CD2AB2">
        <w:t xml:space="preserve">. </w:t>
      </w:r>
      <w:r w:rsidR="00A935C2" w:rsidRPr="00CD2AB2">
        <w:t xml:space="preserve">The Government thanks </w:t>
      </w:r>
      <w:r w:rsidR="00DA7B9A" w:rsidRPr="00CD2AB2">
        <w:t xml:space="preserve">Elizabeth </w:t>
      </w:r>
      <w:r w:rsidR="00A935C2" w:rsidRPr="00CD2AB2">
        <w:t>Kelly</w:t>
      </w:r>
      <w:r w:rsidR="00DA7B9A" w:rsidRPr="00CD2AB2">
        <w:t xml:space="preserve"> PSM</w:t>
      </w:r>
      <w:r w:rsidR="00A935C2" w:rsidRPr="00CD2AB2">
        <w:t xml:space="preserve"> for her </w:t>
      </w:r>
      <w:r w:rsidR="00F67548" w:rsidRPr="00CD2AB2">
        <w:t xml:space="preserve">considered and </w:t>
      </w:r>
      <w:r w:rsidR="00A935C2" w:rsidRPr="00CD2AB2">
        <w:t xml:space="preserve">comprehensive </w:t>
      </w:r>
      <w:r w:rsidR="00FB2057" w:rsidRPr="00CD2AB2">
        <w:t>r</w:t>
      </w:r>
      <w:r w:rsidR="00A935C2" w:rsidRPr="00CD2AB2">
        <w:t>eview</w:t>
      </w:r>
      <w:r w:rsidR="009C36E8">
        <w:t xml:space="preserve"> to</w:t>
      </w:r>
      <w:r w:rsidR="00DA7B9A" w:rsidRPr="00CD2AB2">
        <w:t xml:space="preserve"> help</w:t>
      </w:r>
      <w:r w:rsidR="00F67548" w:rsidRPr="00CD2AB2">
        <w:t xml:space="preserve"> inform</w:t>
      </w:r>
      <w:r w:rsidR="00431C0E" w:rsidRPr="00CD2AB2">
        <w:t xml:space="preserve"> the</w:t>
      </w:r>
      <w:r w:rsidR="00A935C2" w:rsidRPr="00CD2AB2">
        <w:t xml:space="preserve"> future </w:t>
      </w:r>
      <w:r w:rsidR="00344B40" w:rsidRPr="00CD2AB2">
        <w:t xml:space="preserve">direction </w:t>
      </w:r>
      <w:r w:rsidR="00A935C2" w:rsidRPr="00CD2AB2">
        <w:t>of the CDR.</w:t>
      </w:r>
    </w:p>
    <w:p w14:paraId="7681B494" w14:textId="76DFED8B" w:rsidR="00506C3E" w:rsidRPr="00CD2AB2" w:rsidRDefault="00EB38AC" w:rsidP="00AA23FD">
      <w:pPr>
        <w:pStyle w:val="OutlineNumbered1"/>
        <w:numPr>
          <w:ilvl w:val="0"/>
          <w:numId w:val="0"/>
        </w:numPr>
      </w:pPr>
      <w:r w:rsidRPr="00CD2AB2">
        <w:t xml:space="preserve">The CDR is an economic reform that </w:t>
      </w:r>
      <w:r w:rsidR="000E76EB" w:rsidRPr="00CD2AB2">
        <w:t>gives consumers the ability to more safely share the data</w:t>
      </w:r>
      <w:r w:rsidR="0021557A" w:rsidRPr="00CD2AB2">
        <w:t xml:space="preserve"> that</w:t>
      </w:r>
      <w:r w:rsidRPr="00CD2AB2">
        <w:t xml:space="preserve"> Australian businesses hold about them for their own benefit. </w:t>
      </w:r>
      <w:r w:rsidR="005B5435" w:rsidRPr="00CD2AB2">
        <w:t>The CDR</w:t>
      </w:r>
      <w:r w:rsidR="00C81E89" w:rsidRPr="00CD2AB2">
        <w:t xml:space="preserve"> </w:t>
      </w:r>
      <w:r w:rsidR="008C7B41" w:rsidRPr="00CD2AB2">
        <w:t>help</w:t>
      </w:r>
      <w:r w:rsidR="009F5F42" w:rsidRPr="00CD2AB2">
        <w:t>s</w:t>
      </w:r>
      <w:r w:rsidR="008C7B41" w:rsidRPr="00CD2AB2">
        <w:t xml:space="preserve"> </w:t>
      </w:r>
      <w:r w:rsidR="003F5E9C" w:rsidRPr="00CD2AB2">
        <w:t>individuals, households and small businesses</w:t>
      </w:r>
      <w:r w:rsidR="00C57BD4" w:rsidRPr="00CD2AB2">
        <w:t xml:space="preserve"> get the most out of their data to</w:t>
      </w:r>
      <w:r w:rsidR="003F5E9C" w:rsidRPr="00CD2AB2">
        <w:t xml:space="preserve"> </w:t>
      </w:r>
      <w:r w:rsidR="00A4774B" w:rsidRPr="00CD2AB2">
        <w:t xml:space="preserve">save money and </w:t>
      </w:r>
      <w:r w:rsidR="008C7B41" w:rsidRPr="00CD2AB2">
        <w:t>have easier access to products and services that meet their needs.</w:t>
      </w:r>
      <w:r w:rsidR="00335C7F" w:rsidRPr="00CD2AB2">
        <w:t xml:space="preserve"> </w:t>
      </w:r>
      <w:r w:rsidR="008C7B41" w:rsidRPr="00CD2AB2">
        <w:t>The CDR provides opportunities and jobs for Australian tech</w:t>
      </w:r>
      <w:r w:rsidR="00F33C10" w:rsidRPr="00CD2AB2">
        <w:t>nology</w:t>
      </w:r>
      <w:r w:rsidR="008C7B41" w:rsidRPr="00CD2AB2">
        <w:t xml:space="preserve"> companies and other data-driven service providers, facilitating responsible innovation through the creation and delivery of safer digital goods and services.</w:t>
      </w:r>
      <w:r w:rsidR="002014AA" w:rsidRPr="00CD2AB2">
        <w:t xml:space="preserve"> </w:t>
      </w:r>
      <w:r w:rsidR="00BC3984" w:rsidRPr="00CD2AB2">
        <w:t>It also</w:t>
      </w:r>
      <w:r w:rsidR="00AA23FD" w:rsidRPr="00CD2AB2">
        <w:t xml:space="preserve"> provides a more secure alternative to data sharing practices such as screen scraping (which involves sharing consumer passwords and login details with a third-party provider).</w:t>
      </w:r>
    </w:p>
    <w:p w14:paraId="505AF635" w14:textId="7ED32E62" w:rsidR="006A756E" w:rsidRPr="00CD2AB2" w:rsidRDefault="55934E97" w:rsidP="006A756E">
      <w:r w:rsidRPr="00CD2AB2">
        <w:t>An independent Statutory Review of the CD</w:t>
      </w:r>
      <w:r w:rsidR="7EB13C58" w:rsidRPr="00CD2AB2">
        <w:t>R</w:t>
      </w:r>
      <w:r w:rsidRPr="00CD2AB2">
        <w:t xml:space="preserve"> </w:t>
      </w:r>
      <w:r w:rsidR="00F19344" w:rsidRPr="00CD2AB2">
        <w:t>was</w:t>
      </w:r>
      <w:r w:rsidRPr="00CD2AB2">
        <w:t xml:space="preserve"> initiated under part IVD of the </w:t>
      </w:r>
      <w:r w:rsidRPr="4B2D0FD9">
        <w:rPr>
          <w:i/>
          <w:iCs/>
        </w:rPr>
        <w:t>Competition and Consumer Act 2010</w:t>
      </w:r>
      <w:r w:rsidR="00F19344" w:rsidRPr="4B2D0FD9">
        <w:rPr>
          <w:rFonts w:cstheme="majorBidi"/>
        </w:rPr>
        <w:t xml:space="preserve"> and </w:t>
      </w:r>
      <w:r w:rsidR="41258624" w:rsidRPr="4B2D0FD9">
        <w:rPr>
          <w:rFonts w:cstheme="majorBidi"/>
        </w:rPr>
        <w:t xml:space="preserve">released on 29 September 2022. </w:t>
      </w:r>
      <w:r w:rsidR="3908FDBF" w:rsidRPr="00CD2AB2">
        <w:t>T</w:t>
      </w:r>
      <w:r w:rsidRPr="00CD2AB2">
        <w:t xml:space="preserve">he </w:t>
      </w:r>
      <w:r w:rsidR="3EF9CDCC" w:rsidRPr="00CD2AB2">
        <w:t>Review</w:t>
      </w:r>
      <w:r w:rsidR="00AA1416" w:rsidRPr="00CD2AB2">
        <w:rPr>
          <w:rStyle w:val="FootnoteReference"/>
        </w:rPr>
        <w:footnoteReference w:id="2"/>
      </w:r>
      <w:r w:rsidRPr="00CD2AB2">
        <w:t xml:space="preserve"> explored questions related to the extent to which implementation of the CDR statutory </w:t>
      </w:r>
      <w:r w:rsidRPr="4B2D0FD9">
        <w:rPr>
          <w:rFonts w:cstheme="majorBidi"/>
        </w:rPr>
        <w:t>framework supports</w:t>
      </w:r>
      <w:r w:rsidR="38EEE9F8" w:rsidRPr="4B2D0FD9">
        <w:rPr>
          <w:rFonts w:cstheme="majorBidi"/>
        </w:rPr>
        <w:t xml:space="preserve"> </w:t>
      </w:r>
      <w:r w:rsidRPr="4B2D0FD9">
        <w:rPr>
          <w:rFonts w:cstheme="majorBidi"/>
        </w:rPr>
        <w:t>its</w:t>
      </w:r>
      <w:r w:rsidR="4F57C814" w:rsidRPr="4B2D0FD9">
        <w:rPr>
          <w:rFonts w:cstheme="majorBidi"/>
        </w:rPr>
        <w:t xml:space="preserve"> future evolution</w:t>
      </w:r>
      <w:r w:rsidRPr="4B2D0FD9">
        <w:rPr>
          <w:rFonts w:cstheme="majorBidi"/>
        </w:rPr>
        <w:t xml:space="preserve">. </w:t>
      </w:r>
    </w:p>
    <w:p w14:paraId="4E3B98B3" w14:textId="06A75087" w:rsidR="00D25C17" w:rsidRPr="00CD2AB2" w:rsidRDefault="00D25C17" w:rsidP="00362209">
      <w:pPr>
        <w:pStyle w:val="Bullet"/>
        <w:numPr>
          <w:ilvl w:val="0"/>
          <w:numId w:val="0"/>
        </w:numPr>
        <w:tabs>
          <w:tab w:val="left" w:pos="720"/>
        </w:tabs>
        <w:rPr>
          <w:rFonts w:cstheme="majorBidi"/>
        </w:rPr>
      </w:pPr>
      <w:r w:rsidRPr="00CD2AB2">
        <w:t xml:space="preserve">The Review noted that the CDR is at a critical point in its implementation, and that </w:t>
      </w:r>
      <w:r w:rsidRPr="00CD2AB2">
        <w:rPr>
          <w:rFonts w:cstheme="majorBidi"/>
        </w:rPr>
        <w:t>consumers’ collective and individual benefit should remain the system’s primary objective</w:t>
      </w:r>
      <w:r w:rsidR="00B05478" w:rsidRPr="00CD2AB2">
        <w:rPr>
          <w:rFonts w:cstheme="majorBidi"/>
        </w:rPr>
        <w:t xml:space="preserve">, </w:t>
      </w:r>
      <w:r w:rsidRPr="00CD2AB2">
        <w:rPr>
          <w:rFonts w:cstheme="majorBidi"/>
        </w:rPr>
        <w:t>factor</w:t>
      </w:r>
      <w:r w:rsidR="00B05478" w:rsidRPr="00CD2AB2">
        <w:rPr>
          <w:rFonts w:cstheme="majorBidi"/>
        </w:rPr>
        <w:t>ing</w:t>
      </w:r>
      <w:r w:rsidRPr="00CD2AB2">
        <w:rPr>
          <w:rFonts w:cstheme="majorBidi"/>
        </w:rPr>
        <w:t xml:space="preserve"> significantly in its future development. </w:t>
      </w:r>
    </w:p>
    <w:p w14:paraId="19C71E32" w14:textId="49E5048A" w:rsidR="00362209" w:rsidRPr="00CD2AB2" w:rsidRDefault="0034146F" w:rsidP="00362209">
      <w:pPr>
        <w:pStyle w:val="Bullet"/>
        <w:numPr>
          <w:ilvl w:val="0"/>
          <w:numId w:val="0"/>
        </w:numPr>
        <w:tabs>
          <w:tab w:val="left" w:pos="720"/>
        </w:tabs>
      </w:pPr>
      <w:r w:rsidRPr="00CD2AB2">
        <w:t>The Review found that the CDR's statutory framework ha</w:t>
      </w:r>
      <w:r w:rsidR="00BC3C6C" w:rsidRPr="00CD2AB2">
        <w:t>s</w:t>
      </w:r>
      <w:r w:rsidRPr="00CD2AB2">
        <w:t xml:space="preserve"> so far been broadly effective in supporting the CDR's rollout, is sufficiently flexible and robust to accommodate further changes to achieve policy objectives and has scope to further explore its limits as the CDR develops. </w:t>
      </w:r>
      <w:r w:rsidR="00FF1FC0" w:rsidRPr="00CD2AB2">
        <w:t xml:space="preserve">The report's 16 recommendations and 15 findings provided reflections on the implementation of the CDR to date and suggest developments that could improve </w:t>
      </w:r>
      <w:r w:rsidR="00531777" w:rsidRPr="00CD2AB2">
        <w:t xml:space="preserve">the </w:t>
      </w:r>
      <w:r w:rsidR="00FF1FC0" w:rsidRPr="00CD2AB2">
        <w:t>CDR into the future.</w:t>
      </w:r>
      <w:r w:rsidR="00362209" w:rsidRPr="00CD2AB2">
        <w:t xml:space="preserve"> </w:t>
      </w:r>
    </w:p>
    <w:p w14:paraId="102703A5" w14:textId="43FC015B" w:rsidR="00F65F1D" w:rsidRPr="00CD2AB2" w:rsidRDefault="00F65F1D" w:rsidP="00362209">
      <w:pPr>
        <w:pStyle w:val="Bullet"/>
        <w:numPr>
          <w:ilvl w:val="0"/>
          <w:numId w:val="0"/>
        </w:numPr>
        <w:tabs>
          <w:tab w:val="left" w:pos="720"/>
        </w:tabs>
      </w:pPr>
      <w:r w:rsidRPr="00CD2AB2">
        <w:t xml:space="preserve">The Review involved wide-ranging consultation. </w:t>
      </w:r>
      <w:r w:rsidR="006752C7" w:rsidRPr="00CD2AB2">
        <w:t>Forty-six</w:t>
      </w:r>
      <w:r w:rsidRPr="00CD2AB2">
        <w:t xml:space="preserve"> submissions were received in response to an issues paper published on 16 March 2022. To supplement information gathered through formal submissions, engagements were held with representatives from industry, consumer and privacy advocates, banks, </w:t>
      </w:r>
      <w:proofErr w:type="spellStart"/>
      <w:r w:rsidRPr="00CD2AB2">
        <w:t>fintechs</w:t>
      </w:r>
      <w:proofErr w:type="spellEnd"/>
      <w:r w:rsidRPr="00CD2AB2">
        <w:t>, subject area experts, government agencies and regulators, and other interested parties.</w:t>
      </w:r>
    </w:p>
    <w:p w14:paraId="49F0910D" w14:textId="4BAC45D8" w:rsidR="00AA1416" w:rsidRPr="00CD2AB2" w:rsidRDefault="0093420F" w:rsidP="00AA1416">
      <w:pPr>
        <w:pStyle w:val="TOCLevel2"/>
        <w:jc w:val="left"/>
      </w:pPr>
      <w:r w:rsidRPr="00CD2AB2">
        <w:t xml:space="preserve">Australian Government </w:t>
      </w:r>
      <w:r w:rsidR="00AD5E6C" w:rsidRPr="00CD2AB2">
        <w:t>r</w:t>
      </w:r>
      <w:r w:rsidRPr="00CD2AB2">
        <w:t>esponse</w:t>
      </w:r>
    </w:p>
    <w:p w14:paraId="2740DCAF" w14:textId="4FFA0408" w:rsidR="00510338" w:rsidRPr="00CD2AB2" w:rsidRDefault="2D638912" w:rsidP="00901820">
      <w:pPr>
        <w:pStyle w:val="OutlineNumbered1"/>
        <w:numPr>
          <w:ilvl w:val="0"/>
          <w:numId w:val="0"/>
        </w:numPr>
      </w:pPr>
      <w:r>
        <w:t xml:space="preserve">The Government is committed to ensuring Australia’s CDR framework continues to develop </w:t>
      </w:r>
      <w:r w:rsidR="420F373D">
        <w:t>as safe and secure</w:t>
      </w:r>
      <w:r w:rsidR="29C2D9F9">
        <w:t xml:space="preserve"> </w:t>
      </w:r>
      <w:r w:rsidR="24A3721F">
        <w:t>infrastructure for the data</w:t>
      </w:r>
      <w:r>
        <w:t xml:space="preserve"> economy </w:t>
      </w:r>
      <w:r w:rsidR="154D899C">
        <w:t>so that consumers have</w:t>
      </w:r>
      <w:r>
        <w:t xml:space="preserve"> trusted ways to use their transaction data to better manage their money and save time. </w:t>
      </w:r>
    </w:p>
    <w:p w14:paraId="414ED752" w14:textId="432E377A" w:rsidR="003249AC" w:rsidRPr="00CD2AB2" w:rsidRDefault="1049C29C" w:rsidP="00901820">
      <w:pPr>
        <w:spacing w:before="0"/>
      </w:pPr>
      <w:r w:rsidRPr="00CD2AB2">
        <w:t xml:space="preserve">The </w:t>
      </w:r>
      <w:r w:rsidR="139C6348" w:rsidRPr="00CD2AB2">
        <w:t xml:space="preserve">Government </w:t>
      </w:r>
      <w:r w:rsidR="0C6BC6BF" w:rsidRPr="00CD2AB2">
        <w:t xml:space="preserve">is already progressing many of the Review’s recommendations and </w:t>
      </w:r>
      <w:r w:rsidR="4DBF53FB" w:rsidRPr="00CD2AB2">
        <w:t>has continued its commitment to the C</w:t>
      </w:r>
      <w:r w:rsidR="02BD42C5" w:rsidRPr="00CD2AB2">
        <w:t>DR</w:t>
      </w:r>
      <w:r w:rsidR="62D96AE9" w:rsidRPr="00CD2AB2">
        <w:t xml:space="preserve"> in </w:t>
      </w:r>
      <w:r w:rsidR="49C8C066" w:rsidRPr="00CD2AB2">
        <w:t>the</w:t>
      </w:r>
      <w:r w:rsidR="62D96AE9" w:rsidRPr="00CD2AB2">
        <w:t xml:space="preserve"> 2023-24</w:t>
      </w:r>
      <w:r w:rsidR="49C8C066" w:rsidRPr="00CD2AB2">
        <w:t xml:space="preserve"> </w:t>
      </w:r>
      <w:r w:rsidR="62D96AE9" w:rsidRPr="00CD2AB2">
        <w:t>Budget</w:t>
      </w:r>
      <w:r w:rsidR="4F468763" w:rsidRPr="00CD2AB2">
        <w:t>.</w:t>
      </w:r>
      <w:r w:rsidR="4DBF53FB" w:rsidRPr="00CD2AB2">
        <w:t xml:space="preserve"> </w:t>
      </w:r>
      <w:r w:rsidR="51CFC52B" w:rsidRPr="00CD2AB2">
        <w:t>An</w:t>
      </w:r>
      <w:r w:rsidR="4DBF53FB" w:rsidRPr="00CD2AB2">
        <w:t xml:space="preserve"> investment </w:t>
      </w:r>
      <w:r w:rsidR="62D96AE9" w:rsidRPr="00CD2AB2">
        <w:t>of $88.8 million over two years</w:t>
      </w:r>
      <w:r w:rsidR="489DF2BA" w:rsidRPr="00CD2AB2">
        <w:t xml:space="preserve"> </w:t>
      </w:r>
      <w:r w:rsidR="51CFC52B" w:rsidRPr="00CD2AB2">
        <w:t>will</w:t>
      </w:r>
      <w:r w:rsidR="489DF2BA" w:rsidRPr="00CD2AB2">
        <w:t xml:space="preserve"> </w:t>
      </w:r>
      <w:r w:rsidR="56ED1633" w:rsidRPr="00CD2AB2">
        <w:t>support the</w:t>
      </w:r>
      <w:r w:rsidR="489DF2BA" w:rsidRPr="00CD2AB2">
        <w:t xml:space="preserve"> CDR in banking</w:t>
      </w:r>
      <w:r w:rsidR="1B653048" w:rsidRPr="00CD2AB2">
        <w:t xml:space="preserve"> and</w:t>
      </w:r>
      <w:r w:rsidR="489DF2BA" w:rsidRPr="00CD2AB2">
        <w:t xml:space="preserve"> energy</w:t>
      </w:r>
      <w:r w:rsidR="56ED1633" w:rsidRPr="00CD2AB2">
        <w:t>, progress expansion to</w:t>
      </w:r>
      <w:r w:rsidR="489DF2BA" w:rsidRPr="00CD2AB2">
        <w:t xml:space="preserve"> non</w:t>
      </w:r>
      <w:r w:rsidR="00DF1AAB" w:rsidRPr="00CD2AB2">
        <w:noBreakHyphen/>
      </w:r>
      <w:r w:rsidR="489DF2BA" w:rsidRPr="00CD2AB2">
        <w:t xml:space="preserve">bank lending, </w:t>
      </w:r>
      <w:r w:rsidR="508FCC07" w:rsidRPr="00CD2AB2">
        <w:t>progress the design of action initiation</w:t>
      </w:r>
      <w:r w:rsidR="02BD42C5" w:rsidRPr="00CD2AB2">
        <w:t>,</w:t>
      </w:r>
      <w:r w:rsidR="508FCC07" w:rsidRPr="00CD2AB2">
        <w:t xml:space="preserve"> </w:t>
      </w:r>
      <w:r w:rsidR="00C47005" w:rsidRPr="00CD2AB2">
        <w:t xml:space="preserve">deliver cyber security </w:t>
      </w:r>
      <w:r w:rsidR="00C47005">
        <w:t>enhancements, and</w:t>
      </w:r>
      <w:r w:rsidR="00C47005" w:rsidRPr="00CD2AB2">
        <w:t xml:space="preserve"> </w:t>
      </w:r>
      <w:r w:rsidR="1600E9B3" w:rsidRPr="00CD2AB2">
        <w:t xml:space="preserve">develop a trust brand strategy that </w:t>
      </w:r>
      <w:r w:rsidR="56ED1633" w:rsidRPr="00CD2AB2">
        <w:t>will support consumer confidence</w:t>
      </w:r>
      <w:r w:rsidR="1600E9B3" w:rsidRPr="00CD2AB2">
        <w:t xml:space="preserve"> in the CDR</w:t>
      </w:r>
      <w:r w:rsidR="56ED1633" w:rsidRPr="00CD2AB2">
        <w:t xml:space="preserve">. </w:t>
      </w:r>
    </w:p>
    <w:p w14:paraId="2BD0CC0A" w14:textId="2EF1B43B" w:rsidR="00D82A39" w:rsidRPr="00CD2AB2" w:rsidRDefault="00D82A39" w:rsidP="00901820">
      <w:pPr>
        <w:spacing w:before="0"/>
        <w:rPr>
          <w:b/>
          <w:bCs/>
        </w:rPr>
      </w:pPr>
      <w:r w:rsidRPr="00CD2AB2">
        <w:rPr>
          <w:b/>
          <w:bCs/>
        </w:rPr>
        <w:t>Supporting the CDR to mature in banking and energy</w:t>
      </w:r>
    </w:p>
    <w:p w14:paraId="6399A63D" w14:textId="658CA0E4" w:rsidR="008710EE" w:rsidRPr="00CD2AB2" w:rsidRDefault="00854289" w:rsidP="008710EE">
      <w:pPr>
        <w:pStyle w:val="Bullet"/>
        <w:numPr>
          <w:ilvl w:val="0"/>
          <w:numId w:val="0"/>
        </w:numPr>
        <w:tabs>
          <w:tab w:val="left" w:pos="720"/>
        </w:tabs>
      </w:pPr>
      <w:r w:rsidRPr="00CD2AB2">
        <w:rPr>
          <w:rFonts w:asciiTheme="minorHAnsi" w:hAnsiTheme="minorHAnsi" w:cstheme="minorBidi"/>
          <w:szCs w:val="22"/>
        </w:rPr>
        <w:t xml:space="preserve">The Review supported a staged expansion to new sectors, noting the scheme would benefit </w:t>
      </w:r>
      <w:proofErr w:type="gramStart"/>
      <w:r w:rsidRPr="00CD2AB2">
        <w:rPr>
          <w:rFonts w:asciiTheme="minorHAnsi" w:hAnsiTheme="minorHAnsi" w:cstheme="minorBidi"/>
          <w:szCs w:val="22"/>
        </w:rPr>
        <w:t>from  allow</w:t>
      </w:r>
      <w:r w:rsidR="0064466C">
        <w:rPr>
          <w:rFonts w:asciiTheme="minorHAnsi" w:hAnsiTheme="minorHAnsi" w:cstheme="minorBidi"/>
          <w:szCs w:val="22"/>
        </w:rPr>
        <w:t>ing</w:t>
      </w:r>
      <w:proofErr w:type="gramEnd"/>
      <w:r w:rsidRPr="00CD2AB2">
        <w:rPr>
          <w:rFonts w:asciiTheme="minorHAnsi" w:hAnsiTheme="minorHAnsi" w:cstheme="minorBidi"/>
          <w:szCs w:val="22"/>
        </w:rPr>
        <w:t xml:space="preserve"> the system to mature</w:t>
      </w:r>
      <w:r w:rsidR="002035EC" w:rsidRPr="00CD2AB2">
        <w:rPr>
          <w:rFonts w:asciiTheme="minorHAnsi" w:hAnsiTheme="minorHAnsi" w:cstheme="minorBidi"/>
          <w:szCs w:val="22"/>
        </w:rPr>
        <w:t>:</w:t>
      </w:r>
      <w:r w:rsidRPr="00CD2AB2">
        <w:rPr>
          <w:rFonts w:asciiTheme="minorHAnsi" w:hAnsiTheme="minorHAnsi" w:cstheme="minorBidi"/>
          <w:szCs w:val="22"/>
        </w:rPr>
        <w:t xml:space="preserve"> </w:t>
      </w:r>
      <w:r w:rsidR="000C564E" w:rsidRPr="00CD2AB2">
        <w:rPr>
          <w:rFonts w:asciiTheme="minorHAnsi" w:hAnsiTheme="minorHAnsi" w:cstheme="minorBidi"/>
          <w:szCs w:val="22"/>
        </w:rPr>
        <w:t>‘</w:t>
      </w:r>
      <w:r w:rsidRPr="00CD2AB2">
        <w:rPr>
          <w:rFonts w:asciiTheme="minorHAnsi" w:hAnsiTheme="minorHAnsi" w:cstheme="minorBidi"/>
          <w:szCs w:val="22"/>
        </w:rPr>
        <w:t>the pace of CDR rollout into new sectors has not allowed enough time for the system to mature and capitalise on the lessons learnt. Focusing on improving CDR functionality and data quality within already designated sectors should be prioritised, balanced with overall forward momentum into new sectors over time</w:t>
      </w:r>
      <w:r w:rsidR="000C564E" w:rsidRPr="00CD2AB2">
        <w:rPr>
          <w:rFonts w:asciiTheme="minorHAnsi" w:hAnsiTheme="minorHAnsi" w:cstheme="minorBidi"/>
          <w:szCs w:val="22"/>
        </w:rPr>
        <w:t>’</w:t>
      </w:r>
      <w:r w:rsidR="008710EE" w:rsidRPr="00CD2AB2">
        <w:rPr>
          <w:rFonts w:asciiTheme="minorHAnsi" w:hAnsiTheme="minorHAnsi" w:cstheme="minorBidi"/>
          <w:szCs w:val="22"/>
        </w:rPr>
        <w:t xml:space="preserve"> </w:t>
      </w:r>
      <w:r w:rsidR="002035EC" w:rsidRPr="00CD2AB2">
        <w:rPr>
          <w:rFonts w:asciiTheme="minorHAnsi" w:hAnsiTheme="minorHAnsi" w:cstheme="minorBidi"/>
          <w:szCs w:val="22"/>
        </w:rPr>
        <w:t>(</w:t>
      </w:r>
      <w:r w:rsidR="00261581">
        <w:rPr>
          <w:rFonts w:asciiTheme="minorHAnsi" w:hAnsiTheme="minorHAnsi" w:cstheme="minorBidi"/>
          <w:szCs w:val="22"/>
        </w:rPr>
        <w:t>R</w:t>
      </w:r>
      <w:r w:rsidR="002035EC" w:rsidRPr="00CD2AB2">
        <w:rPr>
          <w:rFonts w:asciiTheme="minorHAnsi" w:hAnsiTheme="minorHAnsi" w:cstheme="minorBidi"/>
          <w:szCs w:val="22"/>
        </w:rPr>
        <w:t xml:space="preserve">ecommendation 2.5). </w:t>
      </w:r>
      <w:r w:rsidR="008710EE" w:rsidRPr="00CD2AB2">
        <w:rPr>
          <w:rFonts w:asciiTheme="minorHAnsi" w:hAnsiTheme="minorHAnsi" w:cstheme="minorBidi"/>
          <w:szCs w:val="22"/>
        </w:rPr>
        <w:t xml:space="preserve"> </w:t>
      </w:r>
    </w:p>
    <w:p w14:paraId="18364EF0" w14:textId="51D79E4F" w:rsidR="008710EE" w:rsidRPr="00CD2AB2" w:rsidRDefault="66E5E644" w:rsidP="008710EE">
      <w:pPr>
        <w:pStyle w:val="Bullet"/>
        <w:numPr>
          <w:ilvl w:val="0"/>
          <w:numId w:val="0"/>
        </w:numPr>
        <w:spacing w:before="80" w:after="0"/>
      </w:pPr>
      <w:r w:rsidRPr="00CD2AB2">
        <w:lastRenderedPageBreak/>
        <w:t xml:space="preserve">The Government has committed funding through Budget 2023-2024 for CDR agencies to </w:t>
      </w:r>
      <w:r w:rsidR="3D94DF2F" w:rsidRPr="00CD2AB2">
        <w:t xml:space="preserve">continue </w:t>
      </w:r>
      <w:r w:rsidRPr="00CD2AB2">
        <w:t>support</w:t>
      </w:r>
      <w:r w:rsidR="3D94DF2F" w:rsidRPr="00CD2AB2">
        <w:t xml:space="preserve">ing </w:t>
      </w:r>
      <w:r w:rsidR="093AD1F8" w:rsidRPr="00CD2AB2">
        <w:t>CDR operations</w:t>
      </w:r>
      <w:r w:rsidRPr="00CD2AB2">
        <w:t xml:space="preserve"> in banking and energy. </w:t>
      </w:r>
      <w:r w:rsidR="3F75A157" w:rsidRPr="00CD2AB2">
        <w:t>CDR agencies will continue to work</w:t>
      </w:r>
      <w:r w:rsidR="297FABF2" w:rsidRPr="00CD2AB2">
        <w:t xml:space="preserve"> closely</w:t>
      </w:r>
      <w:r w:rsidR="527FECD7" w:rsidRPr="00CD2AB2">
        <w:t xml:space="preserve"> with </w:t>
      </w:r>
      <w:r w:rsidR="297FABF2" w:rsidRPr="00CD2AB2">
        <w:t>data holders to improve</w:t>
      </w:r>
      <w:r w:rsidR="7DC3A0DC" w:rsidRPr="00CD2AB2">
        <w:t xml:space="preserve"> </w:t>
      </w:r>
      <w:r w:rsidR="3F5A49CE" w:rsidRPr="00CD2AB2">
        <w:t>data quality</w:t>
      </w:r>
      <w:r w:rsidR="297FABF2" w:rsidRPr="00CD2AB2">
        <w:t xml:space="preserve"> </w:t>
      </w:r>
      <w:r w:rsidR="3F5A49CE" w:rsidRPr="00CD2AB2">
        <w:t>so</w:t>
      </w:r>
      <w:r w:rsidR="297FABF2" w:rsidRPr="00CD2AB2">
        <w:t xml:space="preserve"> that CDR data is accurate and reliable</w:t>
      </w:r>
      <w:r w:rsidR="0B436648" w:rsidRPr="00CD2AB2">
        <w:t xml:space="preserve">. This will </w:t>
      </w:r>
      <w:r w:rsidR="297FABF2" w:rsidRPr="00CD2AB2">
        <w:t xml:space="preserve">further </w:t>
      </w:r>
      <w:r w:rsidR="527FECD7" w:rsidRPr="00CD2AB2">
        <w:t>drive</w:t>
      </w:r>
      <w:r w:rsidR="7DC3A0DC" w:rsidRPr="00CD2AB2">
        <w:t xml:space="preserve"> industry </w:t>
      </w:r>
      <w:r w:rsidR="7F093F77" w:rsidRPr="00CD2AB2">
        <w:t>development of CDR</w:t>
      </w:r>
      <w:r w:rsidR="00901820" w:rsidRPr="00CD2AB2">
        <w:noBreakHyphen/>
      </w:r>
      <w:r w:rsidR="7F093F77" w:rsidRPr="00CD2AB2">
        <w:t>enabled products and services</w:t>
      </w:r>
      <w:r w:rsidR="297FABF2" w:rsidRPr="00CD2AB2">
        <w:t xml:space="preserve"> </w:t>
      </w:r>
      <w:r w:rsidR="02A44FEE" w:rsidRPr="00CD2AB2">
        <w:t xml:space="preserve">to benefit consumers </w:t>
      </w:r>
      <w:r w:rsidR="297FABF2" w:rsidRPr="00CD2AB2">
        <w:t>and enable the</w:t>
      </w:r>
      <w:r w:rsidR="7DC3A0DC" w:rsidRPr="00CD2AB2">
        <w:t xml:space="preserve"> CDR </w:t>
      </w:r>
      <w:r w:rsidR="297FABF2" w:rsidRPr="00CD2AB2">
        <w:t xml:space="preserve">to </w:t>
      </w:r>
      <w:r w:rsidR="7DC3A0DC" w:rsidRPr="4B2D0FD9">
        <w:rPr>
          <w:rFonts w:cstheme="minorBidi"/>
        </w:rPr>
        <w:t xml:space="preserve">become </w:t>
      </w:r>
      <w:r w:rsidR="27DE67F1" w:rsidRPr="4B2D0FD9">
        <w:rPr>
          <w:rFonts w:cstheme="minorBidi"/>
        </w:rPr>
        <w:t xml:space="preserve">the alternative </w:t>
      </w:r>
      <w:r w:rsidR="6BA3E45B" w:rsidRPr="4B2D0FD9">
        <w:rPr>
          <w:rFonts w:cstheme="minorBidi"/>
        </w:rPr>
        <w:t>of choice</w:t>
      </w:r>
      <w:r w:rsidR="7DC3A0DC" w:rsidRPr="4B2D0FD9">
        <w:rPr>
          <w:rFonts w:cstheme="minorBidi"/>
        </w:rPr>
        <w:t xml:space="preserve"> </w:t>
      </w:r>
      <w:r w:rsidR="09475107" w:rsidRPr="4B2D0FD9">
        <w:rPr>
          <w:rFonts w:cstheme="minorBidi"/>
        </w:rPr>
        <w:t xml:space="preserve">over </w:t>
      </w:r>
      <w:r w:rsidR="7DC3A0DC" w:rsidRPr="4B2D0FD9">
        <w:rPr>
          <w:rFonts w:cstheme="minorBidi"/>
        </w:rPr>
        <w:t>unsafe practices like screen scraping.</w:t>
      </w:r>
      <w:r w:rsidR="4F72E6CC" w:rsidRPr="4B2D0FD9">
        <w:rPr>
          <w:rFonts w:cstheme="minorBidi"/>
        </w:rPr>
        <w:t xml:space="preserve"> </w:t>
      </w:r>
    </w:p>
    <w:p w14:paraId="42FDCEAA" w14:textId="74CE7A2D" w:rsidR="00A215A3" w:rsidRPr="00CD2AB2" w:rsidRDefault="000D0119" w:rsidP="00A215A3">
      <w:pPr>
        <w:pStyle w:val="Bullet"/>
        <w:numPr>
          <w:ilvl w:val="0"/>
          <w:numId w:val="0"/>
        </w:numPr>
        <w:spacing w:before="80" w:after="0"/>
      </w:pPr>
      <w:r w:rsidRPr="00CD2AB2">
        <w:t>Following</w:t>
      </w:r>
      <w:r w:rsidR="00A215A3" w:rsidRPr="00CD2AB2">
        <w:t xml:space="preserve"> </w:t>
      </w:r>
      <w:r w:rsidR="00794F29" w:rsidRPr="00CD2AB2">
        <w:t>the</w:t>
      </w:r>
      <w:r w:rsidR="00A215A3" w:rsidRPr="00CD2AB2">
        <w:t xml:space="preserve"> introduction </w:t>
      </w:r>
      <w:r w:rsidR="00794F29" w:rsidRPr="00CD2AB2">
        <w:t xml:space="preserve">of the CDR </w:t>
      </w:r>
      <w:r w:rsidR="00A215A3" w:rsidRPr="00CD2AB2">
        <w:t xml:space="preserve">in the banking sector, we </w:t>
      </w:r>
      <w:r w:rsidR="00BB2FC3" w:rsidRPr="00CD2AB2">
        <w:t>now see</w:t>
      </w:r>
      <w:r w:rsidR="003109A4" w:rsidRPr="00CD2AB2">
        <w:t xml:space="preserve"> development of</w:t>
      </w:r>
      <w:r w:rsidR="00A215A3" w:rsidRPr="00CD2AB2">
        <w:t xml:space="preserve"> CDR</w:t>
      </w:r>
      <w:r w:rsidR="00943396">
        <w:noBreakHyphen/>
      </w:r>
      <w:r w:rsidR="00A215A3" w:rsidRPr="00CD2AB2">
        <w:t>enabled products that allow consumers to better manage their money</w:t>
      </w:r>
      <w:r w:rsidR="003109A4" w:rsidRPr="00CD2AB2">
        <w:t xml:space="preserve"> and save time</w:t>
      </w:r>
      <w:r w:rsidR="00A215A3" w:rsidRPr="00CD2AB2">
        <w:t>. The continued rollout of the CDR to the energy sector will provide new ways for Australians to manage their energy expenditure and find ways to save money and benefit the environment.</w:t>
      </w:r>
    </w:p>
    <w:p w14:paraId="2042B29A" w14:textId="5DBF1DBC" w:rsidR="00901820" w:rsidRPr="00CD2AB2" w:rsidRDefault="00901820" w:rsidP="00AA23FD">
      <w:pPr>
        <w:pStyle w:val="Bullet"/>
        <w:numPr>
          <w:ilvl w:val="0"/>
          <w:numId w:val="0"/>
        </w:numPr>
        <w:spacing w:before="80" w:after="0"/>
        <w:rPr>
          <w:rFonts w:cstheme="majorBidi"/>
        </w:rPr>
      </w:pPr>
      <w:r w:rsidRPr="00CD2AB2">
        <w:rPr>
          <w:rFonts w:cstheme="majorBidi"/>
        </w:rPr>
        <w:t xml:space="preserve">The CDR continues to be a deep partnership with industry designed to deliver a reliable, highly </w:t>
      </w:r>
      <w:proofErr w:type="gramStart"/>
      <w:r w:rsidRPr="00CD2AB2">
        <w:rPr>
          <w:rFonts w:cstheme="majorBidi"/>
        </w:rPr>
        <w:t>functional</w:t>
      </w:r>
      <w:proofErr w:type="gramEnd"/>
      <w:r w:rsidRPr="00CD2AB2">
        <w:rPr>
          <w:rFonts w:cstheme="majorBidi"/>
        </w:rPr>
        <w:t xml:space="preserve"> and trusted way for Australians to benefit from the transaction data collected about them. </w:t>
      </w:r>
      <w:r w:rsidR="00326106" w:rsidRPr="00CD2AB2">
        <w:rPr>
          <w:rFonts w:cstheme="majorBidi"/>
        </w:rPr>
        <w:t>Over the next two years, there will be a renewed focus on deliberate and strategic consultation</w:t>
      </w:r>
      <w:r w:rsidR="00E660D5" w:rsidRPr="00CD2AB2">
        <w:rPr>
          <w:rFonts w:cstheme="majorBidi"/>
        </w:rPr>
        <w:t xml:space="preserve"> </w:t>
      </w:r>
      <w:r w:rsidR="008F050A" w:rsidRPr="00CD2AB2">
        <w:rPr>
          <w:rFonts w:cstheme="majorBidi"/>
        </w:rPr>
        <w:t>on policy and design</w:t>
      </w:r>
      <w:r w:rsidR="00326106" w:rsidRPr="00CD2AB2">
        <w:rPr>
          <w:rFonts w:cstheme="majorBidi"/>
        </w:rPr>
        <w:t xml:space="preserve"> to shape the most beneficial outcomes</w:t>
      </w:r>
      <w:r w:rsidR="00DE2580" w:rsidRPr="00CD2AB2">
        <w:rPr>
          <w:rFonts w:cstheme="majorBidi"/>
        </w:rPr>
        <w:t xml:space="preserve"> for consumers</w:t>
      </w:r>
      <w:r w:rsidR="00326106" w:rsidRPr="00CD2AB2">
        <w:rPr>
          <w:rFonts w:cstheme="majorBidi"/>
        </w:rPr>
        <w:t>.</w:t>
      </w:r>
    </w:p>
    <w:p w14:paraId="0117260E" w14:textId="1DABBC65" w:rsidR="00050B06" w:rsidRPr="00CD2AB2" w:rsidRDefault="00050B06" w:rsidP="00050B06">
      <w:pPr>
        <w:pStyle w:val="Bullet"/>
        <w:numPr>
          <w:ilvl w:val="0"/>
          <w:numId w:val="0"/>
        </w:numPr>
        <w:spacing w:before="80" w:after="0"/>
        <w:rPr>
          <w:szCs w:val="22"/>
        </w:rPr>
      </w:pPr>
      <w:r w:rsidRPr="00CD2AB2">
        <w:rPr>
          <w:b/>
          <w:bCs/>
          <w:szCs w:val="22"/>
        </w:rPr>
        <w:t xml:space="preserve">Continuing expansion of the CDR to non-bank lending </w:t>
      </w:r>
    </w:p>
    <w:p w14:paraId="7035DEC4" w14:textId="42CF15F6" w:rsidR="00050B06" w:rsidRPr="00CD2AB2" w:rsidRDefault="00050B06" w:rsidP="00050B06">
      <w:pPr>
        <w:pStyle w:val="Bullet"/>
        <w:numPr>
          <w:ilvl w:val="0"/>
          <w:numId w:val="0"/>
        </w:numPr>
        <w:spacing w:before="80" w:after="0"/>
        <w:rPr>
          <w:szCs w:val="22"/>
        </w:rPr>
      </w:pPr>
      <w:r w:rsidRPr="00CD2AB2">
        <w:rPr>
          <w:szCs w:val="22"/>
        </w:rPr>
        <w:t xml:space="preserve">The Review noted that </w:t>
      </w:r>
      <w:r w:rsidR="00286470" w:rsidRPr="00CD2AB2">
        <w:rPr>
          <w:szCs w:val="22"/>
        </w:rPr>
        <w:t xml:space="preserve">expanding the CDR to </w:t>
      </w:r>
      <w:r w:rsidRPr="00CD2AB2">
        <w:rPr>
          <w:szCs w:val="22"/>
        </w:rPr>
        <w:t xml:space="preserve">non-bank lending </w:t>
      </w:r>
      <w:r w:rsidR="00257A14" w:rsidRPr="00CD2AB2">
        <w:rPr>
          <w:szCs w:val="22"/>
        </w:rPr>
        <w:t xml:space="preserve">could </w:t>
      </w:r>
      <w:r w:rsidRPr="00CD2AB2">
        <w:rPr>
          <w:szCs w:val="22"/>
        </w:rPr>
        <w:t>empower consumers to make the best financial judgements for their needs.</w:t>
      </w:r>
      <w:r w:rsidR="001B491D" w:rsidRPr="00CD2AB2">
        <w:rPr>
          <w:rFonts w:cstheme="minorHAnsi"/>
          <w:szCs w:val="22"/>
        </w:rPr>
        <w:t xml:space="preserve"> </w:t>
      </w:r>
      <w:r w:rsidR="00B61724" w:rsidRPr="00CD2AB2">
        <w:rPr>
          <w:szCs w:val="22"/>
        </w:rPr>
        <w:t xml:space="preserve">With </w:t>
      </w:r>
      <w:r w:rsidR="00C60E60" w:rsidRPr="00C60E60">
        <w:rPr>
          <w:rFonts w:cstheme="minorHAnsi"/>
          <w:szCs w:val="22"/>
        </w:rPr>
        <w:t xml:space="preserve">CDR data-sharing </w:t>
      </w:r>
      <w:r w:rsidR="008822EB">
        <w:rPr>
          <w:rFonts w:cstheme="minorHAnsi"/>
          <w:szCs w:val="22"/>
        </w:rPr>
        <w:t xml:space="preserve">in </w:t>
      </w:r>
      <w:r w:rsidR="00C60E60" w:rsidRPr="00C60E60">
        <w:rPr>
          <w:rFonts w:cstheme="minorHAnsi"/>
          <w:szCs w:val="22"/>
        </w:rPr>
        <w:t>banking cover</w:t>
      </w:r>
      <w:r w:rsidR="00C60E60">
        <w:rPr>
          <w:rFonts w:cstheme="minorHAnsi"/>
          <w:szCs w:val="22"/>
        </w:rPr>
        <w:t>ing</w:t>
      </w:r>
      <w:r w:rsidR="00C60E60" w:rsidRPr="00C60E60">
        <w:rPr>
          <w:rFonts w:cstheme="minorHAnsi"/>
          <w:szCs w:val="22"/>
        </w:rPr>
        <w:t xml:space="preserve"> nearly 100 per cent of market share</w:t>
      </w:r>
      <w:r w:rsidR="00B61724" w:rsidRPr="00CD2AB2">
        <w:rPr>
          <w:szCs w:val="22"/>
        </w:rPr>
        <w:t xml:space="preserve">, </w:t>
      </w:r>
      <w:r w:rsidR="00433AA3">
        <w:rPr>
          <w:szCs w:val="22"/>
        </w:rPr>
        <w:t xml:space="preserve">as part of Budget 2023-24 funding </w:t>
      </w:r>
      <w:r w:rsidR="00482D18" w:rsidRPr="00CD2AB2">
        <w:rPr>
          <w:szCs w:val="22"/>
        </w:rPr>
        <w:t xml:space="preserve">the Government </w:t>
      </w:r>
      <w:r w:rsidR="00562AF0" w:rsidRPr="00CD2AB2">
        <w:rPr>
          <w:szCs w:val="22"/>
        </w:rPr>
        <w:t>is prioritising</w:t>
      </w:r>
      <w:r w:rsidR="00BA2062" w:rsidRPr="00CD2AB2">
        <w:rPr>
          <w:szCs w:val="22"/>
        </w:rPr>
        <w:t xml:space="preserve"> the addition of</w:t>
      </w:r>
      <w:r w:rsidR="00B61724" w:rsidRPr="00CD2AB2">
        <w:rPr>
          <w:szCs w:val="22"/>
        </w:rPr>
        <w:t xml:space="preserve"> non-bank lenders</w:t>
      </w:r>
      <w:r w:rsidR="007F1AE4" w:rsidRPr="00CD2AB2">
        <w:rPr>
          <w:szCs w:val="22"/>
        </w:rPr>
        <w:t xml:space="preserve"> </w:t>
      </w:r>
      <w:r w:rsidR="00123DA6" w:rsidRPr="00CD2AB2">
        <w:rPr>
          <w:szCs w:val="22"/>
        </w:rPr>
        <w:t xml:space="preserve">to </w:t>
      </w:r>
      <w:r w:rsidR="00460A86" w:rsidRPr="00CD2AB2">
        <w:rPr>
          <w:rFonts w:cstheme="minorHAnsi"/>
          <w:szCs w:val="22"/>
        </w:rPr>
        <w:t>widen the availability of lending data</w:t>
      </w:r>
      <w:r w:rsidR="00C451F7" w:rsidRPr="00CD2AB2">
        <w:rPr>
          <w:rFonts w:cstheme="minorHAnsi"/>
          <w:szCs w:val="22"/>
        </w:rPr>
        <w:t xml:space="preserve">, </w:t>
      </w:r>
      <w:r w:rsidR="00280641" w:rsidRPr="00CD2AB2">
        <w:rPr>
          <w:rFonts w:cstheme="minorHAnsi"/>
          <w:szCs w:val="22"/>
        </w:rPr>
        <w:t xml:space="preserve">giving </w:t>
      </w:r>
      <w:r w:rsidR="00460A86" w:rsidRPr="00CD2AB2">
        <w:rPr>
          <w:rFonts w:cstheme="minorHAnsi"/>
          <w:szCs w:val="22"/>
        </w:rPr>
        <w:t>consumers a more complete view of their financial accounts</w:t>
      </w:r>
      <w:r w:rsidR="00EE2B41" w:rsidRPr="00CD2AB2">
        <w:rPr>
          <w:rFonts w:cstheme="minorHAnsi"/>
          <w:szCs w:val="22"/>
        </w:rPr>
        <w:t>.</w:t>
      </w:r>
    </w:p>
    <w:p w14:paraId="2ED03171" w14:textId="17BFABDB" w:rsidR="007D344F" w:rsidRPr="00CD2AB2" w:rsidRDefault="0072108B" w:rsidP="00050B06">
      <w:pPr>
        <w:pStyle w:val="Bullet"/>
        <w:numPr>
          <w:ilvl w:val="0"/>
          <w:numId w:val="0"/>
        </w:numPr>
        <w:spacing w:before="80" w:after="0"/>
        <w:rPr>
          <w:szCs w:val="22"/>
        </w:rPr>
      </w:pPr>
      <w:r w:rsidRPr="00CD2AB2">
        <w:rPr>
          <w:b/>
          <w:bCs/>
          <w:szCs w:val="22"/>
        </w:rPr>
        <w:t>P</w:t>
      </w:r>
      <w:r w:rsidR="00285132" w:rsidRPr="00CD2AB2">
        <w:rPr>
          <w:b/>
          <w:bCs/>
          <w:szCs w:val="22"/>
        </w:rPr>
        <w:t xml:space="preserve">rioritising </w:t>
      </w:r>
      <w:r w:rsidR="00E07FAF" w:rsidRPr="00CD2AB2">
        <w:rPr>
          <w:b/>
          <w:bCs/>
          <w:szCs w:val="22"/>
        </w:rPr>
        <w:t>p</w:t>
      </w:r>
      <w:r w:rsidRPr="00CD2AB2">
        <w:rPr>
          <w:b/>
          <w:bCs/>
          <w:szCs w:val="22"/>
        </w:rPr>
        <w:t xml:space="preserve">olicy and design </w:t>
      </w:r>
      <w:r w:rsidR="00E07FAF" w:rsidRPr="00CD2AB2">
        <w:rPr>
          <w:b/>
          <w:bCs/>
          <w:szCs w:val="22"/>
        </w:rPr>
        <w:t>of</w:t>
      </w:r>
      <w:r w:rsidRPr="00CD2AB2">
        <w:rPr>
          <w:b/>
          <w:bCs/>
          <w:szCs w:val="22"/>
        </w:rPr>
        <w:t xml:space="preserve"> a</w:t>
      </w:r>
      <w:r w:rsidR="007D344F" w:rsidRPr="00CD2AB2">
        <w:rPr>
          <w:b/>
          <w:bCs/>
          <w:szCs w:val="22"/>
        </w:rPr>
        <w:t>ction initiation</w:t>
      </w:r>
      <w:r w:rsidR="0097548E" w:rsidRPr="00CD2AB2">
        <w:rPr>
          <w:b/>
          <w:bCs/>
          <w:szCs w:val="22"/>
        </w:rPr>
        <w:t xml:space="preserve"> </w:t>
      </w:r>
    </w:p>
    <w:p w14:paraId="1CC2EF0E" w14:textId="4AB3D6DE" w:rsidR="00AC5C4F" w:rsidRPr="00CD2AB2" w:rsidRDefault="00190058" w:rsidP="00711087">
      <w:r w:rsidRPr="00CD2AB2">
        <w:t>The Review identified action initiation as a game-changer for the CDR</w:t>
      </w:r>
      <w:r w:rsidR="005F1F7E" w:rsidRPr="00CD2AB2">
        <w:t xml:space="preserve"> by enhancing the potential to deliver efficiency and convenience to consumers. </w:t>
      </w:r>
      <w:r w:rsidR="00AC5C4F" w:rsidRPr="00CD2AB2">
        <w:t xml:space="preserve">Action initiation in the CDR </w:t>
      </w:r>
      <w:r w:rsidR="005121B8" w:rsidRPr="00CD2AB2">
        <w:t>represents</w:t>
      </w:r>
      <w:r w:rsidR="00AC5C4F" w:rsidRPr="00CD2AB2">
        <w:t xml:space="preserve"> a new, secure channel for consumers to instruct a firm to initiate actions (such as making payments) on their behalf, with their consent.</w:t>
      </w:r>
    </w:p>
    <w:p w14:paraId="606D462F" w14:textId="0D050CAE" w:rsidR="00190058" w:rsidRPr="00CD2AB2" w:rsidRDefault="0001349C" w:rsidP="00711087">
      <w:r w:rsidRPr="00CD2AB2">
        <w:t xml:space="preserve">The Review </w:t>
      </w:r>
      <w:r w:rsidR="005F1F7E" w:rsidRPr="00CD2AB2">
        <w:t>also</w:t>
      </w:r>
      <w:r w:rsidR="00190058" w:rsidRPr="00CD2AB2">
        <w:t xml:space="preserve"> </w:t>
      </w:r>
      <w:r w:rsidR="00AD1EC6" w:rsidRPr="00CD2AB2">
        <w:t xml:space="preserve">noted that payment initiation, a type of action initiation, has driven the success of open banking in the UK. </w:t>
      </w:r>
      <w:r w:rsidR="002B5FA6" w:rsidRPr="00CD2AB2">
        <w:t xml:space="preserve">Finding 3.6 of the Review was that </w:t>
      </w:r>
      <w:r w:rsidR="00D7303E" w:rsidRPr="00CD2AB2">
        <w:t>‘</w:t>
      </w:r>
      <w:r w:rsidR="002B5FA6" w:rsidRPr="00CD2AB2">
        <w:t>t</w:t>
      </w:r>
      <w:r w:rsidR="002B5FA6" w:rsidRPr="00CD2AB2">
        <w:rPr>
          <w:rFonts w:asciiTheme="minorHAnsi" w:hAnsiTheme="minorHAnsi" w:cstheme="minorHAnsi"/>
          <w:szCs w:val="22"/>
        </w:rPr>
        <w:t xml:space="preserve">here is significant enthusiasm for the delivery of action initiation under the CDR, with many submissions noting the opportunities for the CDR to capitalise on concurrent work being undertaken within payments systems, such as </w:t>
      </w:r>
      <w:proofErr w:type="spellStart"/>
      <w:r w:rsidR="002B5FA6" w:rsidRPr="00CD2AB2">
        <w:rPr>
          <w:rFonts w:asciiTheme="minorHAnsi" w:hAnsiTheme="minorHAnsi" w:cstheme="minorHAnsi"/>
          <w:szCs w:val="22"/>
        </w:rPr>
        <w:t>PayTo</w:t>
      </w:r>
      <w:proofErr w:type="spellEnd"/>
      <w:r w:rsidR="002B5FA6" w:rsidRPr="00CD2AB2">
        <w:rPr>
          <w:rFonts w:asciiTheme="minorHAnsi" w:hAnsiTheme="minorHAnsi" w:cstheme="minorHAnsi"/>
          <w:szCs w:val="22"/>
        </w:rPr>
        <w:t>. Where possible, the CDR should work in conjunction with other initiatives to minimise potential friction points and reduce regulatory compliance for participants, with the objective to create more streamlined consumer experiences.</w:t>
      </w:r>
      <w:r w:rsidR="00D7303E" w:rsidRPr="00CD2AB2">
        <w:rPr>
          <w:rFonts w:asciiTheme="minorHAnsi" w:hAnsiTheme="minorHAnsi" w:cstheme="minorHAnsi"/>
          <w:szCs w:val="22"/>
        </w:rPr>
        <w:t>’</w:t>
      </w:r>
      <w:r w:rsidR="002B5FA6" w:rsidRPr="00CD2AB2">
        <w:rPr>
          <w:rFonts w:asciiTheme="minorHAnsi" w:hAnsiTheme="minorHAnsi" w:cstheme="minorHAnsi"/>
          <w:szCs w:val="22"/>
        </w:rPr>
        <w:t xml:space="preserve"> </w:t>
      </w:r>
      <w:r w:rsidR="00852DB5" w:rsidRPr="00CD2AB2">
        <w:rPr>
          <w:rFonts w:asciiTheme="minorHAnsi" w:hAnsiTheme="minorHAnsi" w:cstheme="minorHAnsi"/>
          <w:szCs w:val="22"/>
        </w:rPr>
        <w:t>A</w:t>
      </w:r>
      <w:r w:rsidR="00190058" w:rsidRPr="00CD2AB2">
        <w:t>ction initiation was also a main recommendation of the 2020 Inquiry into Future Directions for the CDR by Scott Farrell.</w:t>
      </w:r>
      <w:r w:rsidR="00190058" w:rsidRPr="00CD2AB2">
        <w:rPr>
          <w:rStyle w:val="FootnoteReference"/>
        </w:rPr>
        <w:footnoteReference w:id="3"/>
      </w:r>
      <w:r w:rsidR="00190058" w:rsidRPr="00CD2AB2">
        <w:t xml:space="preserve"> </w:t>
      </w:r>
    </w:p>
    <w:p w14:paraId="0DD6CA9C" w14:textId="52CA97C4" w:rsidR="00833265" w:rsidRPr="00CD2AB2" w:rsidRDefault="000B641A" w:rsidP="00833265">
      <w:pPr>
        <w:rPr>
          <w:rFonts w:asciiTheme="minorHAnsi" w:hAnsiTheme="minorHAnsi" w:cstheme="minorHAnsi"/>
          <w:szCs w:val="22"/>
        </w:rPr>
      </w:pPr>
      <w:r w:rsidRPr="00CD2AB2">
        <w:t xml:space="preserve">The expansion of the CDR to allow action initiation is a significant development. </w:t>
      </w:r>
      <w:r w:rsidR="0001349C" w:rsidRPr="00CD2AB2">
        <w:t xml:space="preserve">The Government introduced action initiation legislation </w:t>
      </w:r>
      <w:r w:rsidR="001A3348" w:rsidRPr="00CD2AB2">
        <w:t xml:space="preserve">into the Parliament </w:t>
      </w:r>
      <w:r w:rsidR="0001349C" w:rsidRPr="00CD2AB2">
        <w:t>in November 2022</w:t>
      </w:r>
      <w:r w:rsidR="0001349C" w:rsidRPr="00326824">
        <w:t>.</w:t>
      </w:r>
      <w:r w:rsidR="0001349C" w:rsidRPr="00CD2AB2">
        <w:t xml:space="preserve"> </w:t>
      </w:r>
      <w:r w:rsidRPr="00CD2AB2">
        <w:t>The Government</w:t>
      </w:r>
      <w:r w:rsidR="00E17259">
        <w:t>’s funding through Budget 2023-24 underlines its</w:t>
      </w:r>
      <w:r w:rsidRPr="00CD2AB2">
        <w:t xml:space="preserve"> </w:t>
      </w:r>
      <w:r w:rsidR="00071FAE" w:rsidRPr="00CD2AB2">
        <w:t>continue</w:t>
      </w:r>
      <w:r w:rsidR="00876523">
        <w:t>d</w:t>
      </w:r>
      <w:r w:rsidR="00E17259">
        <w:t xml:space="preserve"> commitment</w:t>
      </w:r>
      <w:r w:rsidR="00071FAE" w:rsidRPr="00CD2AB2">
        <w:t xml:space="preserve"> to </w:t>
      </w:r>
      <w:r w:rsidR="00481085" w:rsidRPr="00CD2AB2">
        <w:t>prioritise</w:t>
      </w:r>
      <w:r w:rsidR="00BE32CC" w:rsidRPr="00CD2AB2">
        <w:t xml:space="preserve"> policy and design work on action and payment initiation</w:t>
      </w:r>
      <w:r w:rsidR="00AC58FE" w:rsidRPr="00CD2AB2">
        <w:t xml:space="preserve"> in consultation with stakeholders</w:t>
      </w:r>
      <w:r w:rsidR="00BF0316" w:rsidRPr="00CD2AB2">
        <w:t>. R</w:t>
      </w:r>
      <w:r w:rsidR="00F65B87" w:rsidRPr="00CD2AB2">
        <w:t>elated</w:t>
      </w:r>
      <w:r w:rsidR="002B5FA6" w:rsidRPr="00CD2AB2">
        <w:rPr>
          <w:rFonts w:asciiTheme="minorHAnsi" w:hAnsiTheme="minorHAnsi" w:cstheme="minorHAnsi"/>
          <w:szCs w:val="22"/>
        </w:rPr>
        <w:t xml:space="preserve"> </w:t>
      </w:r>
      <w:r w:rsidR="003A7BE8">
        <w:rPr>
          <w:rFonts w:asciiTheme="minorHAnsi" w:hAnsiTheme="minorHAnsi" w:cstheme="minorHAnsi"/>
          <w:szCs w:val="22"/>
        </w:rPr>
        <w:t>payment</w:t>
      </w:r>
      <w:r w:rsidR="00D034D9">
        <w:rPr>
          <w:rFonts w:asciiTheme="minorHAnsi" w:hAnsiTheme="minorHAnsi" w:cstheme="minorHAnsi"/>
          <w:szCs w:val="22"/>
        </w:rPr>
        <w:t>s system</w:t>
      </w:r>
      <w:r w:rsidR="003A7BE8">
        <w:rPr>
          <w:rFonts w:asciiTheme="minorHAnsi" w:hAnsiTheme="minorHAnsi" w:cstheme="minorHAnsi"/>
          <w:szCs w:val="22"/>
        </w:rPr>
        <w:t xml:space="preserve"> </w:t>
      </w:r>
      <w:r w:rsidR="000801ED" w:rsidRPr="00CD2AB2">
        <w:rPr>
          <w:rFonts w:asciiTheme="minorHAnsi" w:hAnsiTheme="minorHAnsi" w:cstheme="minorHAnsi"/>
          <w:szCs w:val="22"/>
        </w:rPr>
        <w:t>initiatives</w:t>
      </w:r>
      <w:r w:rsidR="002B5FA6" w:rsidRPr="00CD2AB2">
        <w:rPr>
          <w:rFonts w:asciiTheme="minorHAnsi" w:hAnsiTheme="minorHAnsi" w:cstheme="minorHAnsi"/>
          <w:szCs w:val="22"/>
        </w:rPr>
        <w:t xml:space="preserve"> </w:t>
      </w:r>
      <w:r w:rsidR="00BF0316" w:rsidRPr="00CD2AB2">
        <w:rPr>
          <w:rFonts w:asciiTheme="minorHAnsi" w:hAnsiTheme="minorHAnsi" w:cstheme="minorHAnsi"/>
          <w:szCs w:val="22"/>
        </w:rPr>
        <w:t xml:space="preserve">will </w:t>
      </w:r>
      <w:r w:rsidR="00833265" w:rsidRPr="00CD2AB2">
        <w:rPr>
          <w:rFonts w:asciiTheme="minorHAnsi" w:hAnsiTheme="minorHAnsi" w:cstheme="minorHAnsi"/>
          <w:szCs w:val="22"/>
        </w:rPr>
        <w:t>be a key consideration</w:t>
      </w:r>
      <w:r w:rsidR="00481085" w:rsidRPr="00CD2AB2">
        <w:rPr>
          <w:rFonts w:asciiTheme="minorHAnsi" w:hAnsiTheme="minorHAnsi" w:cstheme="minorHAnsi"/>
          <w:szCs w:val="22"/>
        </w:rPr>
        <w:t xml:space="preserve"> in the development of action initiation in the CDR</w:t>
      </w:r>
      <w:r w:rsidR="00833265" w:rsidRPr="00CD2AB2">
        <w:rPr>
          <w:rFonts w:asciiTheme="minorHAnsi" w:hAnsiTheme="minorHAnsi" w:cstheme="minorHAnsi"/>
          <w:szCs w:val="22"/>
        </w:rPr>
        <w:t xml:space="preserve">. </w:t>
      </w:r>
    </w:p>
    <w:p w14:paraId="15FA0E92" w14:textId="1900FF26" w:rsidR="00374136" w:rsidRPr="00CD2AB2" w:rsidRDefault="000B245E" w:rsidP="00374136">
      <w:pPr>
        <w:rPr>
          <w:b/>
          <w:bCs/>
        </w:rPr>
      </w:pPr>
      <w:r w:rsidRPr="00CD2AB2">
        <w:rPr>
          <w:b/>
          <w:bCs/>
        </w:rPr>
        <w:t xml:space="preserve">Enhancements </w:t>
      </w:r>
      <w:r w:rsidR="00374136" w:rsidRPr="00CD2AB2">
        <w:rPr>
          <w:b/>
          <w:bCs/>
        </w:rPr>
        <w:t xml:space="preserve">to cyber security </w:t>
      </w:r>
    </w:p>
    <w:p w14:paraId="350DA186" w14:textId="6559C714" w:rsidR="00374136" w:rsidRPr="00CD2AB2" w:rsidRDefault="00374136" w:rsidP="00374136">
      <w:pPr>
        <w:pStyle w:val="Bullet"/>
        <w:numPr>
          <w:ilvl w:val="0"/>
          <w:numId w:val="0"/>
        </w:numPr>
        <w:spacing w:before="80" w:after="0"/>
        <w:rPr>
          <w:lang w:eastAsia="en-US"/>
        </w:rPr>
      </w:pPr>
      <w:r w:rsidRPr="00CD2AB2">
        <w:rPr>
          <w:rFonts w:cstheme="minorBidi"/>
          <w:szCs w:val="22"/>
        </w:rPr>
        <w:t>The Review recommended a</w:t>
      </w:r>
      <w:r w:rsidRPr="00CD2AB2">
        <w:t xml:space="preserve"> whole-of-ecosystem CDR cyber security assessment </w:t>
      </w:r>
      <w:r w:rsidRPr="00CD2AB2">
        <w:rPr>
          <w:rFonts w:asciiTheme="minorHAnsi" w:hAnsiTheme="minorHAnsi" w:cstheme="minorHAnsi"/>
          <w:szCs w:val="22"/>
        </w:rPr>
        <w:t xml:space="preserve">to ensure that the CDR cyber security architecture continues to be fit for purpose into the future </w:t>
      </w:r>
      <w:r w:rsidRPr="00CD2AB2">
        <w:t>(Recommendation 2.6)</w:t>
      </w:r>
      <w:r w:rsidRPr="00CD2AB2">
        <w:rPr>
          <w:rFonts w:asciiTheme="minorHAnsi" w:hAnsiTheme="minorHAnsi" w:cstheme="minorHAnsi"/>
          <w:szCs w:val="22"/>
        </w:rPr>
        <w:t xml:space="preserve">. </w:t>
      </w:r>
      <w:r w:rsidR="00025713" w:rsidRPr="00CD2AB2">
        <w:rPr>
          <w:lang w:eastAsia="en-US"/>
        </w:rPr>
        <w:t>M</w:t>
      </w:r>
      <w:r w:rsidRPr="00CD2AB2">
        <w:rPr>
          <w:lang w:eastAsia="en-US"/>
        </w:rPr>
        <w:t xml:space="preserve">ajor private sector data breaches announced after the release of the Review </w:t>
      </w:r>
      <w:r w:rsidR="00025713" w:rsidRPr="00CD2AB2">
        <w:rPr>
          <w:lang w:eastAsia="en-US"/>
        </w:rPr>
        <w:t>underlined</w:t>
      </w:r>
      <w:r w:rsidRPr="00CD2AB2">
        <w:rPr>
          <w:lang w:eastAsia="en-US"/>
        </w:rPr>
        <w:t xml:space="preserve"> the serious consequences of inadequate protection of consumer data.</w:t>
      </w:r>
    </w:p>
    <w:p w14:paraId="616B7F69" w14:textId="58F6F7BA" w:rsidR="003C0CA5" w:rsidRPr="007A2DA4" w:rsidRDefault="00374136" w:rsidP="007A2DA4">
      <w:pPr>
        <w:rPr>
          <w:rFonts w:asciiTheme="minorHAnsi" w:hAnsiTheme="minorHAnsi" w:cstheme="minorBidi"/>
          <w:szCs w:val="22"/>
        </w:rPr>
      </w:pPr>
      <w:r w:rsidRPr="00CD2AB2">
        <w:rPr>
          <w:rFonts w:cstheme="minorHAnsi"/>
          <w:szCs w:val="22"/>
        </w:rPr>
        <w:t xml:space="preserve">It is important that consumers have trust and confidence in the CDR’s data security settings. </w:t>
      </w:r>
      <w:r w:rsidRPr="00CD2AB2">
        <w:rPr>
          <w:rFonts w:cstheme="minorBidi"/>
          <w:szCs w:val="22"/>
        </w:rPr>
        <w:t xml:space="preserve">Following release of the Review report, a cyber security assessment of the CDR was undertaken as a matter of priority. The Government has </w:t>
      </w:r>
      <w:r w:rsidRPr="00CD2AB2">
        <w:t xml:space="preserve">committed funding in Budget 2023-24 to deliver cyber security improvements </w:t>
      </w:r>
      <w:r w:rsidR="00E20679">
        <w:t xml:space="preserve">for the </w:t>
      </w:r>
      <w:r w:rsidR="00030BD3">
        <w:t>CDR</w:t>
      </w:r>
      <w:r w:rsidR="008442D5">
        <w:t xml:space="preserve"> </w:t>
      </w:r>
      <w:r w:rsidRPr="00CD2AB2">
        <w:t xml:space="preserve">across CDR agencies (Treasury, the Data Standards Body, the </w:t>
      </w:r>
      <w:r w:rsidRPr="00CD2AB2">
        <w:lastRenderedPageBreak/>
        <w:t>Australian Competition and Consumer Commission</w:t>
      </w:r>
      <w:r w:rsidR="00A40A0B">
        <w:t xml:space="preserve"> (ACCC)</w:t>
      </w:r>
      <w:r w:rsidRPr="00CD2AB2">
        <w:t>, and the Office of the Australian Information Commissioner</w:t>
      </w:r>
      <w:r w:rsidR="00A40A0B">
        <w:t xml:space="preserve"> (OAIC)</w:t>
      </w:r>
      <w:r w:rsidRPr="00CD2AB2">
        <w:t xml:space="preserve">) to </w:t>
      </w:r>
      <w:r w:rsidR="00A15721">
        <w:t>help protect against</w:t>
      </w:r>
      <w:r w:rsidR="00A15721" w:rsidRPr="00CD2AB2">
        <w:t xml:space="preserve"> </w:t>
      </w:r>
      <w:r w:rsidRPr="00CD2AB2">
        <w:t>threat</w:t>
      </w:r>
      <w:r w:rsidR="00EC6348">
        <w:t>s</w:t>
      </w:r>
      <w:r w:rsidRPr="00CD2AB2">
        <w:t xml:space="preserve"> </w:t>
      </w:r>
      <w:r w:rsidR="00EC6348">
        <w:t xml:space="preserve">in the </w:t>
      </w:r>
      <w:r w:rsidR="002B7DA8">
        <w:t>changing</w:t>
      </w:r>
      <w:r w:rsidR="00EC6348">
        <w:t xml:space="preserve"> data </w:t>
      </w:r>
      <w:r w:rsidRPr="00CD2AB2">
        <w:t xml:space="preserve">landscape.  </w:t>
      </w:r>
    </w:p>
    <w:p w14:paraId="0826EEF7" w14:textId="47A45714" w:rsidR="00452149" w:rsidRPr="00CD2AB2" w:rsidRDefault="0072108B" w:rsidP="00452149">
      <w:pPr>
        <w:pStyle w:val="Bullet"/>
        <w:numPr>
          <w:ilvl w:val="0"/>
          <w:numId w:val="0"/>
        </w:numPr>
        <w:spacing w:before="80" w:after="0"/>
        <w:rPr>
          <w:szCs w:val="22"/>
        </w:rPr>
      </w:pPr>
      <w:r w:rsidRPr="00CD2AB2">
        <w:rPr>
          <w:rFonts w:asciiTheme="minorHAnsi" w:hAnsiTheme="minorHAnsi" w:cstheme="minorBidi"/>
          <w:b/>
          <w:bCs/>
          <w:szCs w:val="22"/>
        </w:rPr>
        <w:t xml:space="preserve">Helping consumers identify CDR-enabled providers, </w:t>
      </w:r>
      <w:proofErr w:type="gramStart"/>
      <w:r w:rsidRPr="00CD2AB2">
        <w:rPr>
          <w:rFonts w:asciiTheme="minorHAnsi" w:hAnsiTheme="minorHAnsi" w:cstheme="minorBidi"/>
          <w:b/>
          <w:bCs/>
          <w:szCs w:val="22"/>
        </w:rPr>
        <w:t>products</w:t>
      </w:r>
      <w:proofErr w:type="gramEnd"/>
      <w:r w:rsidRPr="00CD2AB2">
        <w:rPr>
          <w:rFonts w:asciiTheme="minorHAnsi" w:hAnsiTheme="minorHAnsi" w:cstheme="minorBidi"/>
          <w:b/>
          <w:bCs/>
          <w:szCs w:val="22"/>
        </w:rPr>
        <w:t xml:space="preserve"> and services </w:t>
      </w:r>
    </w:p>
    <w:p w14:paraId="0E5AF5E4" w14:textId="73531C4B" w:rsidR="00492F0B" w:rsidRPr="00CD2AB2" w:rsidRDefault="003911D2" w:rsidP="00492F0B">
      <w:pPr>
        <w:pStyle w:val="Bullet"/>
        <w:numPr>
          <w:ilvl w:val="0"/>
          <w:numId w:val="0"/>
        </w:numPr>
        <w:spacing w:before="80" w:after="0"/>
      </w:pPr>
      <w:r w:rsidRPr="00CD2AB2">
        <w:t xml:space="preserve">The </w:t>
      </w:r>
      <w:r w:rsidR="00E364BC" w:rsidRPr="00CD2AB2">
        <w:t>R</w:t>
      </w:r>
      <w:r w:rsidRPr="00CD2AB2">
        <w:t xml:space="preserve">eview </w:t>
      </w:r>
      <w:r w:rsidR="00E364BC" w:rsidRPr="00CD2AB2">
        <w:t>found that</w:t>
      </w:r>
      <w:r w:rsidR="00A13762" w:rsidRPr="00CD2AB2">
        <w:t xml:space="preserve"> most stakeholders noted that there is very little consumer awareness of the CDR</w:t>
      </w:r>
      <w:r w:rsidR="00DB6120" w:rsidRPr="00CD2AB2">
        <w:t xml:space="preserve">, </w:t>
      </w:r>
      <w:r w:rsidR="008A7381" w:rsidRPr="00CD2AB2">
        <w:t xml:space="preserve">and </w:t>
      </w:r>
      <w:r w:rsidR="00810E91" w:rsidRPr="00CD2AB2">
        <w:t xml:space="preserve">observed </w:t>
      </w:r>
      <w:r w:rsidR="008A7381" w:rsidRPr="00CD2AB2">
        <w:t>that</w:t>
      </w:r>
      <w:r w:rsidR="00810E91" w:rsidRPr="00CD2AB2">
        <w:t>,</w:t>
      </w:r>
      <w:r w:rsidR="00A13762" w:rsidRPr="00CD2AB2">
        <w:t xml:space="preserve"> </w:t>
      </w:r>
    </w:p>
    <w:p w14:paraId="214EB975" w14:textId="66448C2B" w:rsidR="00492F0B" w:rsidRPr="00CD2AB2" w:rsidRDefault="00810E91" w:rsidP="00492F0B">
      <w:pPr>
        <w:pStyle w:val="Bullet"/>
        <w:numPr>
          <w:ilvl w:val="0"/>
          <w:numId w:val="0"/>
        </w:numPr>
        <w:spacing w:before="80" w:after="0"/>
        <w:ind w:left="720"/>
        <w:rPr>
          <w:i/>
          <w:iCs/>
        </w:rPr>
      </w:pPr>
      <w:r w:rsidRPr="00CD2AB2">
        <w:rPr>
          <w:i/>
          <w:iCs/>
        </w:rPr>
        <w:t>[w]</w:t>
      </w:r>
      <w:proofErr w:type="spellStart"/>
      <w:r w:rsidR="004119F6" w:rsidRPr="00CD2AB2">
        <w:rPr>
          <w:i/>
          <w:iCs/>
        </w:rPr>
        <w:t>hile</w:t>
      </w:r>
      <w:proofErr w:type="spellEnd"/>
      <w:r w:rsidR="004119F6" w:rsidRPr="00CD2AB2">
        <w:rPr>
          <w:i/>
          <w:iCs/>
        </w:rPr>
        <w:t xml:space="preserve"> </w:t>
      </w:r>
      <w:r w:rsidR="001412E7" w:rsidRPr="00CD2AB2">
        <w:rPr>
          <w:i/>
          <w:iCs/>
        </w:rPr>
        <w:t xml:space="preserve">understanding of the CDR may drive uptake for consumers who closely follow technological developments, for </w:t>
      </w:r>
      <w:proofErr w:type="gramStart"/>
      <w:r w:rsidR="001412E7" w:rsidRPr="00CD2AB2">
        <w:rPr>
          <w:i/>
          <w:iCs/>
        </w:rPr>
        <w:t>the majority of</w:t>
      </w:r>
      <w:proofErr w:type="gramEnd"/>
      <w:r w:rsidR="001412E7" w:rsidRPr="00CD2AB2">
        <w:rPr>
          <w:i/>
          <w:iCs/>
        </w:rPr>
        <w:t xml:space="preserve"> consumers, uptake will be determined by the new products and services on offer that can remove frictions from their lives or benefit them in other ways. This does not disregard the need for consumer education and awareness; consumers should understand the risks of data sharing practises, whether that be CDR or screen scraping</w:t>
      </w:r>
      <w:r w:rsidR="00A146AA" w:rsidRPr="00CD2AB2">
        <w:rPr>
          <w:i/>
          <w:iCs/>
        </w:rPr>
        <w:t>.</w:t>
      </w:r>
      <w:r w:rsidR="00216831" w:rsidRPr="00CD2AB2">
        <w:rPr>
          <w:i/>
          <w:iCs/>
        </w:rPr>
        <w:br/>
        <w:t>C</w:t>
      </w:r>
      <w:r w:rsidR="000A17E0" w:rsidRPr="00CD2AB2">
        <w:rPr>
          <w:i/>
          <w:iCs/>
        </w:rPr>
        <w:t>onsumer education and technical understanding are unlikely to be the core drivers of consumer adoption, and the focus should be on building the CDR brand as a trusted form of data sharing, a trust mark of sorts, and to provide the warning signs of unsafe practices.</w:t>
      </w:r>
    </w:p>
    <w:p w14:paraId="58A21E26" w14:textId="35FF4BB7" w:rsidR="0092553B" w:rsidRPr="00CD2AB2" w:rsidRDefault="005B546B" w:rsidP="004779CB">
      <w:pPr>
        <w:pStyle w:val="Bullet"/>
        <w:numPr>
          <w:ilvl w:val="0"/>
          <w:numId w:val="0"/>
        </w:numPr>
        <w:spacing w:before="80" w:after="0"/>
        <w:rPr>
          <w:rFonts w:asciiTheme="minorHAnsi" w:hAnsiTheme="minorHAnsi" w:cstheme="minorBidi"/>
          <w:szCs w:val="22"/>
        </w:rPr>
      </w:pPr>
      <w:r w:rsidRPr="00CD2AB2">
        <w:t xml:space="preserve">The Government remains committed to ensuring consumers remain at the heart of the CDR. </w:t>
      </w:r>
      <w:r w:rsidR="00492F0B" w:rsidRPr="00CD2AB2">
        <w:t>T</w:t>
      </w:r>
      <w:r w:rsidRPr="00CD2AB2">
        <w:t xml:space="preserve">o underline </w:t>
      </w:r>
      <w:r w:rsidR="00827275" w:rsidRPr="00CD2AB2">
        <w:t>this</w:t>
      </w:r>
      <w:r w:rsidRPr="00CD2AB2">
        <w:t xml:space="preserve"> commitment, </w:t>
      </w:r>
      <w:r w:rsidR="00BE4243">
        <w:t xml:space="preserve">funding in Budget 2023-24 </w:t>
      </w:r>
      <w:r w:rsidR="00D45E4E">
        <w:t xml:space="preserve">will </w:t>
      </w:r>
      <w:r w:rsidR="006F608F">
        <w:t xml:space="preserve">support </w:t>
      </w:r>
      <w:r w:rsidRPr="00CD2AB2">
        <w:t xml:space="preserve">work </w:t>
      </w:r>
      <w:r w:rsidR="006F608F">
        <w:t>to develop</w:t>
      </w:r>
      <w:r w:rsidRPr="00CD2AB2">
        <w:t xml:space="preserve"> a CDR trust brand that enables consumers to clearly identify businesses providing CDR-enabled products and choose a safer, more convenient alternative for data-sharing.</w:t>
      </w:r>
      <w:r w:rsidR="00D84086" w:rsidRPr="00CD2AB2">
        <w:t xml:space="preserve"> </w:t>
      </w:r>
      <w:r w:rsidR="004779CB" w:rsidRPr="00CD2AB2">
        <w:rPr>
          <w:rFonts w:asciiTheme="minorHAnsi" w:hAnsiTheme="minorHAnsi" w:cstheme="minorBidi"/>
          <w:szCs w:val="22"/>
        </w:rPr>
        <w:t>This will</w:t>
      </w:r>
      <w:r w:rsidR="005865B3" w:rsidRPr="00CD2AB2">
        <w:rPr>
          <w:rFonts w:asciiTheme="minorHAnsi" w:hAnsiTheme="minorHAnsi" w:cstheme="minorBidi"/>
          <w:szCs w:val="22"/>
        </w:rPr>
        <w:t xml:space="preserve"> </w:t>
      </w:r>
      <w:r w:rsidR="001122DF" w:rsidRPr="00CD2AB2">
        <w:rPr>
          <w:rFonts w:asciiTheme="minorHAnsi" w:hAnsiTheme="minorHAnsi" w:cstheme="minorBidi"/>
          <w:szCs w:val="22"/>
        </w:rPr>
        <w:t xml:space="preserve">make it easier for </w:t>
      </w:r>
      <w:r w:rsidR="00CD4D65" w:rsidRPr="00CD2AB2">
        <w:rPr>
          <w:rFonts w:asciiTheme="minorHAnsi" w:hAnsiTheme="minorHAnsi" w:cstheme="minorBidi"/>
          <w:szCs w:val="22"/>
        </w:rPr>
        <w:t>consumers</w:t>
      </w:r>
      <w:r w:rsidR="001122DF" w:rsidRPr="00CD2AB2">
        <w:rPr>
          <w:rFonts w:asciiTheme="minorHAnsi" w:hAnsiTheme="minorHAnsi" w:cstheme="minorBidi"/>
          <w:szCs w:val="22"/>
        </w:rPr>
        <w:t xml:space="preserve"> to understand the meaning and value of </w:t>
      </w:r>
      <w:r w:rsidR="004B0B0E" w:rsidRPr="00CD2AB2">
        <w:rPr>
          <w:rFonts w:asciiTheme="minorHAnsi" w:hAnsiTheme="minorHAnsi" w:cstheme="minorBidi"/>
          <w:szCs w:val="22"/>
        </w:rPr>
        <w:t xml:space="preserve">the </w:t>
      </w:r>
      <w:r w:rsidR="001122DF" w:rsidRPr="00CD2AB2">
        <w:rPr>
          <w:rFonts w:asciiTheme="minorHAnsi" w:hAnsiTheme="minorHAnsi" w:cstheme="minorBidi"/>
          <w:szCs w:val="22"/>
        </w:rPr>
        <w:t>CDR</w:t>
      </w:r>
      <w:r w:rsidR="009C5184" w:rsidRPr="00CD2AB2">
        <w:rPr>
          <w:rFonts w:asciiTheme="minorHAnsi" w:hAnsiTheme="minorHAnsi" w:cstheme="minorBidi"/>
          <w:szCs w:val="22"/>
        </w:rPr>
        <w:t xml:space="preserve"> i</w:t>
      </w:r>
      <w:r w:rsidR="00683DA9" w:rsidRPr="00CD2AB2">
        <w:rPr>
          <w:rFonts w:asciiTheme="minorHAnsi" w:hAnsiTheme="minorHAnsi" w:cstheme="minorBidi"/>
          <w:szCs w:val="22"/>
        </w:rPr>
        <w:t xml:space="preserve">n a time of heightened concerns around cyber security. </w:t>
      </w:r>
    </w:p>
    <w:p w14:paraId="59D34019" w14:textId="737A7965" w:rsidR="00795396" w:rsidRPr="00CD2AB2" w:rsidRDefault="00075E1A" w:rsidP="004779CB">
      <w:pPr>
        <w:pStyle w:val="Bullet"/>
        <w:numPr>
          <w:ilvl w:val="0"/>
          <w:numId w:val="0"/>
        </w:numPr>
        <w:spacing w:before="80" w:after="0"/>
      </w:pPr>
      <w:r w:rsidRPr="00CD2AB2">
        <w:t>The following tables outline</w:t>
      </w:r>
      <w:r w:rsidR="00F71090" w:rsidRPr="00CD2AB2">
        <w:t xml:space="preserve"> the Government’s</w:t>
      </w:r>
      <w:r w:rsidRPr="00CD2AB2">
        <w:t xml:space="preserve"> response to each recommendation and finding in the Review</w:t>
      </w:r>
      <w:r w:rsidR="00795396" w:rsidRPr="00CD2AB2">
        <w:t>.</w:t>
      </w:r>
    </w:p>
    <w:p w14:paraId="5A7AEC60" w14:textId="77777777" w:rsidR="00183AE5" w:rsidRPr="00CD2AB2" w:rsidRDefault="00183AE5">
      <w:pPr>
        <w:spacing w:before="0" w:after="160" w:line="259" w:lineRule="auto"/>
      </w:pPr>
      <w:r w:rsidRPr="00CD2AB2">
        <w:br w:type="page"/>
      </w:r>
    </w:p>
    <w:p w14:paraId="2FD87298" w14:textId="11613D57" w:rsidR="00E27213" w:rsidRPr="00CD2AB2" w:rsidRDefault="00F95DD9" w:rsidP="00F95DD9">
      <w:pPr>
        <w:pStyle w:val="TOCLevel2"/>
      </w:pPr>
      <w:r w:rsidRPr="00CD2AB2">
        <w:lastRenderedPageBreak/>
        <w:t xml:space="preserve">Government </w:t>
      </w:r>
      <w:r w:rsidR="004F6626" w:rsidRPr="00CD2AB2">
        <w:t xml:space="preserve">response </w:t>
      </w:r>
      <w:r w:rsidRPr="00CD2AB2">
        <w:t xml:space="preserve">to </w:t>
      </w:r>
      <w:bookmarkStart w:id="3" w:name="_Hlk80973337"/>
      <w:r w:rsidR="002A697A" w:rsidRPr="00CD2AB2">
        <w:t xml:space="preserve">Review </w:t>
      </w:r>
      <w:r w:rsidR="005A51A3" w:rsidRPr="00CD2AB2">
        <w:t>recommendations</w:t>
      </w:r>
      <w:bookmarkEnd w:id="3"/>
    </w:p>
    <w:tbl>
      <w:tblPr>
        <w:tblStyle w:val="RecommendationsBox2"/>
        <w:tblW w:w="921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5528"/>
      </w:tblGrid>
      <w:tr w:rsidR="006C315F" w:rsidRPr="00CD2AB2" w14:paraId="7B7DC6B2" w14:textId="77777777" w:rsidTr="4B2D0FD9">
        <w:trPr>
          <w:cnfStyle w:val="100000000000" w:firstRow="1" w:lastRow="0" w:firstColumn="0" w:lastColumn="0" w:oddVBand="0" w:evenVBand="0" w:oddHBand="0" w:evenHBand="0" w:firstRowFirstColumn="0" w:firstRowLastColumn="0" w:lastRowFirstColumn="0" w:lastRowLastColumn="0"/>
          <w:cantSplit/>
          <w:tblHeader/>
        </w:trPr>
        <w:tc>
          <w:tcPr>
            <w:tcW w:w="3686" w:type="dxa"/>
            <w:shd w:val="clear" w:color="auto" w:fill="002C47" w:themeFill="accent1"/>
          </w:tcPr>
          <w:p w14:paraId="38C7156C" w14:textId="552BB575" w:rsidR="00DE33DA" w:rsidRPr="00D50D17" w:rsidRDefault="00DE33DA" w:rsidP="00C30932">
            <w:pPr>
              <w:spacing w:before="0" w:after="0"/>
              <w:rPr>
                <w:rFonts w:asciiTheme="minorHAnsi" w:hAnsiTheme="minorHAnsi" w:cstheme="minorHAnsi"/>
                <w:sz w:val="22"/>
                <w:szCs w:val="22"/>
                <w:lang w:val="en-AU"/>
              </w:rPr>
            </w:pPr>
            <w:r w:rsidRPr="00CD2AB2">
              <w:rPr>
                <w:rFonts w:asciiTheme="minorHAnsi" w:hAnsiTheme="minorHAnsi" w:cstheme="minorHAnsi"/>
                <w:szCs w:val="22"/>
              </w:rPr>
              <w:t>Recommendation</w:t>
            </w:r>
          </w:p>
        </w:tc>
        <w:tc>
          <w:tcPr>
            <w:tcW w:w="5528" w:type="dxa"/>
            <w:shd w:val="clear" w:color="auto" w:fill="002C47" w:themeFill="accent1"/>
          </w:tcPr>
          <w:p w14:paraId="488D9AF0" w14:textId="52F728AE" w:rsidR="00DE33DA" w:rsidRPr="009C0F3A" w:rsidRDefault="00DE33DA" w:rsidP="00C30932">
            <w:pPr>
              <w:spacing w:before="0" w:after="0"/>
              <w:rPr>
                <w:rFonts w:asciiTheme="minorHAnsi" w:hAnsiTheme="minorHAnsi" w:cstheme="minorHAnsi"/>
                <w:sz w:val="22"/>
                <w:szCs w:val="22"/>
                <w:lang w:val="en-AU"/>
              </w:rPr>
            </w:pPr>
            <w:r w:rsidRPr="00CD2AB2">
              <w:rPr>
                <w:rFonts w:asciiTheme="minorHAnsi" w:hAnsiTheme="minorHAnsi" w:cstheme="minorHAnsi"/>
                <w:szCs w:val="22"/>
              </w:rPr>
              <w:t xml:space="preserve">Government </w:t>
            </w:r>
            <w:r w:rsidR="004F6626" w:rsidRPr="00CD2AB2">
              <w:rPr>
                <w:rFonts w:asciiTheme="minorHAnsi" w:hAnsiTheme="minorHAnsi" w:cstheme="minorHAnsi"/>
                <w:szCs w:val="22"/>
              </w:rPr>
              <w:t>statement</w:t>
            </w:r>
          </w:p>
        </w:tc>
      </w:tr>
      <w:tr w:rsidR="00F213C2" w:rsidRPr="00CD2AB2" w14:paraId="40A3C51B" w14:textId="77777777" w:rsidTr="4B2D0FD9">
        <w:trPr>
          <w:cnfStyle w:val="000000100000" w:firstRow="0" w:lastRow="0" w:firstColumn="0" w:lastColumn="0" w:oddVBand="0" w:evenVBand="0" w:oddHBand="1" w:evenHBand="0" w:firstRowFirstColumn="0" w:firstRowLastColumn="0" w:lastRowFirstColumn="0" w:lastRowLastColumn="0"/>
          <w:cantSplit/>
        </w:trPr>
        <w:tc>
          <w:tcPr>
            <w:tcW w:w="3686" w:type="dxa"/>
            <w:shd w:val="clear" w:color="auto" w:fill="auto"/>
            <w:vAlign w:val="top"/>
          </w:tcPr>
          <w:p w14:paraId="502D67D6" w14:textId="45D902BD" w:rsidR="00DE33DA" w:rsidRPr="009C0F3A" w:rsidRDefault="00DE33DA" w:rsidP="006B1B82">
            <w:pPr>
              <w:spacing w:before="0"/>
              <w:ind w:left="6" w:hanging="6"/>
              <w:rPr>
                <w:rFonts w:asciiTheme="minorHAnsi" w:hAnsiTheme="minorHAnsi" w:cstheme="minorHAnsi"/>
                <w:b/>
                <w:bCs/>
                <w:sz w:val="22"/>
                <w:szCs w:val="22"/>
                <w:lang w:val="en-AU"/>
              </w:rPr>
            </w:pPr>
            <w:r w:rsidRPr="00CD2AB2">
              <w:rPr>
                <w:rFonts w:asciiTheme="minorHAnsi" w:hAnsiTheme="minorHAnsi" w:cstheme="minorHAnsi"/>
                <w:b/>
                <w:szCs w:val="22"/>
              </w:rPr>
              <w:t xml:space="preserve">1.1 – Consideration of whether the sectoral approach for expansion is sufficiently flexible to support continued rollout of the CDR  </w:t>
            </w:r>
          </w:p>
          <w:p w14:paraId="65421D16" w14:textId="31A63433" w:rsidR="00DE33DA" w:rsidRPr="009C0F3A" w:rsidRDefault="00DE33DA" w:rsidP="006B1B82">
            <w:pPr>
              <w:spacing w:before="0"/>
              <w:ind w:left="6" w:hanging="6"/>
              <w:rPr>
                <w:rFonts w:asciiTheme="minorHAnsi" w:hAnsiTheme="minorHAnsi" w:cstheme="minorHAnsi"/>
                <w:sz w:val="22"/>
                <w:szCs w:val="22"/>
                <w:vertAlign w:val="subscript"/>
                <w:lang w:val="en-AU"/>
              </w:rPr>
            </w:pPr>
            <w:r w:rsidRPr="00CD2AB2">
              <w:rPr>
                <w:rFonts w:asciiTheme="minorHAnsi" w:hAnsiTheme="minorHAnsi" w:cstheme="minorHAnsi"/>
                <w:szCs w:val="22"/>
              </w:rPr>
              <w:t xml:space="preserve">In the short to medium term, the existing sector-by-sector approach can support the inclusion of targeted datasets that enable cross-sectoral use cases. Further consideration should be given to whether the sectoral approach for expansion is sufficiently flexible to support continued rollout of the CDR, with </w:t>
            </w:r>
            <w:proofErr w:type="gramStart"/>
            <w:r w:rsidRPr="00CD2AB2">
              <w:rPr>
                <w:rFonts w:asciiTheme="minorHAnsi" w:hAnsiTheme="minorHAnsi" w:cstheme="minorHAnsi"/>
                <w:szCs w:val="22"/>
              </w:rPr>
              <w:t>particular consideration</w:t>
            </w:r>
            <w:proofErr w:type="gramEnd"/>
            <w:r w:rsidRPr="00CD2AB2">
              <w:rPr>
                <w:rFonts w:asciiTheme="minorHAnsi" w:hAnsiTheme="minorHAnsi" w:cstheme="minorHAnsi"/>
                <w:szCs w:val="22"/>
              </w:rPr>
              <w:t xml:space="preserve"> given to introducing action initiation and government-held consumer data.</w:t>
            </w:r>
          </w:p>
        </w:tc>
        <w:tc>
          <w:tcPr>
            <w:tcW w:w="5528" w:type="dxa"/>
            <w:shd w:val="clear" w:color="auto" w:fill="auto"/>
            <w:vAlign w:val="top"/>
          </w:tcPr>
          <w:p w14:paraId="33161FE2" w14:textId="5C3EC697" w:rsidR="00ED61E1" w:rsidRPr="009C0F3A" w:rsidRDefault="00ED61E1" w:rsidP="00EB0551">
            <w:pPr>
              <w:pStyle w:val="BodyText"/>
              <w:spacing w:before="0" w:after="120"/>
              <w:ind w:left="6" w:hanging="6"/>
              <w:rPr>
                <w:rFonts w:asciiTheme="minorHAnsi" w:hAnsiTheme="minorHAnsi"/>
                <w:b/>
                <w:bCs/>
                <w:sz w:val="22"/>
                <w:szCs w:val="22"/>
                <w:lang w:val="en-AU"/>
              </w:rPr>
            </w:pPr>
            <w:r w:rsidRPr="00CD2AB2">
              <w:rPr>
                <w:rFonts w:asciiTheme="minorHAnsi" w:hAnsiTheme="minorHAnsi"/>
                <w:b/>
              </w:rPr>
              <w:t>Noted.</w:t>
            </w:r>
          </w:p>
          <w:p w14:paraId="2FB7B8AC" w14:textId="45A85E90" w:rsidR="006F2C02" w:rsidRPr="00292D6F" w:rsidRDefault="00ED61E1" w:rsidP="00292D6F">
            <w:pPr>
              <w:pStyle w:val="BodyText"/>
              <w:spacing w:before="0" w:after="120"/>
              <w:ind w:left="6" w:hanging="6"/>
              <w:rPr>
                <w:rFonts w:asciiTheme="minorHAnsi" w:hAnsiTheme="minorHAnsi"/>
              </w:rPr>
            </w:pPr>
            <w:r w:rsidRPr="00CD2AB2">
              <w:rPr>
                <w:rFonts w:asciiTheme="minorHAnsi" w:hAnsiTheme="minorHAnsi"/>
              </w:rPr>
              <w:t xml:space="preserve">The Government </w:t>
            </w:r>
            <w:r w:rsidRPr="00F6504A">
              <w:rPr>
                <w:rFonts w:asciiTheme="minorHAnsi" w:hAnsiTheme="minorHAnsi"/>
              </w:rPr>
              <w:t xml:space="preserve">has </w:t>
            </w:r>
            <w:r w:rsidR="00375DC9" w:rsidRPr="00F6504A">
              <w:rPr>
                <w:rFonts w:asciiTheme="minorHAnsi" w:hAnsiTheme="minorHAnsi"/>
              </w:rPr>
              <w:t>introduced</w:t>
            </w:r>
            <w:r w:rsidR="00DB23E5">
              <w:rPr>
                <w:rFonts w:asciiTheme="minorHAnsi" w:hAnsiTheme="minorHAnsi"/>
              </w:rPr>
              <w:t xml:space="preserve"> </w:t>
            </w:r>
            <w:r w:rsidRPr="00CD2AB2">
              <w:rPr>
                <w:rFonts w:asciiTheme="minorHAnsi" w:hAnsiTheme="minorHAnsi"/>
              </w:rPr>
              <w:t>legislation</w:t>
            </w:r>
            <w:r w:rsidR="00DB23E5">
              <w:rPr>
                <w:rFonts w:asciiTheme="minorHAnsi" w:hAnsiTheme="minorHAnsi"/>
              </w:rPr>
              <w:t xml:space="preserve"> into </w:t>
            </w:r>
            <w:r w:rsidR="003303B6">
              <w:rPr>
                <w:rFonts w:asciiTheme="minorHAnsi" w:hAnsiTheme="minorHAnsi"/>
              </w:rPr>
              <w:t>the Parliament</w:t>
            </w:r>
            <w:r w:rsidRPr="00CD2AB2">
              <w:rPr>
                <w:rFonts w:asciiTheme="minorHAnsi" w:hAnsiTheme="minorHAnsi"/>
              </w:rPr>
              <w:t xml:space="preserve"> </w:t>
            </w:r>
            <w:r w:rsidR="00B61B33" w:rsidRPr="00CD2AB2">
              <w:rPr>
                <w:rFonts w:asciiTheme="minorHAnsi" w:hAnsiTheme="minorHAnsi"/>
              </w:rPr>
              <w:t>to enable</w:t>
            </w:r>
            <w:r w:rsidRPr="00CD2AB2">
              <w:rPr>
                <w:rFonts w:asciiTheme="minorHAnsi" w:hAnsiTheme="minorHAnsi"/>
              </w:rPr>
              <w:t xml:space="preserve"> action initiation</w:t>
            </w:r>
            <w:r w:rsidR="003303B6">
              <w:rPr>
                <w:rFonts w:asciiTheme="minorHAnsi" w:hAnsiTheme="minorHAnsi"/>
              </w:rPr>
              <w:t>. The legislation</w:t>
            </w:r>
            <w:r w:rsidR="23AEA253" w:rsidRPr="00CD2AB2">
              <w:rPr>
                <w:rFonts w:asciiTheme="minorHAnsi" w:hAnsiTheme="minorHAnsi"/>
              </w:rPr>
              <w:t xml:space="preserve"> includ</w:t>
            </w:r>
            <w:r w:rsidR="003303B6">
              <w:rPr>
                <w:rFonts w:asciiTheme="minorHAnsi" w:hAnsiTheme="minorHAnsi"/>
              </w:rPr>
              <w:t>es</w:t>
            </w:r>
            <w:r w:rsidR="23AEA253" w:rsidRPr="00CD2AB2">
              <w:rPr>
                <w:rFonts w:asciiTheme="minorHAnsi" w:hAnsiTheme="minorHAnsi"/>
              </w:rPr>
              <w:t xml:space="preserve"> a process for the Minister to declare actions under the CDR. </w:t>
            </w:r>
          </w:p>
          <w:p w14:paraId="2F5E826C" w14:textId="5F8D588C" w:rsidR="00720C69" w:rsidRPr="009C0F3A" w:rsidRDefault="7A733FC3" w:rsidP="43A2D636">
            <w:pPr>
              <w:pStyle w:val="BodyText"/>
              <w:spacing w:before="0" w:after="120"/>
              <w:ind w:left="6" w:hanging="6"/>
              <w:rPr>
                <w:rFonts w:asciiTheme="minorHAnsi" w:hAnsiTheme="minorHAnsi"/>
                <w:sz w:val="22"/>
                <w:szCs w:val="22"/>
                <w:lang w:val="en-AU"/>
              </w:rPr>
            </w:pPr>
            <w:r w:rsidRPr="00CD2AB2">
              <w:rPr>
                <w:rFonts w:asciiTheme="minorHAnsi" w:hAnsiTheme="minorHAnsi"/>
              </w:rPr>
              <w:t xml:space="preserve">The Government will further </w:t>
            </w:r>
            <w:r w:rsidR="3C41BAB9" w:rsidRPr="00CD2AB2">
              <w:rPr>
                <w:rFonts w:asciiTheme="minorHAnsi" w:hAnsiTheme="minorHAnsi"/>
              </w:rPr>
              <w:t xml:space="preserve">consider the suitability of the current sector-based designation approach </w:t>
            </w:r>
            <w:r w:rsidR="5AFB68F3" w:rsidRPr="00CD2AB2">
              <w:rPr>
                <w:rFonts w:asciiTheme="minorHAnsi" w:hAnsiTheme="minorHAnsi"/>
              </w:rPr>
              <w:t>as the system expands</w:t>
            </w:r>
            <w:r w:rsidR="7C684245" w:rsidRPr="00CD2AB2">
              <w:rPr>
                <w:rFonts w:asciiTheme="minorHAnsi" w:hAnsiTheme="minorHAnsi"/>
              </w:rPr>
              <w:t xml:space="preserve"> </w:t>
            </w:r>
            <w:r w:rsidR="78AC83E2" w:rsidRPr="00CD2AB2">
              <w:rPr>
                <w:rFonts w:asciiTheme="minorHAnsi" w:hAnsiTheme="minorHAnsi"/>
              </w:rPr>
              <w:t>and includes more targeted</w:t>
            </w:r>
            <w:r w:rsidR="7C684245" w:rsidRPr="00CD2AB2">
              <w:rPr>
                <w:rFonts w:asciiTheme="minorHAnsi" w:hAnsiTheme="minorHAnsi"/>
              </w:rPr>
              <w:t xml:space="preserve"> datasets that enable </w:t>
            </w:r>
            <w:r w:rsidR="3E39561C" w:rsidRPr="00CD2AB2">
              <w:rPr>
                <w:rFonts w:asciiTheme="minorHAnsi" w:hAnsiTheme="minorHAnsi"/>
              </w:rPr>
              <w:t xml:space="preserve">new </w:t>
            </w:r>
            <w:r w:rsidR="7C684245" w:rsidRPr="00CD2AB2">
              <w:rPr>
                <w:rFonts w:asciiTheme="minorHAnsi" w:hAnsiTheme="minorHAnsi"/>
              </w:rPr>
              <w:t>cross-sectoral use cases</w:t>
            </w:r>
            <w:r w:rsidR="3C41BAB9" w:rsidRPr="00CD2AB2">
              <w:rPr>
                <w:rFonts w:asciiTheme="minorHAnsi" w:hAnsiTheme="minorHAnsi"/>
              </w:rPr>
              <w:t>.</w:t>
            </w:r>
          </w:p>
          <w:p w14:paraId="4AE7FB62" w14:textId="3F16C902" w:rsidR="00180786" w:rsidRPr="009C0F3A" w:rsidRDefault="00180786" w:rsidP="00264838">
            <w:pPr>
              <w:pStyle w:val="BodyText"/>
              <w:spacing w:before="0" w:after="120"/>
              <w:ind w:left="6" w:hanging="6"/>
              <w:rPr>
                <w:rFonts w:asciiTheme="minorHAnsi" w:hAnsiTheme="minorHAnsi"/>
                <w:sz w:val="22"/>
                <w:szCs w:val="22"/>
                <w:lang w:val="en-AU"/>
              </w:rPr>
            </w:pPr>
          </w:p>
        </w:tc>
      </w:tr>
      <w:tr w:rsidR="00F213C2" w:rsidRPr="00CD2AB2" w14:paraId="49B0DCCE" w14:textId="77777777" w:rsidTr="4B2D0FD9">
        <w:trPr>
          <w:cnfStyle w:val="000000010000" w:firstRow="0" w:lastRow="0" w:firstColumn="0" w:lastColumn="0" w:oddVBand="0" w:evenVBand="0" w:oddHBand="0" w:evenHBand="1" w:firstRowFirstColumn="0" w:firstRowLastColumn="0" w:lastRowFirstColumn="0" w:lastRowLastColumn="0"/>
          <w:cantSplit/>
        </w:trPr>
        <w:tc>
          <w:tcPr>
            <w:tcW w:w="3686" w:type="dxa"/>
            <w:shd w:val="clear" w:color="auto" w:fill="auto"/>
            <w:vAlign w:val="top"/>
          </w:tcPr>
          <w:p w14:paraId="3ED3EE94" w14:textId="09DE034E" w:rsidR="00DE33DA" w:rsidRPr="009C0F3A" w:rsidRDefault="00DE33DA" w:rsidP="006B1B82">
            <w:pPr>
              <w:spacing w:before="0"/>
              <w:ind w:left="6" w:hanging="6"/>
              <w:rPr>
                <w:rFonts w:asciiTheme="minorHAnsi" w:hAnsiTheme="minorHAnsi" w:cstheme="minorHAnsi"/>
                <w:b/>
                <w:bCs/>
                <w:sz w:val="22"/>
                <w:szCs w:val="22"/>
                <w:lang w:val="en-AU"/>
              </w:rPr>
            </w:pPr>
            <w:r w:rsidRPr="00CD2AB2">
              <w:rPr>
                <w:rFonts w:asciiTheme="minorHAnsi" w:hAnsiTheme="minorHAnsi" w:cstheme="minorHAnsi"/>
                <w:b/>
                <w:szCs w:val="22"/>
              </w:rPr>
              <w:t>1.2 - Streamlined mechanism to update a designation instrument for technical/minor considerations</w:t>
            </w:r>
          </w:p>
          <w:p w14:paraId="1356B21F" w14:textId="68EBF2F1" w:rsidR="00DE33DA" w:rsidRPr="009C0F3A" w:rsidRDefault="00DE33DA" w:rsidP="006B1B82">
            <w:pPr>
              <w:spacing w:before="0"/>
              <w:ind w:left="6" w:hanging="6"/>
              <w:rPr>
                <w:rFonts w:asciiTheme="minorHAnsi" w:hAnsiTheme="minorHAnsi" w:cstheme="minorHAnsi"/>
                <w:sz w:val="22"/>
                <w:szCs w:val="22"/>
                <w:lang w:val="en-AU"/>
              </w:rPr>
            </w:pPr>
            <w:r w:rsidRPr="00CD2AB2">
              <w:rPr>
                <w:rFonts w:asciiTheme="minorHAnsi" w:hAnsiTheme="minorHAnsi" w:cstheme="minorHAnsi"/>
                <w:szCs w:val="22"/>
              </w:rPr>
              <w:t>A streamlined mechanism to update a designation instrument for technical/minor considerations should be introduced if relevant details arise after designation. Any such mechanism should not replace the need for a full sectoral assessment for genuine system expansions.</w:t>
            </w:r>
          </w:p>
        </w:tc>
        <w:tc>
          <w:tcPr>
            <w:tcW w:w="5528" w:type="dxa"/>
            <w:shd w:val="clear" w:color="auto" w:fill="auto"/>
            <w:vAlign w:val="top"/>
          </w:tcPr>
          <w:p w14:paraId="713D020D" w14:textId="7487C05F" w:rsidR="0096093B" w:rsidRPr="009C0F3A" w:rsidRDefault="0096093B" w:rsidP="497BF4C5">
            <w:pPr>
              <w:spacing w:before="0"/>
              <w:ind w:left="6" w:hanging="6"/>
              <w:rPr>
                <w:rFonts w:asciiTheme="minorHAnsi" w:hAnsiTheme="minorHAnsi" w:cstheme="minorBidi"/>
                <w:b/>
                <w:bCs/>
                <w:sz w:val="22"/>
                <w:szCs w:val="22"/>
                <w:lang w:val="en-AU"/>
              </w:rPr>
            </w:pPr>
            <w:r w:rsidRPr="00CD2AB2">
              <w:rPr>
                <w:rFonts w:asciiTheme="minorHAnsi" w:hAnsiTheme="minorHAnsi" w:cstheme="minorBidi"/>
                <w:b/>
                <w:szCs w:val="22"/>
              </w:rPr>
              <w:t xml:space="preserve">Agree. </w:t>
            </w:r>
          </w:p>
          <w:p w14:paraId="4C84AAAD" w14:textId="77777777" w:rsidR="0096093B" w:rsidRPr="009C0F3A" w:rsidRDefault="0096093B" w:rsidP="0096093B">
            <w:pPr>
              <w:spacing w:before="0"/>
              <w:ind w:left="6" w:hanging="6"/>
              <w:rPr>
                <w:rFonts w:asciiTheme="minorHAnsi" w:hAnsiTheme="minorHAnsi" w:cstheme="minorHAnsi"/>
                <w:sz w:val="22"/>
                <w:szCs w:val="22"/>
                <w:lang w:val="en-AU"/>
              </w:rPr>
            </w:pPr>
            <w:r w:rsidRPr="00CD2AB2">
              <w:rPr>
                <w:rFonts w:asciiTheme="minorHAnsi" w:hAnsiTheme="minorHAnsi" w:cstheme="minorHAnsi"/>
                <w:szCs w:val="22"/>
              </w:rPr>
              <w:t>A streamlined mechanism to update a designation instrument for technical/minor considerations can make it easier for designation instruments to be fit-for-purpose and appropriately support innovation and CDR use cases.</w:t>
            </w:r>
          </w:p>
          <w:p w14:paraId="04018751" w14:textId="12C77B40" w:rsidR="00DE33DA" w:rsidRPr="009C0F3A" w:rsidRDefault="70AD3F4C" w:rsidP="296BBA97">
            <w:pPr>
              <w:spacing w:before="0"/>
              <w:ind w:left="6" w:hanging="6"/>
              <w:rPr>
                <w:rFonts w:asciiTheme="minorHAnsi" w:hAnsiTheme="minorHAnsi" w:cstheme="minorBidi"/>
                <w:sz w:val="22"/>
                <w:szCs w:val="22"/>
                <w:lang w:val="en-AU"/>
              </w:rPr>
            </w:pPr>
            <w:r w:rsidRPr="00CD2AB2">
              <w:rPr>
                <w:rFonts w:asciiTheme="minorHAnsi" w:hAnsiTheme="minorHAnsi" w:cstheme="minorBidi"/>
                <w:szCs w:val="22"/>
              </w:rPr>
              <w:t xml:space="preserve">The Government will consider </w:t>
            </w:r>
            <w:r w:rsidR="73725260" w:rsidRPr="00CD2AB2">
              <w:rPr>
                <w:rFonts w:asciiTheme="minorHAnsi" w:hAnsiTheme="minorHAnsi" w:cstheme="minorBidi"/>
                <w:szCs w:val="22"/>
              </w:rPr>
              <w:t>options</w:t>
            </w:r>
            <w:r w:rsidRPr="00CD2AB2">
              <w:rPr>
                <w:rFonts w:asciiTheme="minorHAnsi" w:hAnsiTheme="minorHAnsi" w:cstheme="minorBidi"/>
                <w:szCs w:val="22"/>
              </w:rPr>
              <w:t xml:space="preserve"> to allow for updates to the designation instrument on technical/minor considerations.</w:t>
            </w:r>
          </w:p>
        </w:tc>
      </w:tr>
      <w:tr w:rsidR="00F213C2" w:rsidRPr="00CD2AB2" w14:paraId="5524BD4D" w14:textId="77777777" w:rsidTr="4B2D0FD9">
        <w:trPr>
          <w:cnfStyle w:val="000000100000" w:firstRow="0" w:lastRow="0" w:firstColumn="0" w:lastColumn="0" w:oddVBand="0" w:evenVBand="0" w:oddHBand="1" w:evenHBand="0" w:firstRowFirstColumn="0" w:firstRowLastColumn="0" w:lastRowFirstColumn="0" w:lastRowLastColumn="0"/>
          <w:cantSplit/>
        </w:trPr>
        <w:tc>
          <w:tcPr>
            <w:tcW w:w="3686" w:type="dxa"/>
            <w:shd w:val="clear" w:color="auto" w:fill="auto"/>
            <w:vAlign w:val="top"/>
          </w:tcPr>
          <w:p w14:paraId="485F7057" w14:textId="54CB2A67" w:rsidR="00A43F80" w:rsidRPr="009C0F3A" w:rsidRDefault="00A43F80" w:rsidP="00A43F80">
            <w:pPr>
              <w:spacing w:before="0"/>
              <w:ind w:left="6" w:hanging="6"/>
              <w:rPr>
                <w:rFonts w:asciiTheme="minorHAnsi" w:hAnsiTheme="minorHAnsi" w:cstheme="minorHAnsi"/>
                <w:b/>
                <w:bCs/>
                <w:sz w:val="22"/>
                <w:szCs w:val="22"/>
                <w:lang w:val="en-AU"/>
              </w:rPr>
            </w:pPr>
            <w:r w:rsidRPr="00CD2AB2">
              <w:rPr>
                <w:rFonts w:asciiTheme="minorHAnsi" w:hAnsiTheme="minorHAnsi" w:cstheme="minorHAnsi"/>
                <w:b/>
                <w:szCs w:val="22"/>
              </w:rPr>
              <w:t>1.3 –</w:t>
            </w:r>
            <w:r w:rsidRPr="00CD2AB2">
              <w:rPr>
                <w:rFonts w:asciiTheme="minorHAnsi" w:hAnsiTheme="minorHAnsi" w:cstheme="minorHAnsi"/>
                <w:szCs w:val="22"/>
              </w:rPr>
              <w:t xml:space="preserve"> </w:t>
            </w:r>
            <w:r w:rsidRPr="00CD2AB2">
              <w:rPr>
                <w:rFonts w:asciiTheme="minorHAnsi" w:hAnsiTheme="minorHAnsi" w:cstheme="minorHAnsi"/>
                <w:b/>
                <w:szCs w:val="22"/>
              </w:rPr>
              <w:t>Timing of</w:t>
            </w:r>
            <w:r w:rsidRPr="00CD2AB2">
              <w:rPr>
                <w:rFonts w:asciiTheme="minorHAnsi" w:hAnsiTheme="minorHAnsi" w:cstheme="minorHAnsi"/>
                <w:szCs w:val="22"/>
              </w:rPr>
              <w:t xml:space="preserve"> </w:t>
            </w:r>
            <w:r w:rsidRPr="00CD2AB2">
              <w:rPr>
                <w:rFonts w:asciiTheme="minorHAnsi" w:hAnsiTheme="minorHAnsi" w:cstheme="minorHAnsi"/>
                <w:b/>
                <w:szCs w:val="22"/>
              </w:rPr>
              <w:t>the</w:t>
            </w:r>
            <w:r w:rsidRPr="00CD2AB2">
              <w:rPr>
                <w:rFonts w:asciiTheme="minorHAnsi" w:hAnsiTheme="minorHAnsi" w:cstheme="minorHAnsi"/>
                <w:szCs w:val="22"/>
              </w:rPr>
              <w:t xml:space="preserve"> </w:t>
            </w:r>
            <w:r w:rsidRPr="00CD2AB2">
              <w:rPr>
                <w:rFonts w:asciiTheme="minorHAnsi" w:hAnsiTheme="minorHAnsi" w:cstheme="minorHAnsi"/>
                <w:b/>
                <w:szCs w:val="22"/>
              </w:rPr>
              <w:t xml:space="preserve">Information Commissioner’s assessment on privacy and confidentiality </w:t>
            </w:r>
          </w:p>
          <w:p w14:paraId="0A477833" w14:textId="4F353C84" w:rsidR="00A43F80" w:rsidRPr="009C0F3A" w:rsidRDefault="00A43F80" w:rsidP="00A43F80">
            <w:pPr>
              <w:spacing w:before="0"/>
              <w:ind w:left="6" w:hanging="6"/>
              <w:rPr>
                <w:rFonts w:asciiTheme="minorHAnsi" w:hAnsiTheme="minorHAnsi" w:cstheme="minorHAnsi"/>
                <w:b/>
                <w:sz w:val="22"/>
                <w:szCs w:val="22"/>
                <w:lang w:val="en-AU"/>
              </w:rPr>
            </w:pPr>
            <w:r w:rsidRPr="00CD2AB2">
              <w:rPr>
                <w:rFonts w:asciiTheme="minorHAnsi" w:hAnsiTheme="minorHAnsi" w:cstheme="minorHAnsi"/>
                <w:szCs w:val="22"/>
              </w:rPr>
              <w:t>To ensure that privacy is properly factored into the designation design, it is recommended that the Information Commissioner’s assessment on privacy and confidentiality is</w:t>
            </w:r>
            <w:r w:rsidRPr="00CD2AB2" w:rsidDel="00B05CD0">
              <w:rPr>
                <w:rFonts w:asciiTheme="minorHAnsi" w:hAnsiTheme="minorHAnsi" w:cstheme="minorHAnsi"/>
                <w:szCs w:val="22"/>
              </w:rPr>
              <w:t xml:space="preserve"> considered as part of</w:t>
            </w:r>
            <w:r w:rsidRPr="00CD2AB2">
              <w:rPr>
                <w:rFonts w:asciiTheme="minorHAnsi" w:hAnsiTheme="minorHAnsi" w:cstheme="minorHAnsi"/>
                <w:szCs w:val="22"/>
              </w:rPr>
              <w:t xml:space="preserve"> the sectoral assessment report.  </w:t>
            </w:r>
          </w:p>
        </w:tc>
        <w:tc>
          <w:tcPr>
            <w:tcW w:w="5528" w:type="dxa"/>
            <w:shd w:val="clear" w:color="auto" w:fill="auto"/>
            <w:vAlign w:val="top"/>
          </w:tcPr>
          <w:p w14:paraId="123BB38F" w14:textId="16EBFF44" w:rsidR="00A43F80" w:rsidRPr="009C0F3A" w:rsidRDefault="00A43F80" w:rsidP="00E21B80">
            <w:pPr>
              <w:spacing w:before="0"/>
              <w:ind w:left="0" w:firstLine="0"/>
              <w:rPr>
                <w:b/>
                <w:bCs/>
                <w:sz w:val="22"/>
                <w:szCs w:val="22"/>
                <w:lang w:val="en-AU"/>
              </w:rPr>
            </w:pPr>
            <w:r w:rsidRPr="00CD2AB2">
              <w:rPr>
                <w:b/>
                <w:szCs w:val="22"/>
              </w:rPr>
              <w:t>Noted.</w:t>
            </w:r>
          </w:p>
          <w:p w14:paraId="02C9D0B2" w14:textId="38DFE957" w:rsidR="00A43F80" w:rsidRPr="009C0F3A" w:rsidRDefault="00A43F80" w:rsidP="73FCF691">
            <w:pPr>
              <w:rPr>
                <w:rFonts w:asciiTheme="minorHAnsi" w:eastAsia="Calibri" w:hAnsiTheme="minorHAnsi" w:cstheme="minorBidi"/>
                <w:sz w:val="22"/>
                <w:szCs w:val="22"/>
                <w:lang w:val="en-AU"/>
              </w:rPr>
            </w:pPr>
            <w:r w:rsidRPr="00CD2AB2">
              <w:rPr>
                <w:szCs w:val="22"/>
              </w:rPr>
              <w:t xml:space="preserve">Appropriate privacy settings are essential to the success of the CDR, </w:t>
            </w:r>
            <w:r w:rsidR="7E85A735" w:rsidRPr="00CD2AB2">
              <w:rPr>
                <w:szCs w:val="22"/>
              </w:rPr>
              <w:t xml:space="preserve">with </w:t>
            </w:r>
            <w:r w:rsidRPr="00CD2AB2">
              <w:rPr>
                <w:szCs w:val="22"/>
              </w:rPr>
              <w:t>CDR legislation includ</w:t>
            </w:r>
            <w:r w:rsidR="78C5CCAF" w:rsidRPr="00CD2AB2">
              <w:rPr>
                <w:szCs w:val="22"/>
              </w:rPr>
              <w:t>ing</w:t>
            </w:r>
            <w:r w:rsidRPr="00CD2AB2">
              <w:rPr>
                <w:szCs w:val="22"/>
              </w:rPr>
              <w:t xml:space="preserve"> a range of privacy protections </w:t>
            </w:r>
            <w:r w:rsidR="11CAF8E7" w:rsidRPr="00CD2AB2">
              <w:rPr>
                <w:szCs w:val="22"/>
              </w:rPr>
              <w:t xml:space="preserve">and </w:t>
            </w:r>
            <w:r w:rsidRPr="00CD2AB2">
              <w:rPr>
                <w:szCs w:val="22"/>
              </w:rPr>
              <w:t xml:space="preserve">consultation with the Information Commissioner. Under the </w:t>
            </w:r>
            <w:r w:rsidRPr="00CD2AB2">
              <w:rPr>
                <w:i/>
                <w:szCs w:val="22"/>
              </w:rPr>
              <w:t>Competition and Consumer Act 2010</w:t>
            </w:r>
            <w:r w:rsidRPr="00CD2AB2">
              <w:rPr>
                <w:szCs w:val="22"/>
              </w:rPr>
              <w:t xml:space="preserve">, before the Minister makes a legislative instrument to designate a sector to be subject to the CDR, the Minister must, among other things, </w:t>
            </w:r>
            <w:r w:rsidRPr="00CD2AB2">
              <w:rPr>
                <w:rFonts w:asciiTheme="minorHAnsi" w:eastAsia="Calibri" w:hAnsiTheme="minorHAnsi" w:cstheme="minorBidi"/>
                <w:szCs w:val="22"/>
              </w:rPr>
              <w:t>consult with the Information Commissioner about the likely effect of the designation on the privacy and confidentiality of consumers’ information (</w:t>
            </w:r>
            <w:r w:rsidR="006E2386" w:rsidRPr="00CD2AB2">
              <w:rPr>
                <w:rFonts w:asciiTheme="minorHAnsi" w:eastAsia="Calibri" w:hAnsiTheme="minorHAnsi" w:cstheme="minorBidi"/>
                <w:szCs w:val="22"/>
              </w:rPr>
              <w:t xml:space="preserve">section </w:t>
            </w:r>
            <w:r w:rsidRPr="00CD2AB2">
              <w:rPr>
                <w:rFonts w:asciiTheme="minorHAnsi" w:eastAsia="Calibri" w:hAnsiTheme="minorHAnsi" w:cstheme="minorBidi"/>
                <w:szCs w:val="22"/>
              </w:rPr>
              <w:t>56</w:t>
            </w:r>
            <w:proofErr w:type="gramStart"/>
            <w:r w:rsidRPr="00CD2AB2">
              <w:rPr>
                <w:rFonts w:asciiTheme="minorHAnsi" w:eastAsia="Calibri" w:hAnsiTheme="minorHAnsi" w:cstheme="minorBidi"/>
                <w:szCs w:val="22"/>
              </w:rPr>
              <w:t>AD(</w:t>
            </w:r>
            <w:proofErr w:type="gramEnd"/>
            <w:r w:rsidRPr="00CD2AB2">
              <w:rPr>
                <w:rFonts w:asciiTheme="minorHAnsi" w:eastAsia="Calibri" w:hAnsiTheme="minorHAnsi" w:cstheme="minorBidi"/>
                <w:szCs w:val="22"/>
              </w:rPr>
              <w:t>3)).</w:t>
            </w:r>
            <w:r w:rsidRPr="00CD2AB2">
              <w:rPr>
                <w:szCs w:val="22"/>
              </w:rPr>
              <w:t xml:space="preserve"> </w:t>
            </w:r>
            <w:r w:rsidRPr="00CD2AB2">
              <w:rPr>
                <w:rFonts w:asciiTheme="minorHAnsi" w:eastAsia="Calibri" w:hAnsiTheme="minorHAnsi" w:cstheme="minorBidi"/>
                <w:szCs w:val="22"/>
              </w:rPr>
              <w:t>The Information Commissioner must assess this and report to the Minister (</w:t>
            </w:r>
            <w:r w:rsidR="006850FE" w:rsidRPr="00CD2AB2">
              <w:rPr>
                <w:rFonts w:asciiTheme="minorHAnsi" w:eastAsia="Calibri" w:hAnsiTheme="minorHAnsi" w:cstheme="minorBidi"/>
                <w:szCs w:val="22"/>
              </w:rPr>
              <w:t xml:space="preserve">section </w:t>
            </w:r>
            <w:r w:rsidRPr="00CD2AB2">
              <w:rPr>
                <w:rFonts w:asciiTheme="minorHAnsi" w:eastAsia="Calibri" w:hAnsiTheme="minorHAnsi" w:cstheme="minorBidi"/>
                <w:szCs w:val="22"/>
              </w:rPr>
              <w:t xml:space="preserve">56AF). </w:t>
            </w:r>
            <w:r w:rsidRPr="00CD2AB2">
              <w:rPr>
                <w:szCs w:val="22"/>
              </w:rPr>
              <w:t>The Statutory Review identified an apparent lack of clarity in the legislation on when the Information Commissioner’s assessment must be provided to the Minister.</w:t>
            </w:r>
          </w:p>
          <w:p w14:paraId="72DAF638" w14:textId="3D5AD2D5" w:rsidR="00A43F80" w:rsidRPr="009C0F3A" w:rsidRDefault="00A43F80" w:rsidP="73FCF691">
            <w:pPr>
              <w:rPr>
                <w:sz w:val="22"/>
                <w:szCs w:val="22"/>
                <w:lang w:val="en-AU"/>
              </w:rPr>
            </w:pPr>
            <w:r w:rsidRPr="00CD2AB2">
              <w:rPr>
                <w:szCs w:val="22"/>
              </w:rPr>
              <w:t xml:space="preserve">The Government will </w:t>
            </w:r>
            <w:r w:rsidR="6A211474" w:rsidRPr="00CD2AB2">
              <w:rPr>
                <w:szCs w:val="22"/>
              </w:rPr>
              <w:t xml:space="preserve">further </w:t>
            </w:r>
            <w:r w:rsidRPr="00CD2AB2">
              <w:rPr>
                <w:szCs w:val="22"/>
              </w:rPr>
              <w:t>consider ways to ensure that privacy impacts are effectively considered in this process to deliver the best outcomes for consumers.</w:t>
            </w:r>
          </w:p>
        </w:tc>
      </w:tr>
      <w:tr w:rsidR="00F213C2" w:rsidRPr="00CD2AB2" w14:paraId="31156C89" w14:textId="77777777" w:rsidTr="4B2D0FD9">
        <w:trPr>
          <w:cnfStyle w:val="000000010000" w:firstRow="0" w:lastRow="0" w:firstColumn="0" w:lastColumn="0" w:oddVBand="0" w:evenVBand="0" w:oddHBand="0" w:evenHBand="1" w:firstRowFirstColumn="0" w:firstRowLastColumn="0" w:lastRowFirstColumn="0" w:lastRowLastColumn="0"/>
          <w:cantSplit/>
        </w:trPr>
        <w:tc>
          <w:tcPr>
            <w:tcW w:w="3686" w:type="dxa"/>
            <w:shd w:val="clear" w:color="auto" w:fill="auto"/>
            <w:vAlign w:val="top"/>
          </w:tcPr>
          <w:p w14:paraId="5B430647" w14:textId="6BFF4033" w:rsidR="00A43F80" w:rsidRPr="00D50D17" w:rsidRDefault="00A43F80" w:rsidP="00A43F80">
            <w:pPr>
              <w:spacing w:before="0"/>
              <w:ind w:left="6" w:hanging="6"/>
              <w:rPr>
                <w:rFonts w:asciiTheme="minorHAnsi" w:hAnsiTheme="minorHAnsi" w:cstheme="minorHAnsi"/>
                <w:sz w:val="22"/>
                <w:szCs w:val="22"/>
                <w:lang w:val="en-AU"/>
              </w:rPr>
            </w:pPr>
            <w:r w:rsidRPr="00CD2AB2">
              <w:rPr>
                <w:rFonts w:asciiTheme="minorHAnsi" w:hAnsiTheme="minorHAnsi" w:cstheme="minorHAnsi"/>
                <w:b/>
                <w:szCs w:val="22"/>
              </w:rPr>
              <w:lastRenderedPageBreak/>
              <w:t>1.4 – Greater transparency on consultation processes and a timeline of expected future developments</w:t>
            </w:r>
          </w:p>
          <w:p w14:paraId="0E889453" w14:textId="7619EA6B" w:rsidR="00A43F80" w:rsidRPr="00D50D17" w:rsidRDefault="00A43F80" w:rsidP="00A43F80">
            <w:pPr>
              <w:spacing w:before="0"/>
              <w:ind w:left="6" w:hanging="6"/>
              <w:rPr>
                <w:rFonts w:asciiTheme="minorHAnsi" w:hAnsiTheme="minorHAnsi" w:cstheme="minorHAnsi"/>
                <w:b/>
                <w:sz w:val="22"/>
                <w:szCs w:val="22"/>
                <w:lang w:val="en-AU"/>
              </w:rPr>
            </w:pPr>
            <w:r w:rsidRPr="00CD2AB2">
              <w:rPr>
                <w:rFonts w:asciiTheme="minorHAnsi" w:hAnsiTheme="minorHAnsi" w:cstheme="minorHAnsi"/>
                <w:szCs w:val="22"/>
              </w:rPr>
              <w:t>To provide greater clarity and certainty to all participants, the Government, with CDR agencies, should provide greater transparency on CDR consultation processes and a timeline that outlines expected future developments.</w:t>
            </w:r>
          </w:p>
        </w:tc>
        <w:tc>
          <w:tcPr>
            <w:tcW w:w="5528" w:type="dxa"/>
            <w:shd w:val="clear" w:color="auto" w:fill="auto"/>
            <w:vAlign w:val="top"/>
          </w:tcPr>
          <w:p w14:paraId="5695F45F" w14:textId="76AC85D4" w:rsidR="0024576F" w:rsidRPr="00D50D17" w:rsidRDefault="4EACC67E" w:rsidP="497BF4C5">
            <w:pPr>
              <w:spacing w:before="0"/>
              <w:ind w:left="6" w:hanging="6"/>
              <w:rPr>
                <w:rFonts w:asciiTheme="minorHAnsi" w:hAnsiTheme="minorHAnsi" w:cstheme="minorBidi"/>
                <w:b/>
                <w:bCs/>
                <w:sz w:val="22"/>
                <w:szCs w:val="22"/>
                <w:lang w:val="en-AU"/>
              </w:rPr>
            </w:pPr>
            <w:r w:rsidRPr="00CD2AB2">
              <w:rPr>
                <w:rFonts w:asciiTheme="minorHAnsi" w:hAnsiTheme="minorHAnsi" w:cstheme="minorBidi"/>
                <w:b/>
                <w:szCs w:val="22"/>
              </w:rPr>
              <w:t xml:space="preserve">Agree. </w:t>
            </w:r>
          </w:p>
          <w:p w14:paraId="017516AD" w14:textId="317B051F" w:rsidR="00A43F80" w:rsidRPr="00D50D17" w:rsidRDefault="5707EE77" w:rsidP="6B6538ED">
            <w:pPr>
              <w:spacing w:before="0"/>
              <w:ind w:left="6" w:hanging="6"/>
              <w:rPr>
                <w:rFonts w:asciiTheme="minorHAnsi" w:hAnsiTheme="minorHAnsi" w:cstheme="minorBidi"/>
                <w:sz w:val="22"/>
                <w:szCs w:val="22"/>
                <w:lang w:val="en-AU"/>
              </w:rPr>
            </w:pPr>
            <w:r w:rsidRPr="6B6538ED">
              <w:rPr>
                <w:rFonts w:asciiTheme="minorHAnsi" w:hAnsiTheme="minorHAnsi" w:cstheme="minorBidi"/>
              </w:rPr>
              <w:t xml:space="preserve">The Government is committed to engaging with industry, consumer groups and sectoral groups to provide greater transparency on CDR consultation processes. A public-facing </w:t>
            </w:r>
            <w:r w:rsidR="2E3049CA" w:rsidRPr="6B6538ED">
              <w:rPr>
                <w:rFonts w:asciiTheme="minorHAnsi" w:hAnsiTheme="minorHAnsi" w:cstheme="minorBidi"/>
              </w:rPr>
              <w:t xml:space="preserve">forward work plan </w:t>
            </w:r>
            <w:r w:rsidR="26543A54" w:rsidRPr="00DF7EB8">
              <w:rPr>
                <w:rFonts w:asciiTheme="minorHAnsi" w:hAnsiTheme="minorHAnsi" w:cstheme="minorBidi"/>
              </w:rPr>
              <w:t>will be published</w:t>
            </w:r>
            <w:r w:rsidR="1E806478" w:rsidRPr="00DF7EB8">
              <w:rPr>
                <w:rFonts w:asciiTheme="minorHAnsi" w:hAnsiTheme="minorHAnsi" w:cstheme="minorBidi"/>
              </w:rPr>
              <w:t xml:space="preserve"> online</w:t>
            </w:r>
            <w:r w:rsidRPr="6B6538ED">
              <w:rPr>
                <w:rFonts w:asciiTheme="minorHAnsi" w:hAnsiTheme="minorHAnsi" w:cstheme="minorBidi"/>
              </w:rPr>
              <w:t xml:space="preserve">, outlining </w:t>
            </w:r>
            <w:r w:rsidR="7B46DA91" w:rsidRPr="6B6538ED">
              <w:rPr>
                <w:rFonts w:asciiTheme="minorHAnsi" w:hAnsiTheme="minorHAnsi" w:cstheme="minorBidi"/>
              </w:rPr>
              <w:t xml:space="preserve">expected future </w:t>
            </w:r>
            <w:r w:rsidRPr="6B6538ED">
              <w:rPr>
                <w:rFonts w:asciiTheme="minorHAnsi" w:hAnsiTheme="minorHAnsi" w:cstheme="minorBidi"/>
              </w:rPr>
              <w:t>consultations and developments.</w:t>
            </w:r>
          </w:p>
          <w:p w14:paraId="586EE35E" w14:textId="7102C7B7" w:rsidR="00D638C6" w:rsidRPr="00D50D17" w:rsidRDefault="00D86E26" w:rsidP="296BBA97">
            <w:pPr>
              <w:spacing w:before="0"/>
              <w:ind w:left="6" w:hanging="6"/>
              <w:rPr>
                <w:rFonts w:asciiTheme="minorHAnsi" w:hAnsiTheme="minorHAnsi" w:cstheme="minorBidi"/>
                <w:sz w:val="22"/>
                <w:szCs w:val="22"/>
                <w:lang w:val="en-AU"/>
              </w:rPr>
            </w:pPr>
            <w:r w:rsidRPr="00CD2AB2">
              <w:rPr>
                <w:rFonts w:cs="Calibri"/>
                <w:szCs w:val="22"/>
                <w:lang w:eastAsia="en-US"/>
              </w:rPr>
              <w:t>E</w:t>
            </w:r>
            <w:r w:rsidR="00D638C6" w:rsidRPr="00CD2AB2">
              <w:rPr>
                <w:rFonts w:cs="Calibri"/>
                <w:szCs w:val="22"/>
                <w:lang w:eastAsia="en-US"/>
              </w:rPr>
              <w:t xml:space="preserve">ngagement </w:t>
            </w:r>
            <w:r w:rsidR="001056F4" w:rsidRPr="00CD2AB2">
              <w:rPr>
                <w:rFonts w:cs="Calibri"/>
                <w:szCs w:val="22"/>
                <w:lang w:eastAsia="en-US"/>
              </w:rPr>
              <w:t>will</w:t>
            </w:r>
            <w:r w:rsidR="00D638C6" w:rsidRPr="00CD2AB2">
              <w:rPr>
                <w:rFonts w:cs="Calibri"/>
                <w:szCs w:val="22"/>
                <w:lang w:eastAsia="en-US"/>
              </w:rPr>
              <w:t xml:space="preserve"> consider the needs and experiences of </w:t>
            </w:r>
            <w:r w:rsidR="00D44B2C" w:rsidRPr="00CD2AB2">
              <w:rPr>
                <w:rFonts w:cs="Calibri"/>
                <w:szCs w:val="22"/>
                <w:lang w:eastAsia="en-US"/>
              </w:rPr>
              <w:t>different</w:t>
            </w:r>
            <w:r w:rsidR="009F283F" w:rsidRPr="00CD2AB2">
              <w:rPr>
                <w:rFonts w:cs="Calibri"/>
                <w:szCs w:val="22"/>
                <w:lang w:eastAsia="en-US"/>
              </w:rPr>
              <w:t xml:space="preserve"> types of consumers</w:t>
            </w:r>
            <w:r w:rsidR="001056F4" w:rsidRPr="00CD2AB2">
              <w:rPr>
                <w:rFonts w:cs="Calibri"/>
                <w:szCs w:val="22"/>
                <w:lang w:eastAsia="en-US"/>
              </w:rPr>
              <w:t xml:space="preserve">, including </w:t>
            </w:r>
            <w:r w:rsidR="00094486" w:rsidRPr="00CD2AB2">
              <w:rPr>
                <w:rFonts w:cs="Calibri"/>
                <w:szCs w:val="22"/>
                <w:lang w:eastAsia="en-US"/>
              </w:rPr>
              <w:t xml:space="preserve">the needs </w:t>
            </w:r>
            <w:r w:rsidR="004F6E38" w:rsidRPr="00CD2AB2">
              <w:rPr>
                <w:rFonts w:cs="Calibri"/>
                <w:szCs w:val="22"/>
                <w:lang w:eastAsia="en-US"/>
              </w:rPr>
              <w:t>and experiences of women</w:t>
            </w:r>
            <w:r w:rsidR="001056F4" w:rsidRPr="00CD2AB2">
              <w:rPr>
                <w:rFonts w:cs="Calibri"/>
                <w:szCs w:val="22"/>
                <w:lang w:eastAsia="en-US"/>
              </w:rPr>
              <w:t xml:space="preserve"> (</w:t>
            </w:r>
            <w:r w:rsidR="00D638C6" w:rsidRPr="00CD2AB2">
              <w:rPr>
                <w:rFonts w:cs="Calibri"/>
                <w:szCs w:val="22"/>
                <w:lang w:eastAsia="en-US"/>
              </w:rPr>
              <w:t xml:space="preserve">as </w:t>
            </w:r>
            <w:r w:rsidR="009F283F" w:rsidRPr="00CD2AB2">
              <w:rPr>
                <w:rFonts w:cs="Calibri"/>
                <w:szCs w:val="22"/>
                <w:lang w:eastAsia="en-US"/>
              </w:rPr>
              <w:t xml:space="preserve">individual </w:t>
            </w:r>
            <w:r w:rsidR="00D638C6" w:rsidRPr="00CD2AB2">
              <w:rPr>
                <w:rFonts w:cs="Calibri"/>
                <w:szCs w:val="22"/>
                <w:lang w:eastAsia="en-US"/>
              </w:rPr>
              <w:t>consumers and small business owners</w:t>
            </w:r>
            <w:r w:rsidR="001056F4" w:rsidRPr="00CD2AB2">
              <w:rPr>
                <w:rFonts w:cs="Calibri"/>
                <w:szCs w:val="22"/>
                <w:lang w:eastAsia="en-US"/>
              </w:rPr>
              <w:t>)</w:t>
            </w:r>
            <w:r w:rsidR="009F2458" w:rsidRPr="00CD2AB2">
              <w:rPr>
                <w:rFonts w:cs="Calibri"/>
                <w:szCs w:val="22"/>
                <w:lang w:eastAsia="en-US"/>
              </w:rPr>
              <w:t xml:space="preserve"> and</w:t>
            </w:r>
            <w:r w:rsidR="00144E27" w:rsidRPr="00CD2AB2">
              <w:rPr>
                <w:rFonts w:cs="Calibri"/>
                <w:szCs w:val="22"/>
                <w:lang w:eastAsia="en-US"/>
              </w:rPr>
              <w:t xml:space="preserve"> vulnerable consumers</w:t>
            </w:r>
            <w:r w:rsidR="00D638C6" w:rsidRPr="00CD2AB2">
              <w:rPr>
                <w:rFonts w:cs="Calibri"/>
                <w:szCs w:val="22"/>
                <w:lang w:eastAsia="en-US"/>
              </w:rPr>
              <w:t>.</w:t>
            </w:r>
          </w:p>
        </w:tc>
      </w:tr>
      <w:tr w:rsidR="00F213C2" w:rsidRPr="00CD2AB2" w14:paraId="3053704E" w14:textId="77777777" w:rsidTr="4B2D0FD9">
        <w:trPr>
          <w:cnfStyle w:val="000000100000" w:firstRow="0" w:lastRow="0" w:firstColumn="0" w:lastColumn="0" w:oddVBand="0" w:evenVBand="0" w:oddHBand="1" w:evenHBand="0" w:firstRowFirstColumn="0" w:firstRowLastColumn="0" w:lastRowFirstColumn="0" w:lastRowLastColumn="0"/>
          <w:cantSplit/>
        </w:trPr>
        <w:tc>
          <w:tcPr>
            <w:tcW w:w="3686" w:type="dxa"/>
            <w:shd w:val="clear" w:color="auto" w:fill="auto"/>
            <w:vAlign w:val="top"/>
          </w:tcPr>
          <w:p w14:paraId="30AD05B9" w14:textId="77777777" w:rsidR="00A43F80" w:rsidRPr="00D50D17" w:rsidRDefault="00A43F80" w:rsidP="00A43F80">
            <w:pPr>
              <w:spacing w:before="0"/>
              <w:ind w:left="0" w:firstLine="0"/>
              <w:rPr>
                <w:rFonts w:asciiTheme="minorHAnsi" w:hAnsiTheme="minorHAnsi" w:cstheme="minorHAnsi"/>
                <w:sz w:val="22"/>
                <w:szCs w:val="22"/>
                <w:lang w:val="en-AU"/>
              </w:rPr>
            </w:pPr>
            <w:r w:rsidRPr="00CD2AB2">
              <w:rPr>
                <w:rFonts w:asciiTheme="minorHAnsi" w:hAnsiTheme="minorHAnsi" w:cstheme="minorHAnsi"/>
                <w:b/>
                <w:szCs w:val="22"/>
              </w:rPr>
              <w:t>1.5 – Greater visibility of success measures</w:t>
            </w:r>
            <w:r w:rsidRPr="00CD2AB2">
              <w:rPr>
                <w:rFonts w:asciiTheme="minorHAnsi" w:hAnsiTheme="minorHAnsi" w:cstheme="minorHAnsi"/>
                <w:szCs w:val="22"/>
              </w:rPr>
              <w:t xml:space="preserve"> </w:t>
            </w:r>
          </w:p>
          <w:p w14:paraId="54C8CE6D" w14:textId="6B55996D" w:rsidR="00A43F80" w:rsidRPr="00D50D17" w:rsidRDefault="00A43F80" w:rsidP="00A43F80">
            <w:pPr>
              <w:spacing w:before="0"/>
              <w:ind w:left="0" w:firstLine="0"/>
              <w:rPr>
                <w:rFonts w:asciiTheme="minorHAnsi" w:hAnsiTheme="minorHAnsi" w:cstheme="minorHAnsi"/>
                <w:sz w:val="22"/>
                <w:szCs w:val="22"/>
                <w:lang w:val="en-AU"/>
              </w:rPr>
            </w:pPr>
            <w:r w:rsidRPr="00CD2AB2">
              <w:rPr>
                <w:rFonts w:asciiTheme="minorHAnsi" w:hAnsiTheme="minorHAnsi" w:cstheme="minorHAnsi"/>
                <w:szCs w:val="22"/>
              </w:rPr>
              <w:t>Greater visibility of success measures and system objectives will provide increased confidence and assurance to participants. Success measures should incorporate measures of system health and meaningful outcomes for consumers.</w:t>
            </w:r>
          </w:p>
        </w:tc>
        <w:tc>
          <w:tcPr>
            <w:tcW w:w="5528" w:type="dxa"/>
            <w:shd w:val="clear" w:color="auto" w:fill="auto"/>
            <w:vAlign w:val="top"/>
          </w:tcPr>
          <w:p w14:paraId="6D8E91A6" w14:textId="539703B6" w:rsidR="002748D0" w:rsidRPr="00D50D17" w:rsidRDefault="5154C301" w:rsidP="497BF4C5">
            <w:pPr>
              <w:spacing w:before="0"/>
              <w:ind w:left="6" w:hanging="6"/>
              <w:rPr>
                <w:rFonts w:asciiTheme="minorHAnsi" w:hAnsiTheme="minorHAnsi" w:cstheme="minorBidi"/>
                <w:b/>
                <w:bCs/>
                <w:sz w:val="22"/>
                <w:szCs w:val="22"/>
                <w:lang w:val="en-AU"/>
              </w:rPr>
            </w:pPr>
            <w:r w:rsidRPr="00CD2AB2">
              <w:rPr>
                <w:rFonts w:asciiTheme="minorHAnsi" w:hAnsiTheme="minorHAnsi" w:cstheme="minorBidi"/>
                <w:b/>
                <w:szCs w:val="22"/>
              </w:rPr>
              <w:t xml:space="preserve">Agree. </w:t>
            </w:r>
          </w:p>
          <w:p w14:paraId="4FDB6F8E" w14:textId="5780362D" w:rsidR="00A43F80" w:rsidRPr="00D50D17" w:rsidRDefault="1F9FAA89" w:rsidP="6B6538ED">
            <w:pPr>
              <w:spacing w:before="0"/>
              <w:ind w:left="6" w:hanging="6"/>
              <w:rPr>
                <w:rFonts w:asciiTheme="minorHAnsi" w:hAnsiTheme="minorHAnsi" w:cstheme="minorBidi"/>
                <w:sz w:val="22"/>
                <w:szCs w:val="22"/>
                <w:lang w:val="en-AU"/>
              </w:rPr>
            </w:pPr>
            <w:r w:rsidRPr="00CD2AB2">
              <w:rPr>
                <w:rFonts w:asciiTheme="minorHAnsi" w:hAnsiTheme="minorHAnsi" w:cstheme="minorBidi"/>
                <w:szCs w:val="22"/>
              </w:rPr>
              <w:t xml:space="preserve">Treasury </w:t>
            </w:r>
            <w:r w:rsidR="008D1B52">
              <w:rPr>
                <w:rFonts w:asciiTheme="minorHAnsi" w:hAnsiTheme="minorHAnsi" w:cstheme="minorBidi"/>
                <w:szCs w:val="22"/>
              </w:rPr>
              <w:t>in consultation with</w:t>
            </w:r>
            <w:r w:rsidR="008D1B52" w:rsidRPr="00CD2AB2">
              <w:rPr>
                <w:rFonts w:asciiTheme="minorHAnsi" w:hAnsiTheme="minorHAnsi" w:cstheme="minorBidi"/>
                <w:szCs w:val="22"/>
              </w:rPr>
              <w:t xml:space="preserve"> </w:t>
            </w:r>
            <w:r w:rsidRPr="00CD2AB2">
              <w:rPr>
                <w:rFonts w:asciiTheme="minorHAnsi" w:hAnsiTheme="minorHAnsi" w:cstheme="minorBidi"/>
                <w:szCs w:val="22"/>
              </w:rPr>
              <w:t xml:space="preserve">CDR agencies have been developing a Benefits </w:t>
            </w:r>
            <w:proofErr w:type="spellStart"/>
            <w:r w:rsidRPr="00CD2AB2">
              <w:rPr>
                <w:rFonts w:asciiTheme="minorHAnsi" w:hAnsiTheme="minorHAnsi" w:cstheme="minorBidi"/>
                <w:szCs w:val="22"/>
              </w:rPr>
              <w:t>Realisation</w:t>
            </w:r>
            <w:proofErr w:type="spellEnd"/>
            <w:r w:rsidRPr="00CD2AB2">
              <w:rPr>
                <w:rFonts w:asciiTheme="minorHAnsi" w:hAnsiTheme="minorHAnsi" w:cstheme="minorBidi"/>
                <w:szCs w:val="22"/>
              </w:rPr>
              <w:t xml:space="preserve"> Management Framework capturing lead indicators and success measures. A public-facing benefits </w:t>
            </w:r>
            <w:proofErr w:type="spellStart"/>
            <w:r w:rsidRPr="00CD2AB2">
              <w:rPr>
                <w:rFonts w:asciiTheme="minorHAnsi" w:hAnsiTheme="minorHAnsi" w:cstheme="minorBidi"/>
                <w:szCs w:val="22"/>
              </w:rPr>
              <w:t>realisation</w:t>
            </w:r>
            <w:proofErr w:type="spellEnd"/>
            <w:r w:rsidRPr="00CD2AB2">
              <w:rPr>
                <w:rFonts w:asciiTheme="minorHAnsi" w:hAnsiTheme="minorHAnsi" w:cstheme="minorBidi"/>
                <w:szCs w:val="22"/>
              </w:rPr>
              <w:t xml:space="preserve"> framework</w:t>
            </w:r>
            <w:r w:rsidR="494185BE" w:rsidRPr="00CD2AB2">
              <w:rPr>
                <w:rFonts w:asciiTheme="minorHAnsi" w:hAnsiTheme="minorHAnsi" w:cstheme="minorBidi"/>
                <w:szCs w:val="22"/>
              </w:rPr>
              <w:t xml:space="preserve"> </w:t>
            </w:r>
            <w:r w:rsidR="6742E44F" w:rsidRPr="00CD2AB2">
              <w:rPr>
                <w:rFonts w:asciiTheme="minorHAnsi" w:hAnsiTheme="minorHAnsi" w:cstheme="minorBidi"/>
                <w:szCs w:val="22"/>
              </w:rPr>
              <w:t>outlining desired outcomes of the CDR program</w:t>
            </w:r>
            <w:r w:rsidR="2E82A655" w:rsidRPr="00CD2AB2">
              <w:rPr>
                <w:rFonts w:asciiTheme="minorHAnsi" w:hAnsiTheme="minorHAnsi" w:cstheme="minorBidi"/>
                <w:szCs w:val="22"/>
              </w:rPr>
              <w:t xml:space="preserve"> – </w:t>
            </w:r>
            <w:r w:rsidR="6542AB30" w:rsidRPr="00CD2AB2">
              <w:rPr>
                <w:rFonts w:asciiTheme="minorHAnsi" w:hAnsiTheme="minorHAnsi" w:cstheme="minorBidi"/>
                <w:szCs w:val="22"/>
              </w:rPr>
              <w:t>covering</w:t>
            </w:r>
            <w:r w:rsidR="2E82A655" w:rsidRPr="00CD2AB2">
              <w:rPr>
                <w:rFonts w:asciiTheme="minorHAnsi" w:hAnsiTheme="minorHAnsi" w:cstheme="minorBidi"/>
                <w:szCs w:val="22"/>
              </w:rPr>
              <w:t xml:space="preserve"> </w:t>
            </w:r>
            <w:r w:rsidR="6542AB30" w:rsidRPr="00CD2AB2">
              <w:rPr>
                <w:rFonts w:asciiTheme="minorHAnsi" w:hAnsiTheme="minorHAnsi" w:cstheme="minorBidi"/>
                <w:szCs w:val="22"/>
              </w:rPr>
              <w:t xml:space="preserve">program operations, consumer </w:t>
            </w:r>
            <w:r w:rsidR="38D27819" w:rsidRPr="00CD2AB2">
              <w:rPr>
                <w:rFonts w:asciiTheme="minorHAnsi" w:hAnsiTheme="minorHAnsi" w:cstheme="minorBidi"/>
                <w:szCs w:val="22"/>
              </w:rPr>
              <w:t>outcomes</w:t>
            </w:r>
            <w:r w:rsidR="6542AB30" w:rsidRPr="00CD2AB2">
              <w:rPr>
                <w:rFonts w:asciiTheme="minorHAnsi" w:hAnsiTheme="minorHAnsi" w:cstheme="minorBidi"/>
                <w:szCs w:val="22"/>
              </w:rPr>
              <w:t xml:space="preserve">, and </w:t>
            </w:r>
            <w:r w:rsidR="38D27819" w:rsidRPr="00CD2AB2">
              <w:rPr>
                <w:rFonts w:asciiTheme="minorHAnsi" w:hAnsiTheme="minorHAnsi" w:cstheme="minorBidi"/>
                <w:szCs w:val="22"/>
              </w:rPr>
              <w:t>economic outcomes</w:t>
            </w:r>
            <w:r w:rsidR="6542AB30" w:rsidRPr="00CD2AB2">
              <w:rPr>
                <w:rFonts w:asciiTheme="minorHAnsi" w:hAnsiTheme="minorHAnsi" w:cstheme="minorBidi"/>
                <w:szCs w:val="22"/>
              </w:rPr>
              <w:t xml:space="preserve"> –</w:t>
            </w:r>
            <w:r w:rsidR="320D0EAB" w:rsidRPr="00CD2AB2">
              <w:rPr>
                <w:rFonts w:asciiTheme="minorHAnsi" w:hAnsiTheme="minorHAnsi" w:cstheme="minorBidi"/>
                <w:szCs w:val="22"/>
              </w:rPr>
              <w:t xml:space="preserve"> </w:t>
            </w:r>
            <w:r w:rsidR="459C126A" w:rsidRPr="00CD2AB2">
              <w:rPr>
                <w:rFonts w:asciiTheme="minorHAnsi" w:hAnsiTheme="minorHAnsi" w:cstheme="minorBidi"/>
                <w:szCs w:val="22"/>
              </w:rPr>
              <w:t>will be published on</w:t>
            </w:r>
            <w:r w:rsidR="46DE6B84">
              <w:rPr>
                <w:rFonts w:asciiTheme="minorHAnsi" w:hAnsiTheme="minorHAnsi" w:cstheme="minorBidi"/>
                <w:szCs w:val="22"/>
              </w:rPr>
              <w:t>line</w:t>
            </w:r>
            <w:r w:rsidRPr="00CD2AB2">
              <w:rPr>
                <w:rFonts w:asciiTheme="minorHAnsi" w:hAnsiTheme="minorHAnsi" w:cstheme="minorBidi"/>
                <w:szCs w:val="22"/>
              </w:rPr>
              <w:t>.</w:t>
            </w:r>
          </w:p>
        </w:tc>
      </w:tr>
      <w:tr w:rsidR="00F213C2" w:rsidRPr="00CD2AB2" w14:paraId="253C6A10" w14:textId="77777777" w:rsidTr="4B2D0FD9">
        <w:trPr>
          <w:cnfStyle w:val="000000010000" w:firstRow="0" w:lastRow="0" w:firstColumn="0" w:lastColumn="0" w:oddVBand="0" w:evenVBand="0" w:oddHBand="0" w:evenHBand="1" w:firstRowFirstColumn="0" w:firstRowLastColumn="0" w:lastRowFirstColumn="0" w:lastRowLastColumn="0"/>
          <w:cantSplit/>
        </w:trPr>
        <w:tc>
          <w:tcPr>
            <w:tcW w:w="3686" w:type="dxa"/>
            <w:shd w:val="clear" w:color="auto" w:fill="auto"/>
            <w:vAlign w:val="top"/>
          </w:tcPr>
          <w:p w14:paraId="01871BA3" w14:textId="77777777" w:rsidR="00762FBC" w:rsidRPr="00D50D17" w:rsidRDefault="00762FBC" w:rsidP="00762FBC">
            <w:pPr>
              <w:spacing w:before="0"/>
              <w:ind w:left="6" w:hanging="6"/>
              <w:rPr>
                <w:rFonts w:asciiTheme="minorHAnsi" w:hAnsiTheme="minorHAnsi" w:cstheme="minorHAnsi"/>
                <w:b/>
                <w:sz w:val="22"/>
                <w:szCs w:val="22"/>
                <w:lang w:val="en-AU"/>
              </w:rPr>
            </w:pPr>
            <w:r w:rsidRPr="00CD2AB2">
              <w:rPr>
                <w:rFonts w:asciiTheme="minorHAnsi" w:hAnsiTheme="minorHAnsi" w:cstheme="minorHAnsi"/>
                <w:b/>
                <w:szCs w:val="22"/>
              </w:rPr>
              <w:t xml:space="preserve">2.1 – Screen scraping should be banned </w:t>
            </w:r>
            <w:proofErr w:type="gramStart"/>
            <w:r w:rsidRPr="00CD2AB2">
              <w:rPr>
                <w:rFonts w:asciiTheme="minorHAnsi" w:hAnsiTheme="minorHAnsi" w:cstheme="minorHAnsi"/>
                <w:b/>
                <w:szCs w:val="22"/>
              </w:rPr>
              <w:t>in the near future</w:t>
            </w:r>
            <w:proofErr w:type="gramEnd"/>
            <w:r w:rsidRPr="00CD2AB2">
              <w:rPr>
                <w:rFonts w:asciiTheme="minorHAnsi" w:hAnsiTheme="minorHAnsi" w:cstheme="minorHAnsi"/>
                <w:b/>
                <w:szCs w:val="22"/>
              </w:rPr>
              <w:t xml:space="preserve"> in sectors where CDR is a viable alternative </w:t>
            </w:r>
          </w:p>
          <w:p w14:paraId="3181AF78" w14:textId="77777777" w:rsidR="00762FBC" w:rsidRPr="00D50D17" w:rsidRDefault="00762FBC" w:rsidP="00762FBC">
            <w:pPr>
              <w:spacing w:before="0"/>
              <w:ind w:left="6" w:hanging="6"/>
              <w:rPr>
                <w:rFonts w:asciiTheme="minorHAnsi" w:hAnsiTheme="minorHAnsi" w:cstheme="minorHAnsi"/>
                <w:b/>
                <w:sz w:val="22"/>
                <w:szCs w:val="22"/>
                <w:lang w:val="en-AU"/>
              </w:rPr>
            </w:pPr>
            <w:r w:rsidRPr="00CD2AB2">
              <w:rPr>
                <w:rFonts w:asciiTheme="minorHAnsi" w:hAnsiTheme="minorHAnsi" w:cstheme="minorHAnsi"/>
                <w:szCs w:val="22"/>
              </w:rPr>
              <w:t xml:space="preserve">Screen scraping should be banned </w:t>
            </w:r>
            <w:proofErr w:type="gramStart"/>
            <w:r w:rsidRPr="00CD2AB2">
              <w:rPr>
                <w:rFonts w:asciiTheme="minorHAnsi" w:hAnsiTheme="minorHAnsi" w:cstheme="minorHAnsi"/>
                <w:szCs w:val="22"/>
              </w:rPr>
              <w:t>in the near future</w:t>
            </w:r>
            <w:proofErr w:type="gramEnd"/>
            <w:r w:rsidRPr="00CD2AB2">
              <w:rPr>
                <w:rFonts w:asciiTheme="minorHAnsi" w:hAnsiTheme="minorHAnsi" w:cstheme="minorHAnsi"/>
                <w:szCs w:val="22"/>
              </w:rPr>
              <w:t xml:space="preserve"> in sectors where the CDR is a viable alternative. Importantly, the Government should clearly signal when and how the implementation of the ban would take effect. This would provide certainty and adequate time for businesses to transition, along with stronger incentives to invest in moving to the CDR.</w:t>
            </w:r>
          </w:p>
        </w:tc>
        <w:tc>
          <w:tcPr>
            <w:tcW w:w="5528" w:type="dxa"/>
            <w:shd w:val="clear" w:color="auto" w:fill="auto"/>
            <w:vAlign w:val="top"/>
          </w:tcPr>
          <w:p w14:paraId="78B04396" w14:textId="637633F5" w:rsidR="00762FBC" w:rsidRPr="00D50D17" w:rsidRDefault="00762FBC" w:rsidP="00FB687F">
            <w:pPr>
              <w:spacing w:before="0"/>
              <w:rPr>
                <w:sz w:val="22"/>
                <w:szCs w:val="22"/>
                <w:lang w:val="en-AU"/>
              </w:rPr>
            </w:pPr>
            <w:r w:rsidRPr="00CD2AB2">
              <w:rPr>
                <w:rFonts w:cstheme="minorBidi"/>
                <w:b/>
                <w:szCs w:val="22"/>
              </w:rPr>
              <w:t>Noted</w:t>
            </w:r>
            <w:r w:rsidR="00FC1593" w:rsidRPr="00CD2AB2">
              <w:rPr>
                <w:rFonts w:cstheme="minorBidi"/>
                <w:b/>
                <w:szCs w:val="22"/>
              </w:rPr>
              <w:t>, and the Government will consult on policy options for regulating screen scraping.</w:t>
            </w:r>
          </w:p>
          <w:p w14:paraId="1C898569" w14:textId="1FC231F0" w:rsidR="00762FBC" w:rsidRPr="00D50D17" w:rsidRDefault="407C4F80" w:rsidP="296BBA97">
            <w:pPr>
              <w:rPr>
                <w:rFonts w:cstheme="minorBidi"/>
                <w:sz w:val="22"/>
                <w:szCs w:val="22"/>
                <w:lang w:val="en-AU"/>
              </w:rPr>
            </w:pPr>
            <w:r w:rsidRPr="00CD2AB2">
              <w:rPr>
                <w:rFonts w:cstheme="minorBidi"/>
                <w:szCs w:val="22"/>
              </w:rPr>
              <w:t>Screen scraping involves consumers sharing login details with third parties to access their account</w:t>
            </w:r>
            <w:r w:rsidR="00656170" w:rsidRPr="00CD2AB2">
              <w:rPr>
                <w:rFonts w:cstheme="minorBidi"/>
                <w:szCs w:val="22"/>
              </w:rPr>
              <w:t>(</w:t>
            </w:r>
            <w:r w:rsidR="6A08FD3D" w:rsidRPr="00CD2AB2">
              <w:rPr>
                <w:rFonts w:cstheme="minorBidi"/>
                <w:szCs w:val="22"/>
              </w:rPr>
              <w:t>s</w:t>
            </w:r>
            <w:r w:rsidR="00656170" w:rsidRPr="00CD2AB2">
              <w:rPr>
                <w:rFonts w:cstheme="minorBidi"/>
                <w:szCs w:val="22"/>
              </w:rPr>
              <w:t>)</w:t>
            </w:r>
            <w:r w:rsidRPr="00CD2AB2">
              <w:rPr>
                <w:rFonts w:cstheme="minorBidi"/>
                <w:szCs w:val="22"/>
              </w:rPr>
              <w:t xml:space="preserve"> to extract data. It is used by parts of industry (including the financial services sector) to provide products and services</w:t>
            </w:r>
            <w:r w:rsidRPr="00CD2AB2">
              <w:rPr>
                <w:szCs w:val="22"/>
              </w:rPr>
              <w:t>, such as consumer loans.</w:t>
            </w:r>
            <w:r w:rsidRPr="00CD2AB2">
              <w:rPr>
                <w:rFonts w:cstheme="minorBidi"/>
                <w:szCs w:val="22"/>
              </w:rPr>
              <w:t xml:space="preserve"> </w:t>
            </w:r>
            <w:r w:rsidRPr="00CD2AB2">
              <w:rPr>
                <w:szCs w:val="22"/>
              </w:rPr>
              <w:t>Screen scraping</w:t>
            </w:r>
            <w:r w:rsidRPr="00CD2AB2">
              <w:rPr>
                <w:rFonts w:cstheme="minorBidi"/>
                <w:szCs w:val="22"/>
              </w:rPr>
              <w:t xml:space="preserve"> inherently involves cyber</w:t>
            </w:r>
            <w:r w:rsidR="00AC519C">
              <w:rPr>
                <w:rFonts w:cstheme="minorBidi"/>
                <w:szCs w:val="22"/>
              </w:rPr>
              <w:t xml:space="preserve"> </w:t>
            </w:r>
            <w:r w:rsidRPr="00CD2AB2">
              <w:rPr>
                <w:rFonts w:cstheme="minorBidi"/>
                <w:szCs w:val="22"/>
              </w:rPr>
              <w:t xml:space="preserve">security risks due to asking consumers to share their login details and passwords. </w:t>
            </w:r>
          </w:p>
          <w:p w14:paraId="62CFCC3B" w14:textId="168EE3AF" w:rsidR="00762FBC" w:rsidRPr="00D50D17" w:rsidRDefault="00762FBC" w:rsidP="73FCF691">
            <w:pPr>
              <w:rPr>
                <w:rFonts w:cstheme="minorBidi"/>
                <w:sz w:val="22"/>
                <w:szCs w:val="22"/>
                <w:lang w:val="en-AU"/>
              </w:rPr>
            </w:pPr>
            <w:r w:rsidRPr="00CD2AB2">
              <w:rPr>
                <w:rFonts w:cstheme="minorBidi"/>
                <w:szCs w:val="22"/>
              </w:rPr>
              <w:t xml:space="preserve">The Government </w:t>
            </w:r>
            <w:proofErr w:type="spellStart"/>
            <w:r w:rsidRPr="00CD2AB2">
              <w:rPr>
                <w:rFonts w:cstheme="minorBidi"/>
                <w:szCs w:val="22"/>
              </w:rPr>
              <w:t>recognises</w:t>
            </w:r>
            <w:proofErr w:type="spellEnd"/>
            <w:r w:rsidRPr="00CD2AB2">
              <w:rPr>
                <w:rFonts w:cstheme="minorBidi"/>
                <w:szCs w:val="22"/>
              </w:rPr>
              <w:t xml:space="preserve"> that various industry members are </w:t>
            </w:r>
            <w:r w:rsidR="28C5F9A6" w:rsidRPr="00CD2AB2">
              <w:rPr>
                <w:rFonts w:cstheme="minorBidi"/>
                <w:szCs w:val="22"/>
              </w:rPr>
              <w:t xml:space="preserve">voluntarily </w:t>
            </w:r>
            <w:r w:rsidRPr="00CD2AB2">
              <w:rPr>
                <w:rFonts w:cstheme="minorBidi"/>
                <w:szCs w:val="22"/>
              </w:rPr>
              <w:t xml:space="preserve">moving away from using screen scraping and using </w:t>
            </w:r>
            <w:r w:rsidR="005004F5">
              <w:rPr>
                <w:rFonts w:cstheme="minorBidi"/>
                <w:szCs w:val="22"/>
              </w:rPr>
              <w:t xml:space="preserve">the </w:t>
            </w:r>
            <w:r w:rsidRPr="00CD2AB2">
              <w:rPr>
                <w:rFonts w:cstheme="minorBidi"/>
                <w:szCs w:val="22"/>
              </w:rPr>
              <w:t>CDR as a safer alternative. Some industry members are also encouraging others in the market to phase out screen scraping.</w:t>
            </w:r>
          </w:p>
          <w:p w14:paraId="49B025BA" w14:textId="35CA48B7" w:rsidR="00762FBC" w:rsidRPr="00D50D17" w:rsidRDefault="00762FBC" w:rsidP="73FCF691">
            <w:pPr>
              <w:spacing w:before="0"/>
              <w:ind w:left="6" w:hanging="6"/>
              <w:rPr>
                <w:rFonts w:cstheme="minorBidi"/>
                <w:sz w:val="22"/>
                <w:szCs w:val="22"/>
                <w:lang w:val="en-AU"/>
              </w:rPr>
            </w:pPr>
            <w:r w:rsidRPr="00CD2AB2">
              <w:rPr>
                <w:rFonts w:cstheme="minorBidi"/>
                <w:szCs w:val="22"/>
              </w:rPr>
              <w:t>Given the cyber</w:t>
            </w:r>
            <w:r w:rsidR="0042412A">
              <w:rPr>
                <w:rFonts w:cstheme="minorBidi"/>
                <w:szCs w:val="22"/>
              </w:rPr>
              <w:t xml:space="preserve"> </w:t>
            </w:r>
            <w:r w:rsidRPr="00CD2AB2">
              <w:rPr>
                <w:rFonts w:cstheme="minorBidi"/>
                <w:szCs w:val="22"/>
              </w:rPr>
              <w:t xml:space="preserve">security risks of screen scraping, the Government will </w:t>
            </w:r>
            <w:r w:rsidRPr="00CD2AB2">
              <w:rPr>
                <w:szCs w:val="22"/>
              </w:rPr>
              <w:t>consult on policy options for regulating screen scraping</w:t>
            </w:r>
            <w:r w:rsidR="22E39564" w:rsidRPr="00CD2AB2">
              <w:rPr>
                <w:szCs w:val="22"/>
              </w:rPr>
              <w:t xml:space="preserve"> commencing in the banking sector and</w:t>
            </w:r>
            <w:r w:rsidRPr="00CD2AB2">
              <w:rPr>
                <w:szCs w:val="22"/>
              </w:rPr>
              <w:t xml:space="preserve"> starting with the release of a discussion paper in</w:t>
            </w:r>
            <w:r w:rsidR="0008560A" w:rsidRPr="00CD2AB2">
              <w:rPr>
                <w:szCs w:val="22"/>
              </w:rPr>
              <w:t xml:space="preserve"> the second half of</w:t>
            </w:r>
            <w:r w:rsidRPr="00CD2AB2">
              <w:rPr>
                <w:szCs w:val="22"/>
              </w:rPr>
              <w:t xml:space="preserve"> 2023</w:t>
            </w:r>
            <w:r w:rsidRPr="00CD2AB2">
              <w:rPr>
                <w:rFonts w:cstheme="minorBidi"/>
                <w:szCs w:val="22"/>
              </w:rPr>
              <w:t>.</w:t>
            </w:r>
            <w:r w:rsidR="008A62E8" w:rsidRPr="00CD2AB2">
              <w:rPr>
                <w:rFonts w:cstheme="minorBidi"/>
                <w:szCs w:val="22"/>
              </w:rPr>
              <w:t xml:space="preserve"> The screen scraping market is complex and it is important to have suitable policy settings.</w:t>
            </w:r>
          </w:p>
          <w:p w14:paraId="37DFF164" w14:textId="1933EC65" w:rsidR="008A62E8" w:rsidRPr="00D50D17" w:rsidRDefault="008A62E8" w:rsidP="73FCF691">
            <w:pPr>
              <w:rPr>
                <w:rFonts w:cstheme="minorBidi"/>
                <w:b/>
                <w:bCs/>
                <w:sz w:val="22"/>
                <w:szCs w:val="22"/>
                <w:lang w:val="en-AU"/>
              </w:rPr>
            </w:pPr>
            <w:r w:rsidRPr="00CD2AB2">
              <w:rPr>
                <w:rFonts w:cstheme="minorBidi"/>
                <w:szCs w:val="22"/>
              </w:rPr>
              <w:t xml:space="preserve">As the CDR framework matures and data quality is enhanced (refer to the response to recommendation 2.5), the CDR </w:t>
            </w:r>
            <w:r w:rsidR="6B4A4C98" w:rsidRPr="00CD2AB2">
              <w:rPr>
                <w:rFonts w:cstheme="minorBidi"/>
                <w:szCs w:val="22"/>
              </w:rPr>
              <w:t xml:space="preserve">is expected to </w:t>
            </w:r>
            <w:r w:rsidRPr="00CD2AB2">
              <w:rPr>
                <w:rFonts w:cstheme="minorBidi"/>
                <w:szCs w:val="22"/>
              </w:rPr>
              <w:t xml:space="preserve">become </w:t>
            </w:r>
            <w:r w:rsidR="00484431" w:rsidRPr="00CD2AB2">
              <w:rPr>
                <w:rFonts w:cstheme="minorBidi"/>
                <w:szCs w:val="22"/>
              </w:rPr>
              <w:t>the</w:t>
            </w:r>
            <w:r w:rsidRPr="00CD2AB2">
              <w:rPr>
                <w:rFonts w:cstheme="minorBidi"/>
                <w:szCs w:val="22"/>
              </w:rPr>
              <w:t xml:space="preserve"> alternative </w:t>
            </w:r>
            <w:r w:rsidR="00A87977" w:rsidRPr="00CD2AB2">
              <w:rPr>
                <w:rFonts w:cstheme="minorBidi"/>
                <w:szCs w:val="22"/>
              </w:rPr>
              <w:t xml:space="preserve">of choice compared </w:t>
            </w:r>
            <w:r w:rsidRPr="00CD2AB2">
              <w:rPr>
                <w:rFonts w:cstheme="minorBidi"/>
                <w:szCs w:val="22"/>
              </w:rPr>
              <w:t>to screen scraping.</w:t>
            </w:r>
          </w:p>
        </w:tc>
      </w:tr>
      <w:tr w:rsidR="00F213C2" w:rsidRPr="00CD2AB2" w14:paraId="7CA0B9DB" w14:textId="77777777" w:rsidTr="4B2D0FD9">
        <w:trPr>
          <w:cnfStyle w:val="000000100000" w:firstRow="0" w:lastRow="0" w:firstColumn="0" w:lastColumn="0" w:oddVBand="0" w:evenVBand="0" w:oddHBand="1" w:evenHBand="0" w:firstRowFirstColumn="0" w:firstRowLastColumn="0" w:lastRowFirstColumn="0" w:lastRowLastColumn="0"/>
          <w:cantSplit/>
        </w:trPr>
        <w:tc>
          <w:tcPr>
            <w:tcW w:w="3686" w:type="dxa"/>
            <w:shd w:val="clear" w:color="auto" w:fill="auto"/>
            <w:vAlign w:val="top"/>
          </w:tcPr>
          <w:p w14:paraId="6D3B74B4" w14:textId="6DEF429A" w:rsidR="00762FBC" w:rsidRPr="0074082F" w:rsidRDefault="00762FBC" w:rsidP="00762FBC">
            <w:pPr>
              <w:spacing w:before="0"/>
              <w:ind w:left="6" w:hanging="6"/>
              <w:rPr>
                <w:rFonts w:asciiTheme="minorHAnsi" w:hAnsiTheme="minorHAnsi" w:cstheme="minorHAnsi"/>
                <w:sz w:val="22"/>
                <w:szCs w:val="22"/>
                <w:lang w:val="en-AU"/>
              </w:rPr>
            </w:pPr>
            <w:r w:rsidRPr="00CD2AB2">
              <w:rPr>
                <w:rFonts w:asciiTheme="minorHAnsi" w:hAnsiTheme="minorHAnsi" w:cstheme="minorHAnsi"/>
                <w:b/>
                <w:szCs w:val="22"/>
              </w:rPr>
              <w:lastRenderedPageBreak/>
              <w:t>2.2 – Flexibility for prospective Accredited Data Recipients to choose who they undertake preliminary systems testing with, including through accredited private sector solutions or the ACCC</w:t>
            </w:r>
          </w:p>
          <w:p w14:paraId="3734F7C0" w14:textId="0E910A0E" w:rsidR="00762FBC" w:rsidRPr="0074082F" w:rsidRDefault="00762FBC" w:rsidP="00762FBC">
            <w:pPr>
              <w:spacing w:before="0"/>
              <w:ind w:left="6" w:hanging="6"/>
              <w:rPr>
                <w:rFonts w:asciiTheme="minorHAnsi" w:hAnsiTheme="minorHAnsi" w:cstheme="minorHAnsi"/>
                <w:b/>
                <w:sz w:val="22"/>
                <w:szCs w:val="22"/>
                <w:lang w:val="en-AU"/>
              </w:rPr>
            </w:pPr>
            <w:r w:rsidRPr="00CD2AB2">
              <w:rPr>
                <w:rFonts w:asciiTheme="minorHAnsi" w:hAnsiTheme="minorHAnsi" w:cstheme="minorHAnsi"/>
                <w:szCs w:val="22"/>
              </w:rPr>
              <w:t>Creating a trusted ecosystem that supports the development of a range of products will encourage new market-driven innovation in the CDR. It is recommended that prospective Accredited Data Recipients have the flexibility to choose who they undertake preliminary systems testing with, including through an accredited private sector solution or the ACCC.</w:t>
            </w:r>
          </w:p>
        </w:tc>
        <w:tc>
          <w:tcPr>
            <w:tcW w:w="5528" w:type="dxa"/>
            <w:shd w:val="clear" w:color="auto" w:fill="auto"/>
            <w:vAlign w:val="top"/>
          </w:tcPr>
          <w:p w14:paraId="47CB3838" w14:textId="77777777" w:rsidR="00955779" w:rsidRDefault="68DF389F" w:rsidP="00955779">
            <w:pPr>
              <w:spacing w:before="0"/>
              <w:ind w:left="6" w:hanging="6"/>
              <w:rPr>
                <w:b/>
              </w:rPr>
            </w:pPr>
            <w:r w:rsidRPr="00CD2AB2">
              <w:rPr>
                <w:b/>
                <w:szCs w:val="22"/>
              </w:rPr>
              <w:t>Noted.</w:t>
            </w:r>
          </w:p>
          <w:p w14:paraId="16026A1D" w14:textId="67266A5C" w:rsidR="00762FBC" w:rsidRPr="0074082F" w:rsidRDefault="00762FBC" w:rsidP="00955779">
            <w:pPr>
              <w:spacing w:before="0"/>
              <w:ind w:left="6" w:hanging="6"/>
              <w:rPr>
                <w:sz w:val="22"/>
                <w:szCs w:val="22"/>
                <w:lang w:val="en-AU"/>
              </w:rPr>
            </w:pPr>
            <w:r w:rsidRPr="00CD2AB2">
              <w:rPr>
                <w:szCs w:val="22"/>
              </w:rPr>
              <w:t xml:space="preserve">In 2022, the ACCC released a CDR </w:t>
            </w:r>
            <w:r w:rsidR="009F2745">
              <w:rPr>
                <w:szCs w:val="22"/>
              </w:rPr>
              <w:t>s</w:t>
            </w:r>
            <w:r w:rsidRPr="00CD2AB2">
              <w:rPr>
                <w:szCs w:val="22"/>
              </w:rPr>
              <w:t xml:space="preserve">andbox to support prospective Accredited Data Recipients (ADRs) to design, build and undertake preliminary testing of their systems. </w:t>
            </w:r>
          </w:p>
          <w:p w14:paraId="75AD8565" w14:textId="77777777" w:rsidR="00762FBC" w:rsidRPr="00AC76D8" w:rsidRDefault="00762FBC" w:rsidP="00762FBC">
            <w:pPr>
              <w:rPr>
                <w:rFonts w:cs="Calibri"/>
                <w:sz w:val="22"/>
                <w:szCs w:val="22"/>
                <w:lang w:val="en-AU"/>
              </w:rPr>
            </w:pPr>
            <w:r w:rsidRPr="00CD2AB2">
              <w:rPr>
                <w:rFonts w:cs="Calibri"/>
                <w:szCs w:val="22"/>
              </w:rPr>
              <w:t xml:space="preserve">There is also now an active ecosystem of private sector vendors who support prospective ADRs to build and undertake preliminary systems testing, with potential for more in the future. This has been a positive development that reflects the market-driven innovation arising from the CDR framework. </w:t>
            </w:r>
          </w:p>
          <w:p w14:paraId="1CE360A4" w14:textId="642E7E67" w:rsidR="00762FBC" w:rsidRPr="0074082F" w:rsidRDefault="00762FBC" w:rsidP="00762FBC">
            <w:pPr>
              <w:rPr>
                <w:rFonts w:cstheme="minorHAnsi"/>
                <w:sz w:val="22"/>
                <w:szCs w:val="22"/>
                <w:lang w:val="en-AU"/>
              </w:rPr>
            </w:pPr>
            <w:r w:rsidRPr="00CD2AB2">
              <w:rPr>
                <w:rFonts w:cstheme="minorHAnsi"/>
                <w:szCs w:val="22"/>
              </w:rPr>
              <w:t xml:space="preserve">Prospective ADRs currently have the flexibility to choose how they do preliminary testing of their systems – they can use the ACCC’s </w:t>
            </w:r>
            <w:r w:rsidR="00B91A3D">
              <w:rPr>
                <w:rFonts w:cstheme="minorHAnsi"/>
                <w:szCs w:val="22"/>
              </w:rPr>
              <w:t>s</w:t>
            </w:r>
            <w:r w:rsidRPr="00CD2AB2">
              <w:rPr>
                <w:rFonts w:cstheme="minorHAnsi"/>
                <w:szCs w:val="22"/>
              </w:rPr>
              <w:t xml:space="preserve">andbox and choose from </w:t>
            </w:r>
            <w:proofErr w:type="gramStart"/>
            <w:r w:rsidRPr="00CD2AB2">
              <w:rPr>
                <w:rFonts w:cstheme="minorHAnsi"/>
                <w:szCs w:val="22"/>
              </w:rPr>
              <w:t>a number of</w:t>
            </w:r>
            <w:proofErr w:type="gramEnd"/>
            <w:r w:rsidRPr="00CD2AB2">
              <w:rPr>
                <w:rFonts w:cstheme="minorHAnsi"/>
                <w:szCs w:val="22"/>
              </w:rPr>
              <w:t xml:space="preserve"> private sector solutions to suit their individual needs. </w:t>
            </w:r>
          </w:p>
          <w:p w14:paraId="6417B5A7" w14:textId="0A9DC0F5" w:rsidR="00762FBC" w:rsidRPr="0074082F" w:rsidRDefault="00762FBC" w:rsidP="4C550F7C">
            <w:pPr>
              <w:spacing w:before="0"/>
              <w:ind w:left="6" w:hanging="6"/>
              <w:rPr>
                <w:rFonts w:cs="Calibri"/>
                <w:color w:val="3A6FAF" w:themeColor="accent2"/>
                <w:sz w:val="22"/>
                <w:szCs w:val="22"/>
                <w:lang w:val="en-AU"/>
              </w:rPr>
            </w:pPr>
            <w:r w:rsidRPr="00CD2AB2">
              <w:rPr>
                <w:rFonts w:cstheme="minorBidi"/>
                <w:szCs w:val="22"/>
              </w:rPr>
              <w:t>T</w:t>
            </w:r>
            <w:r w:rsidRPr="00CD2AB2">
              <w:rPr>
                <w:rFonts w:cs="Calibri"/>
                <w:szCs w:val="22"/>
              </w:rPr>
              <w:t>he ACCC does not currently endorse individual private sector providers in the market</w:t>
            </w:r>
            <w:r w:rsidR="0B12B1A1" w:rsidRPr="00CD2AB2">
              <w:rPr>
                <w:rFonts w:cs="Calibri"/>
                <w:szCs w:val="22"/>
              </w:rPr>
              <w:t>.</w:t>
            </w:r>
          </w:p>
        </w:tc>
      </w:tr>
      <w:tr w:rsidR="00F213C2" w:rsidRPr="00CD2AB2" w14:paraId="6A283326" w14:textId="77777777" w:rsidTr="4B2D0FD9">
        <w:trPr>
          <w:cnfStyle w:val="000000010000" w:firstRow="0" w:lastRow="0" w:firstColumn="0" w:lastColumn="0" w:oddVBand="0" w:evenVBand="0" w:oddHBand="0" w:evenHBand="1" w:firstRowFirstColumn="0" w:firstRowLastColumn="0" w:lastRowFirstColumn="0" w:lastRowLastColumn="0"/>
          <w:cantSplit/>
        </w:trPr>
        <w:tc>
          <w:tcPr>
            <w:tcW w:w="3686" w:type="dxa"/>
            <w:shd w:val="clear" w:color="auto" w:fill="auto"/>
            <w:vAlign w:val="top"/>
          </w:tcPr>
          <w:p w14:paraId="0B3C1357" w14:textId="3A826E58" w:rsidR="00762FBC" w:rsidRPr="0074082F" w:rsidRDefault="00762FBC" w:rsidP="00762FBC">
            <w:pPr>
              <w:spacing w:before="0"/>
              <w:ind w:left="6" w:hanging="6"/>
              <w:rPr>
                <w:rFonts w:asciiTheme="minorHAnsi" w:hAnsiTheme="minorHAnsi" w:cstheme="minorHAnsi"/>
                <w:sz w:val="22"/>
                <w:szCs w:val="22"/>
                <w:lang w:val="en-AU"/>
              </w:rPr>
            </w:pPr>
            <w:r w:rsidRPr="00CD2AB2">
              <w:rPr>
                <w:rFonts w:asciiTheme="minorHAnsi" w:hAnsiTheme="minorHAnsi" w:cstheme="minorHAnsi"/>
                <w:b/>
                <w:szCs w:val="22"/>
              </w:rPr>
              <w:t>2.3 –</w:t>
            </w:r>
            <w:r w:rsidRPr="00CD2AB2">
              <w:rPr>
                <w:rFonts w:asciiTheme="minorHAnsi" w:hAnsiTheme="minorHAnsi" w:cstheme="minorHAnsi"/>
                <w:szCs w:val="22"/>
              </w:rPr>
              <w:t xml:space="preserve"> </w:t>
            </w:r>
            <w:r w:rsidRPr="00CD2AB2">
              <w:rPr>
                <w:rFonts w:asciiTheme="minorHAnsi" w:hAnsiTheme="minorHAnsi" w:cstheme="minorHAnsi"/>
                <w:b/>
                <w:szCs w:val="22"/>
              </w:rPr>
              <w:t>Improving coordination and making it easier for participants to resolve issues and seek advice</w:t>
            </w:r>
          </w:p>
          <w:p w14:paraId="5092C47C" w14:textId="24A5E482" w:rsidR="00762FBC" w:rsidRPr="0074082F" w:rsidRDefault="00762FBC" w:rsidP="68471D22">
            <w:pPr>
              <w:spacing w:before="0"/>
              <w:ind w:left="6" w:hanging="6"/>
              <w:rPr>
                <w:rFonts w:asciiTheme="minorHAnsi" w:hAnsiTheme="minorHAnsi" w:cstheme="minorBidi"/>
                <w:b/>
                <w:bCs/>
                <w:sz w:val="22"/>
                <w:szCs w:val="22"/>
                <w:lang w:val="en-AU"/>
              </w:rPr>
            </w:pPr>
            <w:r w:rsidRPr="00CD2AB2">
              <w:rPr>
                <w:rFonts w:asciiTheme="minorHAnsi" w:hAnsiTheme="minorHAnsi" w:cstheme="minorBidi"/>
                <w:szCs w:val="22"/>
              </w:rPr>
              <w:t>Changes to CDR governance should not be made now, however, improvements to coordination within the existing CDR structures should be undertaken as a priority in the short to medium term. CDR agencies should make it easier for participants and users to resolve issues and seek advice, including by clarifying responsibility and ownership of issues, coordinating consultation and system releases, and publishing comprehensive statistics on the progress of the CDR.</w:t>
            </w:r>
          </w:p>
        </w:tc>
        <w:tc>
          <w:tcPr>
            <w:tcW w:w="5528" w:type="dxa"/>
            <w:shd w:val="clear" w:color="auto" w:fill="auto"/>
            <w:vAlign w:val="top"/>
          </w:tcPr>
          <w:p w14:paraId="22140BC7" w14:textId="77777777" w:rsidR="00054B2F" w:rsidRDefault="00762FBC" w:rsidP="00054B2F">
            <w:pPr>
              <w:spacing w:before="0" w:line="259" w:lineRule="auto"/>
              <w:ind w:left="6" w:hanging="6"/>
              <w:rPr>
                <w:rFonts w:eastAsia="Calibri" w:cs="Calibri"/>
                <w:b/>
                <w:szCs w:val="22"/>
                <w:lang w:eastAsia="en-US"/>
              </w:rPr>
            </w:pPr>
            <w:r w:rsidRPr="00CD2AB2">
              <w:rPr>
                <w:rFonts w:eastAsia="Calibri" w:cs="Calibri"/>
                <w:b/>
                <w:szCs w:val="22"/>
                <w:lang w:eastAsia="en-US"/>
              </w:rPr>
              <w:t xml:space="preserve">Agree. </w:t>
            </w:r>
          </w:p>
          <w:p w14:paraId="58D923AB" w14:textId="7DF7AF7B" w:rsidR="00762FBC" w:rsidRPr="0074082F" w:rsidRDefault="75ED0D56" w:rsidP="00762FBC">
            <w:pPr>
              <w:spacing w:before="0" w:line="259" w:lineRule="auto"/>
              <w:contextualSpacing/>
              <w:rPr>
                <w:rFonts w:eastAsia="Calibri" w:cs="Arial"/>
                <w:sz w:val="22"/>
                <w:szCs w:val="22"/>
                <w:lang w:val="en-AU" w:eastAsia="en-US"/>
              </w:rPr>
            </w:pPr>
            <w:r w:rsidRPr="00CD2AB2">
              <w:rPr>
                <w:rFonts w:eastAsia="Calibri" w:cs="Arial"/>
                <w:szCs w:val="22"/>
                <w:lang w:eastAsia="en-US"/>
              </w:rPr>
              <w:t>The Government</w:t>
            </w:r>
            <w:r w:rsidR="61887A95" w:rsidRPr="00CD2AB2">
              <w:rPr>
                <w:rFonts w:eastAsia="Calibri" w:cs="Arial"/>
                <w:szCs w:val="22"/>
                <w:lang w:eastAsia="en-US"/>
              </w:rPr>
              <w:t>,</w:t>
            </w:r>
            <w:r w:rsidRPr="00CD2AB2">
              <w:rPr>
                <w:rFonts w:eastAsia="Calibri" w:cs="Arial"/>
                <w:szCs w:val="22"/>
                <w:lang w:eastAsia="en-US"/>
              </w:rPr>
              <w:t xml:space="preserve"> through its </w:t>
            </w:r>
            <w:r w:rsidR="00762FBC" w:rsidRPr="00CD2AB2">
              <w:rPr>
                <w:rFonts w:eastAsia="Calibri" w:cs="Arial"/>
                <w:szCs w:val="22"/>
                <w:lang w:eastAsia="en-US"/>
              </w:rPr>
              <w:t>CDR agencies</w:t>
            </w:r>
            <w:r w:rsidR="70500E87" w:rsidRPr="00CD2AB2">
              <w:rPr>
                <w:rFonts w:eastAsia="Calibri" w:cs="Arial"/>
                <w:szCs w:val="22"/>
                <w:lang w:eastAsia="en-US"/>
              </w:rPr>
              <w:t>, is</w:t>
            </w:r>
            <w:r w:rsidR="00762FBC" w:rsidRPr="00CD2AB2">
              <w:rPr>
                <w:rFonts w:eastAsia="Calibri" w:cs="Arial"/>
                <w:szCs w:val="22"/>
                <w:lang w:eastAsia="en-US"/>
              </w:rPr>
              <w:t xml:space="preserve"> </w:t>
            </w:r>
            <w:r w:rsidR="037D444E" w:rsidRPr="00CD2AB2">
              <w:rPr>
                <w:rFonts w:eastAsia="Calibri" w:cs="Arial"/>
                <w:szCs w:val="22"/>
                <w:lang w:eastAsia="en-US"/>
              </w:rPr>
              <w:t xml:space="preserve">committed </w:t>
            </w:r>
            <w:r w:rsidR="00762FBC" w:rsidRPr="00CD2AB2">
              <w:rPr>
                <w:rFonts w:eastAsia="Calibri" w:cs="Arial"/>
                <w:szCs w:val="22"/>
                <w:lang w:eastAsia="en-US"/>
              </w:rPr>
              <w:t>to improv</w:t>
            </w:r>
            <w:r w:rsidR="3C27EAB6" w:rsidRPr="00CD2AB2">
              <w:rPr>
                <w:rFonts w:eastAsia="Calibri" w:cs="Arial"/>
                <w:szCs w:val="22"/>
                <w:lang w:eastAsia="en-US"/>
              </w:rPr>
              <w:t xml:space="preserve">ing </w:t>
            </w:r>
            <w:r w:rsidR="00762FBC" w:rsidRPr="00CD2AB2">
              <w:rPr>
                <w:rFonts w:eastAsia="Calibri" w:cs="Arial"/>
                <w:szCs w:val="22"/>
                <w:lang w:eastAsia="en-US"/>
              </w:rPr>
              <w:t>coordination and governance. Since the release of the Statutory Review, CDR agencies:</w:t>
            </w:r>
          </w:p>
          <w:p w14:paraId="358A1087" w14:textId="77777777" w:rsidR="00762FBC" w:rsidRPr="0074082F" w:rsidRDefault="00762FBC" w:rsidP="00762FBC">
            <w:pPr>
              <w:pStyle w:val="Bullet"/>
              <w:rPr>
                <w:rFonts w:eastAsia="Calibri"/>
                <w:sz w:val="22"/>
                <w:szCs w:val="22"/>
                <w:lang w:val="en-AU" w:eastAsia="en-US"/>
              </w:rPr>
            </w:pPr>
            <w:r w:rsidRPr="00CD2AB2">
              <w:rPr>
                <w:rFonts w:eastAsia="Calibri"/>
                <w:szCs w:val="22"/>
                <w:lang w:eastAsia="en-US"/>
              </w:rPr>
              <w:t>have revised the CDR Program Governance Plan and formally embedded the role of change co</w:t>
            </w:r>
            <w:r w:rsidRPr="00CD2AB2">
              <w:rPr>
                <w:rFonts w:eastAsia="Calibri"/>
                <w:szCs w:val="22"/>
                <w:lang w:eastAsia="en-US"/>
              </w:rPr>
              <w:noBreakHyphen/>
              <w:t>ordination oversight into the CDR Steering Committee,</w:t>
            </w:r>
          </w:p>
          <w:p w14:paraId="14816053" w14:textId="77777777" w:rsidR="00762FBC" w:rsidRPr="0074082F" w:rsidRDefault="00762FBC" w:rsidP="00762FBC">
            <w:pPr>
              <w:pStyle w:val="Bullet"/>
              <w:rPr>
                <w:rFonts w:eastAsia="Calibri"/>
                <w:sz w:val="22"/>
                <w:szCs w:val="22"/>
                <w:lang w:val="en-AU" w:eastAsia="en-US"/>
              </w:rPr>
            </w:pPr>
            <w:r w:rsidRPr="00CD2AB2">
              <w:rPr>
                <w:rFonts w:eastAsia="Calibri"/>
                <w:szCs w:val="22"/>
                <w:lang w:eastAsia="en-US"/>
              </w:rPr>
              <w:t>developed a model to clearly depict how responsibility for functions is allocated across the program,</w:t>
            </w:r>
          </w:p>
          <w:p w14:paraId="10A266B8" w14:textId="77777777" w:rsidR="00762FBC" w:rsidRPr="0074082F" w:rsidRDefault="00762FBC" w:rsidP="00762FBC">
            <w:pPr>
              <w:pStyle w:val="Bullet"/>
              <w:rPr>
                <w:rFonts w:eastAsia="Calibri"/>
                <w:sz w:val="22"/>
                <w:szCs w:val="22"/>
                <w:lang w:val="en-AU" w:eastAsia="en-US"/>
              </w:rPr>
            </w:pPr>
            <w:r w:rsidRPr="00CD2AB2">
              <w:rPr>
                <w:rFonts w:eastAsia="Calibri"/>
                <w:szCs w:val="22"/>
                <w:lang w:eastAsia="en-US"/>
              </w:rPr>
              <w:t xml:space="preserve">are undertaking ongoing work on CDR communications and the CDR website, </w:t>
            </w:r>
          </w:p>
          <w:p w14:paraId="55510671" w14:textId="34756E53" w:rsidR="00762FBC" w:rsidRPr="0074082F" w:rsidRDefault="00762FBC" w:rsidP="00762FBC">
            <w:pPr>
              <w:pStyle w:val="Bullet"/>
              <w:rPr>
                <w:rFonts w:eastAsia="Calibri" w:cs="Arial"/>
                <w:sz w:val="22"/>
                <w:szCs w:val="22"/>
                <w:lang w:val="en-AU" w:eastAsia="en-US"/>
              </w:rPr>
            </w:pPr>
            <w:r w:rsidRPr="00CD2AB2">
              <w:rPr>
                <w:rFonts w:eastAsia="Calibri"/>
                <w:szCs w:val="22"/>
                <w:lang w:eastAsia="en-US"/>
              </w:rPr>
              <w:t>are undertaking ongoing work on incident management and publishing consultation</w:t>
            </w:r>
            <w:r w:rsidR="006038D5">
              <w:rPr>
                <w:rFonts w:eastAsia="Calibri"/>
                <w:szCs w:val="22"/>
                <w:lang w:eastAsia="en-US"/>
              </w:rPr>
              <w:t>s</w:t>
            </w:r>
            <w:r w:rsidRPr="00CD2AB2">
              <w:rPr>
                <w:rFonts w:eastAsia="Calibri"/>
                <w:szCs w:val="22"/>
                <w:lang w:eastAsia="en-US"/>
              </w:rPr>
              <w:t xml:space="preserve"> with stakeholders and outcomes of consultation</w:t>
            </w:r>
            <w:r w:rsidR="006038D5">
              <w:rPr>
                <w:rFonts w:eastAsia="Calibri"/>
                <w:szCs w:val="22"/>
                <w:lang w:eastAsia="en-US"/>
              </w:rPr>
              <w:t>s</w:t>
            </w:r>
            <w:r w:rsidRPr="00CD2AB2">
              <w:rPr>
                <w:rFonts w:eastAsia="Calibri"/>
                <w:szCs w:val="22"/>
                <w:lang w:eastAsia="en-US"/>
              </w:rPr>
              <w:t xml:space="preserve">. </w:t>
            </w:r>
          </w:p>
          <w:p w14:paraId="335D90E7" w14:textId="5BB65FC9" w:rsidR="003B4226" w:rsidRPr="0074082F" w:rsidRDefault="00505A53" w:rsidP="68471D22">
            <w:pPr>
              <w:spacing w:before="0"/>
              <w:ind w:left="6" w:hanging="6"/>
              <w:rPr>
                <w:rFonts w:asciiTheme="minorHAnsi" w:hAnsiTheme="minorHAnsi" w:cstheme="minorBidi"/>
                <w:sz w:val="22"/>
                <w:szCs w:val="22"/>
                <w:lang w:val="en-AU"/>
              </w:rPr>
            </w:pPr>
            <w:r w:rsidRPr="00CD2AB2">
              <w:rPr>
                <w:rFonts w:cstheme="minorBidi"/>
                <w:szCs w:val="22"/>
              </w:rPr>
              <w:t>The CDR website includes</w:t>
            </w:r>
            <w:r w:rsidR="00E449BD" w:rsidRPr="00CD2AB2">
              <w:rPr>
                <w:rFonts w:cstheme="minorBidi"/>
                <w:szCs w:val="22"/>
              </w:rPr>
              <w:t xml:space="preserve"> </w:t>
            </w:r>
            <w:r w:rsidRPr="00CD2AB2">
              <w:rPr>
                <w:rFonts w:cstheme="minorBidi"/>
                <w:szCs w:val="22"/>
              </w:rPr>
              <w:t xml:space="preserve">statistics on active </w:t>
            </w:r>
            <w:r w:rsidR="00A402C3">
              <w:rPr>
                <w:rFonts w:cstheme="minorBidi"/>
                <w:szCs w:val="22"/>
              </w:rPr>
              <w:t xml:space="preserve">banking </w:t>
            </w:r>
            <w:r w:rsidRPr="00CD2AB2">
              <w:rPr>
                <w:rFonts w:cstheme="minorBidi"/>
                <w:szCs w:val="22"/>
              </w:rPr>
              <w:t xml:space="preserve">data holders’ performance </w:t>
            </w:r>
            <w:r w:rsidR="00721DCD" w:rsidRPr="00CD2AB2">
              <w:rPr>
                <w:rFonts w:cstheme="minorBidi"/>
                <w:szCs w:val="22"/>
              </w:rPr>
              <w:t xml:space="preserve">and </w:t>
            </w:r>
            <w:r w:rsidRPr="00CD2AB2">
              <w:rPr>
                <w:rFonts w:cstheme="minorBidi"/>
                <w:szCs w:val="22"/>
              </w:rPr>
              <w:t xml:space="preserve">information about Accredited Data Recipients and </w:t>
            </w:r>
            <w:r w:rsidR="00AA515A">
              <w:rPr>
                <w:rFonts w:cstheme="minorBidi"/>
                <w:szCs w:val="22"/>
              </w:rPr>
              <w:t>r</w:t>
            </w:r>
            <w:r w:rsidRPr="00CD2AB2">
              <w:rPr>
                <w:rFonts w:cstheme="minorBidi"/>
                <w:szCs w:val="22"/>
              </w:rPr>
              <w:t>epresentative</w:t>
            </w:r>
            <w:r w:rsidR="00721DCD" w:rsidRPr="00CD2AB2">
              <w:rPr>
                <w:rFonts w:cstheme="minorBidi"/>
                <w:szCs w:val="22"/>
              </w:rPr>
              <w:t xml:space="preserve"> arrangements</w:t>
            </w:r>
            <w:r w:rsidR="00AA515A">
              <w:rPr>
                <w:rFonts w:cstheme="minorBidi"/>
                <w:szCs w:val="22"/>
              </w:rPr>
              <w:t>.</w:t>
            </w:r>
            <w:r w:rsidR="00FE488F" w:rsidRPr="00CD2AB2">
              <w:rPr>
                <w:rStyle w:val="FootnoteReference"/>
                <w:rFonts w:cstheme="minorBidi"/>
              </w:rPr>
              <w:t xml:space="preserve"> </w:t>
            </w:r>
            <w:r w:rsidR="00FE488F" w:rsidRPr="00CD2AB2">
              <w:rPr>
                <w:rStyle w:val="FootnoteReference"/>
                <w:rFonts w:cstheme="minorHAnsi"/>
                <w:szCs w:val="22"/>
              </w:rPr>
              <w:footnoteReference w:id="4"/>
            </w:r>
            <w:r w:rsidR="003B4226" w:rsidRPr="00CD2AB2">
              <w:rPr>
                <w:rFonts w:cstheme="minorBidi"/>
                <w:szCs w:val="22"/>
              </w:rPr>
              <w:t xml:space="preserve"> The response</w:t>
            </w:r>
            <w:r w:rsidR="00414A5A">
              <w:rPr>
                <w:rFonts w:cstheme="minorBidi"/>
                <w:szCs w:val="22"/>
              </w:rPr>
              <w:t>s</w:t>
            </w:r>
            <w:r w:rsidR="003B4226" w:rsidRPr="00CD2AB2">
              <w:rPr>
                <w:rFonts w:cstheme="minorBidi"/>
                <w:szCs w:val="22"/>
              </w:rPr>
              <w:t xml:space="preserve"> to recommendations 1.4 and 1.5 outline that a </w:t>
            </w:r>
            <w:r w:rsidR="003B4226" w:rsidRPr="00CD2AB2">
              <w:rPr>
                <w:rFonts w:asciiTheme="minorHAnsi" w:hAnsiTheme="minorHAnsi" w:cstheme="minorBidi"/>
                <w:szCs w:val="22"/>
              </w:rPr>
              <w:t xml:space="preserve">public-facing forward work plan and benefits </w:t>
            </w:r>
            <w:proofErr w:type="spellStart"/>
            <w:r w:rsidR="003B4226" w:rsidRPr="00CD2AB2">
              <w:rPr>
                <w:rFonts w:asciiTheme="minorHAnsi" w:hAnsiTheme="minorHAnsi" w:cstheme="minorBidi"/>
                <w:szCs w:val="22"/>
              </w:rPr>
              <w:t>realisation</w:t>
            </w:r>
            <w:proofErr w:type="spellEnd"/>
            <w:r w:rsidR="003B4226" w:rsidRPr="00CD2AB2">
              <w:rPr>
                <w:rFonts w:asciiTheme="minorHAnsi" w:hAnsiTheme="minorHAnsi" w:cstheme="minorBidi"/>
                <w:szCs w:val="22"/>
              </w:rPr>
              <w:t xml:space="preserve"> framework will be published on the CDR website, cdr.gov.au. </w:t>
            </w:r>
          </w:p>
          <w:p w14:paraId="7A2B4CA4" w14:textId="693769A0" w:rsidR="00B06E68" w:rsidRPr="0074082F" w:rsidRDefault="00762FBC" w:rsidP="00505A53">
            <w:pPr>
              <w:spacing w:before="0"/>
              <w:ind w:left="6" w:hanging="6"/>
              <w:rPr>
                <w:rFonts w:asciiTheme="minorHAnsi" w:hAnsiTheme="minorHAnsi" w:cstheme="minorBidi"/>
                <w:sz w:val="22"/>
                <w:szCs w:val="22"/>
                <w:lang w:val="en-AU"/>
              </w:rPr>
            </w:pPr>
            <w:r w:rsidRPr="00CD2AB2">
              <w:rPr>
                <w:rFonts w:eastAsia="Calibri" w:cs="Arial"/>
                <w:szCs w:val="22"/>
                <w:lang w:eastAsia="en-US"/>
              </w:rPr>
              <w:t>CDR agencies will continue to identify improvements to cross-agency coordination and to make it easier for participants to resolve issues, ensure data quality in the system and seek advice.</w:t>
            </w:r>
          </w:p>
        </w:tc>
      </w:tr>
      <w:tr w:rsidR="00F213C2" w:rsidRPr="00CD2AB2" w14:paraId="2390D3F4" w14:textId="77777777" w:rsidTr="4B2D0FD9">
        <w:trPr>
          <w:cnfStyle w:val="000000100000" w:firstRow="0" w:lastRow="0" w:firstColumn="0" w:lastColumn="0" w:oddVBand="0" w:evenVBand="0" w:oddHBand="1" w:evenHBand="0" w:firstRowFirstColumn="0" w:firstRowLastColumn="0" w:lastRowFirstColumn="0" w:lastRowLastColumn="0"/>
          <w:cantSplit/>
        </w:trPr>
        <w:tc>
          <w:tcPr>
            <w:tcW w:w="3686" w:type="dxa"/>
            <w:shd w:val="clear" w:color="auto" w:fill="auto"/>
            <w:vAlign w:val="top"/>
          </w:tcPr>
          <w:p w14:paraId="1E2851CA" w14:textId="7726B5FB" w:rsidR="00762FBC" w:rsidRPr="006B2D6D" w:rsidRDefault="00762FBC" w:rsidP="00762FBC">
            <w:pPr>
              <w:spacing w:before="0"/>
              <w:ind w:left="6" w:hanging="6"/>
              <w:rPr>
                <w:rFonts w:asciiTheme="minorHAnsi" w:hAnsiTheme="minorHAnsi" w:cstheme="minorHAnsi"/>
                <w:b/>
                <w:bCs/>
                <w:sz w:val="22"/>
                <w:szCs w:val="22"/>
                <w:lang w:val="en-AU"/>
              </w:rPr>
            </w:pPr>
            <w:r w:rsidRPr="00CD2AB2">
              <w:rPr>
                <w:rFonts w:asciiTheme="minorHAnsi" w:hAnsiTheme="minorHAnsi" w:cstheme="minorHAnsi"/>
                <w:b/>
                <w:szCs w:val="22"/>
              </w:rPr>
              <w:lastRenderedPageBreak/>
              <w:t xml:space="preserve">2.4 – Support initiatives to encourage the development of innovative use cases </w:t>
            </w:r>
          </w:p>
          <w:p w14:paraId="4B4155FC" w14:textId="4ABF0B7B" w:rsidR="00762FBC" w:rsidRPr="006B2D6D" w:rsidRDefault="00762FBC" w:rsidP="00762FBC">
            <w:pPr>
              <w:spacing w:before="0"/>
              <w:ind w:left="6" w:hanging="6"/>
              <w:rPr>
                <w:rFonts w:asciiTheme="minorHAnsi" w:hAnsiTheme="minorHAnsi" w:cstheme="minorHAnsi"/>
                <w:b/>
                <w:sz w:val="22"/>
                <w:szCs w:val="22"/>
                <w:lang w:val="en-AU"/>
              </w:rPr>
            </w:pPr>
            <w:r w:rsidRPr="00CD2AB2">
              <w:rPr>
                <w:rFonts w:asciiTheme="minorHAnsi" w:hAnsiTheme="minorHAnsi" w:cstheme="minorHAnsi"/>
                <w:szCs w:val="22"/>
              </w:rPr>
              <w:t xml:space="preserve">To encourage and </w:t>
            </w:r>
            <w:proofErr w:type="spellStart"/>
            <w:r w:rsidRPr="00CD2AB2">
              <w:rPr>
                <w:rFonts w:asciiTheme="minorHAnsi" w:hAnsiTheme="minorHAnsi" w:cstheme="minorHAnsi"/>
                <w:szCs w:val="22"/>
              </w:rPr>
              <w:t>incentivise</w:t>
            </w:r>
            <w:proofErr w:type="spellEnd"/>
            <w:r w:rsidRPr="00CD2AB2">
              <w:rPr>
                <w:rFonts w:asciiTheme="minorHAnsi" w:hAnsiTheme="minorHAnsi" w:cstheme="minorHAnsi"/>
                <w:szCs w:val="22"/>
              </w:rPr>
              <w:t xml:space="preserve"> the development of innovative use cases, the Government should look to support initiatives like the UK’s Open Up 2020 Challenge, which could target a use case that drives social benefit that is not being developed by the market. Collaboration with consumer advocacy groups should be considered to help identify relevant consumer challenges that could be addressed by the CDR.</w:t>
            </w:r>
          </w:p>
        </w:tc>
        <w:tc>
          <w:tcPr>
            <w:tcW w:w="5528" w:type="dxa"/>
            <w:shd w:val="clear" w:color="auto" w:fill="auto"/>
            <w:vAlign w:val="top"/>
          </w:tcPr>
          <w:p w14:paraId="34E29030" w14:textId="526EFDF9" w:rsidR="00424D71" w:rsidRPr="00AC76D8" w:rsidRDefault="00A85CE4" w:rsidP="497BF4C5">
            <w:pPr>
              <w:spacing w:before="0"/>
              <w:ind w:left="6" w:hanging="6"/>
              <w:rPr>
                <w:rFonts w:asciiTheme="minorHAnsi" w:hAnsiTheme="minorHAnsi" w:cstheme="minorBidi"/>
                <w:sz w:val="22"/>
                <w:szCs w:val="22"/>
                <w:lang w:val="en-AU"/>
              </w:rPr>
            </w:pPr>
            <w:r w:rsidRPr="00CD2AB2">
              <w:rPr>
                <w:rFonts w:asciiTheme="minorHAnsi" w:hAnsiTheme="minorHAnsi" w:cstheme="minorBidi"/>
                <w:b/>
                <w:szCs w:val="22"/>
              </w:rPr>
              <w:t>Noted.</w:t>
            </w:r>
            <w:r w:rsidR="52781E8E" w:rsidRPr="00CD2AB2">
              <w:rPr>
                <w:rFonts w:asciiTheme="minorHAnsi" w:hAnsiTheme="minorHAnsi" w:cstheme="minorBidi"/>
                <w:b/>
                <w:szCs w:val="22"/>
              </w:rPr>
              <w:t xml:space="preserve"> </w:t>
            </w:r>
          </w:p>
          <w:p w14:paraId="2E112C5D" w14:textId="3619C09E" w:rsidR="00424D71" w:rsidRPr="006B2D6D" w:rsidRDefault="52781E8E" w:rsidP="73FCF691">
            <w:pPr>
              <w:spacing w:before="0"/>
              <w:ind w:left="6" w:hanging="6"/>
              <w:rPr>
                <w:rFonts w:asciiTheme="minorHAnsi" w:hAnsiTheme="minorHAnsi" w:cstheme="minorBidi"/>
                <w:sz w:val="22"/>
                <w:szCs w:val="22"/>
                <w:lang w:val="en-AU"/>
              </w:rPr>
            </w:pPr>
            <w:r w:rsidRPr="00CD2AB2">
              <w:rPr>
                <w:rFonts w:asciiTheme="minorHAnsi" w:hAnsiTheme="minorHAnsi" w:cstheme="minorBidi"/>
                <w:szCs w:val="22"/>
              </w:rPr>
              <w:t xml:space="preserve">In consultation with industry, the Government will further consider options to encourage the development of innovative use cases in the CDR, including through challenge-based initiatives and other mechanisms. </w:t>
            </w:r>
          </w:p>
          <w:p w14:paraId="3DA2A496" w14:textId="160FCBC1" w:rsidR="00762FBC" w:rsidRPr="006B2D6D" w:rsidRDefault="00762FBC" w:rsidP="6FD9C932">
            <w:pPr>
              <w:spacing w:before="0"/>
              <w:ind w:left="6" w:hanging="6"/>
              <w:rPr>
                <w:rFonts w:asciiTheme="minorHAnsi" w:hAnsiTheme="minorHAnsi" w:cstheme="minorBidi"/>
                <w:sz w:val="22"/>
                <w:szCs w:val="22"/>
                <w:lang w:val="en-AU"/>
              </w:rPr>
            </w:pPr>
          </w:p>
        </w:tc>
      </w:tr>
      <w:tr w:rsidR="00F213C2" w:rsidRPr="00CD2AB2" w14:paraId="0BDB9E8A" w14:textId="77777777" w:rsidTr="4B2D0FD9">
        <w:trPr>
          <w:cnfStyle w:val="000000010000" w:firstRow="0" w:lastRow="0" w:firstColumn="0" w:lastColumn="0" w:oddVBand="0" w:evenVBand="0" w:oddHBand="0" w:evenHBand="1" w:firstRowFirstColumn="0" w:firstRowLastColumn="0" w:lastRowFirstColumn="0" w:lastRowLastColumn="0"/>
          <w:cantSplit/>
        </w:trPr>
        <w:tc>
          <w:tcPr>
            <w:tcW w:w="3686" w:type="dxa"/>
            <w:shd w:val="clear" w:color="auto" w:fill="auto"/>
            <w:vAlign w:val="top"/>
          </w:tcPr>
          <w:p w14:paraId="07D532C2" w14:textId="3EC7EBCD" w:rsidR="00762FBC" w:rsidRPr="006B2D6D" w:rsidRDefault="00762FBC" w:rsidP="00762FBC">
            <w:pPr>
              <w:spacing w:before="0"/>
              <w:ind w:left="6" w:hanging="6"/>
              <w:rPr>
                <w:rFonts w:asciiTheme="minorHAnsi" w:hAnsiTheme="minorHAnsi" w:cstheme="minorHAnsi"/>
                <w:b/>
                <w:bCs/>
                <w:sz w:val="22"/>
                <w:szCs w:val="22"/>
                <w:lang w:val="en-AU"/>
              </w:rPr>
            </w:pPr>
            <w:r w:rsidRPr="00CD2AB2">
              <w:rPr>
                <w:rFonts w:asciiTheme="minorHAnsi" w:hAnsiTheme="minorHAnsi" w:cstheme="minorHAnsi"/>
                <w:b/>
                <w:szCs w:val="22"/>
              </w:rPr>
              <w:t xml:space="preserve">2.5 – </w:t>
            </w:r>
            <w:r w:rsidR="005C76AE">
              <w:rPr>
                <w:rFonts w:asciiTheme="minorHAnsi" w:hAnsiTheme="minorHAnsi" w:cstheme="minorHAnsi"/>
                <w:b/>
                <w:szCs w:val="22"/>
              </w:rPr>
              <w:t>Focusing</w:t>
            </w:r>
            <w:r w:rsidRPr="00CD2AB2">
              <w:rPr>
                <w:rFonts w:asciiTheme="minorHAnsi" w:hAnsiTheme="minorHAnsi" w:cstheme="minorHAnsi"/>
                <w:b/>
                <w:szCs w:val="22"/>
              </w:rPr>
              <w:t xml:space="preserve"> on </w:t>
            </w:r>
            <w:r w:rsidR="005C76AE">
              <w:rPr>
                <w:rFonts w:asciiTheme="minorHAnsi" w:hAnsiTheme="minorHAnsi" w:cstheme="minorHAnsi"/>
                <w:b/>
                <w:szCs w:val="22"/>
              </w:rPr>
              <w:t>system maturity,</w:t>
            </w:r>
            <w:r w:rsidRPr="00CD2AB2">
              <w:rPr>
                <w:rFonts w:asciiTheme="minorHAnsi" w:hAnsiTheme="minorHAnsi" w:cstheme="minorHAnsi"/>
                <w:b/>
                <w:szCs w:val="22"/>
              </w:rPr>
              <w:t xml:space="preserve"> </w:t>
            </w:r>
            <w:proofErr w:type="gramStart"/>
            <w:r w:rsidRPr="00CD2AB2">
              <w:rPr>
                <w:rFonts w:asciiTheme="minorHAnsi" w:hAnsiTheme="minorHAnsi" w:cstheme="minorHAnsi"/>
                <w:b/>
                <w:szCs w:val="22"/>
              </w:rPr>
              <w:t>functionality</w:t>
            </w:r>
            <w:proofErr w:type="gramEnd"/>
            <w:r w:rsidRPr="00CD2AB2">
              <w:rPr>
                <w:rFonts w:asciiTheme="minorHAnsi" w:hAnsiTheme="minorHAnsi" w:cstheme="minorHAnsi"/>
                <w:b/>
                <w:szCs w:val="22"/>
              </w:rPr>
              <w:t xml:space="preserve"> and data quality</w:t>
            </w:r>
          </w:p>
          <w:p w14:paraId="13BC365B" w14:textId="6C98AC89" w:rsidR="00762FBC" w:rsidRPr="006B2D6D" w:rsidRDefault="6175170F" w:rsidP="17A14957">
            <w:pPr>
              <w:spacing w:before="0"/>
              <w:ind w:left="6" w:hanging="6"/>
              <w:rPr>
                <w:rFonts w:asciiTheme="minorHAnsi" w:hAnsiTheme="minorHAnsi" w:cstheme="minorBidi"/>
                <w:b/>
                <w:bCs/>
                <w:sz w:val="22"/>
                <w:szCs w:val="22"/>
                <w:lang w:val="en-AU"/>
              </w:rPr>
            </w:pPr>
            <w:r w:rsidRPr="00CD2AB2">
              <w:rPr>
                <w:rFonts w:asciiTheme="minorHAnsi" w:hAnsiTheme="minorHAnsi" w:cstheme="minorBidi"/>
                <w:szCs w:val="22"/>
              </w:rPr>
              <w:t xml:space="preserve">The current pace of CDR rollout into new sectors has not allowed enough time for the system to mature and </w:t>
            </w:r>
            <w:proofErr w:type="spellStart"/>
            <w:r w:rsidRPr="00CD2AB2">
              <w:rPr>
                <w:rFonts w:asciiTheme="minorHAnsi" w:hAnsiTheme="minorHAnsi" w:cstheme="minorBidi"/>
                <w:szCs w:val="22"/>
              </w:rPr>
              <w:t>capitalise</w:t>
            </w:r>
            <w:proofErr w:type="spellEnd"/>
            <w:r w:rsidRPr="00CD2AB2">
              <w:rPr>
                <w:rFonts w:asciiTheme="minorHAnsi" w:hAnsiTheme="minorHAnsi" w:cstheme="minorBidi"/>
                <w:szCs w:val="22"/>
              </w:rPr>
              <w:t xml:space="preserve"> on the lessons learnt. </w:t>
            </w:r>
            <w:r w:rsidR="338CCF7F" w:rsidRPr="00CD2AB2">
              <w:rPr>
                <w:rFonts w:asciiTheme="minorHAnsi" w:hAnsiTheme="minorHAnsi" w:cstheme="minorBidi"/>
                <w:szCs w:val="22"/>
              </w:rPr>
              <w:t>Focusing</w:t>
            </w:r>
            <w:r w:rsidRPr="00CD2AB2">
              <w:rPr>
                <w:rFonts w:asciiTheme="minorHAnsi" w:hAnsiTheme="minorHAnsi" w:cstheme="minorBidi"/>
                <w:szCs w:val="22"/>
              </w:rPr>
              <w:t xml:space="preserve"> on improving CDR functionality and data quality within already designated sectors should be </w:t>
            </w:r>
            <w:proofErr w:type="spellStart"/>
            <w:r w:rsidRPr="00CD2AB2">
              <w:rPr>
                <w:rFonts w:asciiTheme="minorHAnsi" w:hAnsiTheme="minorHAnsi" w:cstheme="minorBidi"/>
                <w:szCs w:val="22"/>
              </w:rPr>
              <w:t>prioritised</w:t>
            </w:r>
            <w:proofErr w:type="spellEnd"/>
            <w:r w:rsidRPr="00CD2AB2">
              <w:rPr>
                <w:rFonts w:asciiTheme="minorHAnsi" w:hAnsiTheme="minorHAnsi" w:cstheme="minorBidi"/>
                <w:szCs w:val="22"/>
              </w:rPr>
              <w:t>, balanced with overall forward momentum into new sectors over time.</w:t>
            </w:r>
          </w:p>
        </w:tc>
        <w:tc>
          <w:tcPr>
            <w:tcW w:w="5528" w:type="dxa"/>
            <w:shd w:val="clear" w:color="auto" w:fill="auto"/>
            <w:vAlign w:val="top"/>
          </w:tcPr>
          <w:p w14:paraId="135BFC66" w14:textId="07122D86" w:rsidR="00762FBC" w:rsidRPr="006B2D6D" w:rsidRDefault="00762FBC" w:rsidP="00762FBC">
            <w:pPr>
              <w:spacing w:before="0"/>
              <w:rPr>
                <w:b/>
                <w:bCs/>
                <w:sz w:val="22"/>
                <w:szCs w:val="22"/>
                <w:lang w:val="en-AU"/>
              </w:rPr>
            </w:pPr>
            <w:r w:rsidRPr="00CD2AB2">
              <w:rPr>
                <w:rFonts w:cstheme="minorBidi"/>
                <w:b/>
                <w:szCs w:val="22"/>
              </w:rPr>
              <w:t>Agree.</w:t>
            </w:r>
            <w:r w:rsidR="00FA0702" w:rsidRPr="00CD2AB2">
              <w:rPr>
                <w:rFonts w:cstheme="minorBidi"/>
                <w:b/>
                <w:szCs w:val="22"/>
              </w:rPr>
              <w:t xml:space="preserve"> </w:t>
            </w:r>
          </w:p>
          <w:p w14:paraId="2976A0BB" w14:textId="3B2FF433" w:rsidR="008A3B19" w:rsidRDefault="4951EA6D" w:rsidP="17A14957">
            <w:pPr>
              <w:rPr>
                <w:rFonts w:asciiTheme="minorHAnsi" w:hAnsiTheme="minorHAnsi" w:cstheme="minorBidi"/>
                <w:szCs w:val="22"/>
              </w:rPr>
            </w:pPr>
            <w:r w:rsidRPr="00CD2AB2">
              <w:rPr>
                <w:rFonts w:cstheme="minorBidi"/>
                <w:szCs w:val="22"/>
              </w:rPr>
              <w:t>Looking forward, the Government’s approach to the rollout of the CDR aims for a balanced pace of expansion and improvements to existing arrangements</w:t>
            </w:r>
            <w:r w:rsidRPr="00CD2AB2">
              <w:rPr>
                <w:rFonts w:asciiTheme="minorHAnsi" w:hAnsiTheme="minorHAnsi" w:cstheme="minorBidi"/>
                <w:szCs w:val="22"/>
              </w:rPr>
              <w:t xml:space="preserve">. </w:t>
            </w:r>
            <w:r w:rsidR="00013909" w:rsidRPr="00CD2AB2">
              <w:t>The Government</w:t>
            </w:r>
            <w:r w:rsidR="00530CA7">
              <w:t>’s</w:t>
            </w:r>
            <w:r w:rsidR="00013909" w:rsidRPr="00CD2AB2">
              <w:t xml:space="preserve"> funding </w:t>
            </w:r>
            <w:r w:rsidR="005950CA" w:rsidRPr="00CD2AB2">
              <w:t xml:space="preserve">for CDR agencies </w:t>
            </w:r>
            <w:r w:rsidR="00530CA7">
              <w:t>in</w:t>
            </w:r>
            <w:r w:rsidR="00013909" w:rsidRPr="00CD2AB2">
              <w:t xml:space="preserve"> Budget 2023</w:t>
            </w:r>
            <w:r w:rsidR="00013909">
              <w:noBreakHyphen/>
            </w:r>
            <w:r w:rsidR="00013909" w:rsidRPr="00CD2AB2">
              <w:t xml:space="preserve">2024 </w:t>
            </w:r>
            <w:r w:rsidR="005950CA">
              <w:t>will</w:t>
            </w:r>
            <w:r w:rsidR="00013909" w:rsidRPr="00CD2AB2">
              <w:t xml:space="preserve"> continue supporting operations in banking and energy</w:t>
            </w:r>
            <w:r w:rsidR="00013909">
              <w:t xml:space="preserve">, including for the ACCC to continue to </w:t>
            </w:r>
            <w:r w:rsidR="0073147E" w:rsidRPr="0073147E">
              <w:t>focus on data holders’ compliance with their data quality obligations</w:t>
            </w:r>
            <w:r w:rsidR="00013909">
              <w:rPr>
                <w:rFonts w:cstheme="minorHAnsi"/>
                <w:szCs w:val="22"/>
              </w:rPr>
              <w:t>.</w:t>
            </w:r>
            <w:r w:rsidR="00626B33" w:rsidRPr="0011358F">
              <w:t xml:space="preserve"> The Government </w:t>
            </w:r>
            <w:r w:rsidR="00013909">
              <w:t xml:space="preserve">is </w:t>
            </w:r>
            <w:r w:rsidR="00626B33" w:rsidRPr="0011358F">
              <w:t xml:space="preserve">pausing implementation of the CDR across the superannuation, </w:t>
            </w:r>
            <w:proofErr w:type="gramStart"/>
            <w:r w:rsidR="00626B33" w:rsidRPr="0011358F">
              <w:t>insurance</w:t>
            </w:r>
            <w:proofErr w:type="gramEnd"/>
            <w:r w:rsidR="00013909" w:rsidRPr="0011358F">
              <w:t xml:space="preserve"> and </w:t>
            </w:r>
            <w:r w:rsidR="00626B33" w:rsidRPr="0011358F">
              <w:t>telecommunications sectors to allow time for the CDR to mature across the banking and energy sectors</w:t>
            </w:r>
            <w:r w:rsidR="00626B33">
              <w:t xml:space="preserve"> </w:t>
            </w:r>
            <w:r w:rsidR="00626B33" w:rsidRPr="0011358F">
              <w:t>and to implement lessons learned to date</w:t>
            </w:r>
            <w:r w:rsidR="00013909" w:rsidRPr="0011358F">
              <w:t>.</w:t>
            </w:r>
          </w:p>
          <w:p w14:paraId="47406125" w14:textId="3314519B" w:rsidR="00D34EA4" w:rsidRPr="003777A6" w:rsidRDefault="00762FBC" w:rsidP="003777A6">
            <w:pPr>
              <w:rPr>
                <w:rFonts w:cstheme="minorBidi"/>
                <w:sz w:val="22"/>
                <w:szCs w:val="22"/>
                <w:lang w:val="en-AU"/>
              </w:rPr>
            </w:pPr>
            <w:r w:rsidRPr="00CD2AB2" w:rsidDel="00E8514C">
              <w:rPr>
                <w:rFonts w:cstheme="minorHAnsi"/>
                <w:szCs w:val="22"/>
              </w:rPr>
              <w:t xml:space="preserve">The Government </w:t>
            </w:r>
            <w:proofErr w:type="spellStart"/>
            <w:r w:rsidRPr="00CD2AB2" w:rsidDel="00E8514C">
              <w:rPr>
                <w:rFonts w:cstheme="minorHAnsi"/>
                <w:szCs w:val="22"/>
              </w:rPr>
              <w:t>recognises</w:t>
            </w:r>
            <w:proofErr w:type="spellEnd"/>
            <w:r w:rsidRPr="00CD2AB2" w:rsidDel="00E8514C">
              <w:rPr>
                <w:rFonts w:cstheme="minorHAnsi"/>
                <w:szCs w:val="22"/>
              </w:rPr>
              <w:t xml:space="preserve"> the importance of improving CDR functionality and data quality</w:t>
            </w:r>
            <w:r w:rsidR="001109B0">
              <w:t xml:space="preserve"> so that CDR data is accurate</w:t>
            </w:r>
            <w:r w:rsidR="001109B0">
              <w:rPr>
                <w:rFonts w:cstheme="minorHAnsi"/>
                <w:szCs w:val="22"/>
              </w:rPr>
              <w:t xml:space="preserve"> and reliable</w:t>
            </w:r>
            <w:r w:rsidRPr="00CD2AB2">
              <w:rPr>
                <w:rFonts w:cstheme="minorHAnsi"/>
                <w:szCs w:val="22"/>
              </w:rPr>
              <w:t>.</w:t>
            </w:r>
            <w:r w:rsidRPr="00CD2AB2" w:rsidDel="00E8514C">
              <w:rPr>
                <w:rFonts w:cstheme="minorHAnsi"/>
                <w:szCs w:val="22"/>
              </w:rPr>
              <w:t xml:space="preserve"> </w:t>
            </w:r>
            <w:r w:rsidRPr="00CD2AB2">
              <w:rPr>
                <w:rFonts w:cstheme="minorBidi"/>
                <w:szCs w:val="22"/>
              </w:rPr>
              <w:t xml:space="preserve">Following the release of the Statutory Review report, the ACCC ran a public consultation process on improving data quality in the CDR to gather further views on the prevalence of data quality issues, harm resulting from these issues, and approaches to these issues from a compliance or enforcement perspective. </w:t>
            </w:r>
            <w:r w:rsidR="008651F3" w:rsidRPr="00CD2AB2">
              <w:rPr>
                <w:rFonts w:cstheme="minorBidi"/>
                <w:szCs w:val="22"/>
              </w:rPr>
              <w:t>On 5 April 2023, t</w:t>
            </w:r>
            <w:r w:rsidR="0074405D" w:rsidRPr="00CD2AB2">
              <w:rPr>
                <w:rFonts w:cstheme="minorBidi"/>
                <w:szCs w:val="22"/>
              </w:rPr>
              <w:t>he ACCC published findings from this stakeholder consultation</w:t>
            </w:r>
            <w:r w:rsidR="009902A1" w:rsidRPr="00CD2AB2">
              <w:rPr>
                <w:rFonts w:cstheme="minorBidi"/>
                <w:szCs w:val="22"/>
              </w:rPr>
              <w:t xml:space="preserve"> and actions it will take</w:t>
            </w:r>
            <w:r w:rsidR="0074405D" w:rsidRPr="00CD2AB2">
              <w:rPr>
                <w:rFonts w:cstheme="minorBidi"/>
                <w:szCs w:val="22"/>
              </w:rPr>
              <w:t>.</w:t>
            </w:r>
            <w:r w:rsidR="00E7200D" w:rsidRPr="00CD2AB2">
              <w:rPr>
                <w:rStyle w:val="FootnoteReference"/>
                <w:rFonts w:cstheme="minorBidi"/>
                <w:szCs w:val="22"/>
              </w:rPr>
              <w:footnoteReference w:id="5"/>
            </w:r>
            <w:r w:rsidR="003777A6">
              <w:rPr>
                <w:rFonts w:cstheme="minorBidi"/>
                <w:szCs w:val="22"/>
              </w:rPr>
              <w:t xml:space="preserve"> </w:t>
            </w:r>
            <w:r w:rsidRPr="00CD2AB2">
              <w:rPr>
                <w:szCs w:val="22"/>
              </w:rPr>
              <w:t xml:space="preserve">The ACCC will continue to engage with industry </w:t>
            </w:r>
            <w:r w:rsidRPr="00CD2AB2">
              <w:rPr>
                <w:rFonts w:cstheme="minorHAnsi"/>
                <w:szCs w:val="22"/>
              </w:rPr>
              <w:t>representatives to improve data quality.</w:t>
            </w:r>
          </w:p>
        </w:tc>
      </w:tr>
      <w:tr w:rsidR="00F213C2" w:rsidRPr="00CD2AB2" w14:paraId="13D50058" w14:textId="77777777" w:rsidTr="4B2D0FD9">
        <w:trPr>
          <w:cnfStyle w:val="000000100000" w:firstRow="0" w:lastRow="0" w:firstColumn="0" w:lastColumn="0" w:oddVBand="0" w:evenVBand="0" w:oddHBand="1" w:evenHBand="0" w:firstRowFirstColumn="0" w:firstRowLastColumn="0" w:lastRowFirstColumn="0" w:lastRowLastColumn="0"/>
          <w:cantSplit/>
        </w:trPr>
        <w:tc>
          <w:tcPr>
            <w:tcW w:w="3686" w:type="dxa"/>
            <w:shd w:val="clear" w:color="auto" w:fill="auto"/>
            <w:vAlign w:val="top"/>
          </w:tcPr>
          <w:p w14:paraId="12E4565E" w14:textId="47342AB8" w:rsidR="00762FBC" w:rsidRPr="006B2D6D" w:rsidRDefault="00762FBC" w:rsidP="00762FBC">
            <w:pPr>
              <w:spacing w:before="0"/>
              <w:ind w:left="6" w:hanging="6"/>
              <w:rPr>
                <w:rFonts w:asciiTheme="minorHAnsi" w:hAnsiTheme="minorHAnsi" w:cstheme="minorHAnsi"/>
                <w:b/>
                <w:bCs/>
                <w:sz w:val="22"/>
                <w:szCs w:val="22"/>
                <w:lang w:val="en-AU"/>
              </w:rPr>
            </w:pPr>
            <w:r w:rsidRPr="00CD2AB2">
              <w:rPr>
                <w:rFonts w:asciiTheme="minorHAnsi" w:hAnsiTheme="minorHAnsi" w:cstheme="minorHAnsi"/>
                <w:b/>
                <w:szCs w:val="22"/>
              </w:rPr>
              <w:lastRenderedPageBreak/>
              <w:t xml:space="preserve">2.6 – Cyber security assessment </w:t>
            </w:r>
          </w:p>
          <w:p w14:paraId="3E0D70DF" w14:textId="6F906E4C" w:rsidR="00762FBC" w:rsidRPr="006B2D6D" w:rsidRDefault="00762FBC" w:rsidP="00762FBC">
            <w:pPr>
              <w:spacing w:before="0"/>
              <w:ind w:left="6" w:hanging="6"/>
              <w:rPr>
                <w:rFonts w:asciiTheme="minorHAnsi" w:hAnsiTheme="minorHAnsi" w:cstheme="minorHAnsi"/>
                <w:b/>
                <w:sz w:val="22"/>
                <w:szCs w:val="22"/>
                <w:lang w:val="en-AU"/>
              </w:rPr>
            </w:pPr>
            <w:r w:rsidRPr="00CD2AB2">
              <w:rPr>
                <w:rFonts w:asciiTheme="minorHAnsi" w:hAnsiTheme="minorHAnsi" w:cstheme="minorHAnsi"/>
                <w:szCs w:val="22"/>
              </w:rPr>
              <w:t xml:space="preserve">At this point in the CDR’s development, Government should consider undertaking a whole of ecosystem </w:t>
            </w:r>
            <w:r w:rsidRPr="00CD2AB2">
              <w:rPr>
                <w:rFonts w:asciiTheme="minorHAnsi" w:hAnsiTheme="minorHAnsi" w:cstheme="minorHAnsi"/>
                <w:b/>
                <w:szCs w:val="22"/>
              </w:rPr>
              <w:t>cyber security assessment</w:t>
            </w:r>
            <w:r w:rsidRPr="00CD2AB2">
              <w:rPr>
                <w:rFonts w:asciiTheme="minorHAnsi" w:hAnsiTheme="minorHAnsi" w:cstheme="minorHAnsi"/>
                <w:szCs w:val="22"/>
              </w:rPr>
              <w:t xml:space="preserve"> to ensure that the CDR cyber security architecture continues to be fit for purpose into the future.</w:t>
            </w:r>
          </w:p>
        </w:tc>
        <w:tc>
          <w:tcPr>
            <w:tcW w:w="5528" w:type="dxa"/>
            <w:shd w:val="clear" w:color="auto" w:fill="auto"/>
            <w:vAlign w:val="top"/>
          </w:tcPr>
          <w:p w14:paraId="7AA9177E" w14:textId="77777777" w:rsidR="00176F1D" w:rsidRPr="006B2D6D" w:rsidRDefault="00762FBC" w:rsidP="00176F1D">
            <w:pPr>
              <w:spacing w:before="0"/>
              <w:ind w:left="1" w:firstLine="0"/>
              <w:rPr>
                <w:rFonts w:cstheme="minorBidi"/>
                <w:b/>
                <w:bCs/>
                <w:sz w:val="22"/>
                <w:szCs w:val="22"/>
                <w:lang w:val="en-AU"/>
              </w:rPr>
            </w:pPr>
            <w:r w:rsidRPr="00CD2AB2">
              <w:rPr>
                <w:rFonts w:cstheme="minorBidi"/>
                <w:b/>
                <w:szCs w:val="22"/>
              </w:rPr>
              <w:t>Agree.</w:t>
            </w:r>
          </w:p>
          <w:p w14:paraId="6E6C9C37" w14:textId="522F464F" w:rsidR="00762FBC" w:rsidRPr="006B2D6D" w:rsidRDefault="00762FBC" w:rsidP="497BF4C5">
            <w:pPr>
              <w:spacing w:before="0"/>
              <w:ind w:left="1" w:firstLine="0"/>
              <w:rPr>
                <w:rFonts w:cstheme="minorBidi"/>
                <w:sz w:val="22"/>
                <w:szCs w:val="22"/>
                <w:lang w:val="en-AU"/>
              </w:rPr>
            </w:pPr>
            <w:r w:rsidRPr="00CD2AB2">
              <w:rPr>
                <w:rFonts w:cstheme="minorBidi"/>
                <w:szCs w:val="22"/>
              </w:rPr>
              <w:t xml:space="preserve">Major private sector data breaches demonstrate the serious consequences of inadequate protection of consumer data. </w:t>
            </w:r>
          </w:p>
          <w:p w14:paraId="57B1D760" w14:textId="4D5C602A" w:rsidR="00762FBC" w:rsidRPr="006B2D6D" w:rsidRDefault="00762FBC" w:rsidP="00762FBC">
            <w:pPr>
              <w:rPr>
                <w:rFonts w:cstheme="minorHAnsi"/>
                <w:sz w:val="22"/>
                <w:szCs w:val="22"/>
                <w:lang w:val="en-AU"/>
              </w:rPr>
            </w:pPr>
            <w:r w:rsidRPr="00CD2AB2">
              <w:rPr>
                <w:rFonts w:cstheme="minorHAnsi"/>
                <w:szCs w:val="22"/>
              </w:rPr>
              <w:t xml:space="preserve">Cyber security is a priority for the CDR. It is important that consumers have trust and confidence in the CDR’s data security settings when they choose to share their data. </w:t>
            </w:r>
          </w:p>
          <w:p w14:paraId="0E84B308" w14:textId="01C6A183" w:rsidR="000A2763" w:rsidRPr="006B2D6D" w:rsidRDefault="00762FBC" w:rsidP="007127E6">
            <w:pPr>
              <w:rPr>
                <w:rFonts w:cstheme="minorBidi"/>
                <w:b/>
                <w:bCs/>
                <w:sz w:val="22"/>
                <w:szCs w:val="22"/>
                <w:lang w:val="en-AU"/>
              </w:rPr>
            </w:pPr>
            <w:r w:rsidRPr="00CD2AB2">
              <w:rPr>
                <w:rFonts w:cstheme="minorBidi"/>
                <w:szCs w:val="22"/>
              </w:rPr>
              <w:t>Following the release of the Statutory Review report, the Government progressed a whole of ecosystem cyber</w:t>
            </w:r>
            <w:r w:rsidR="0034261F">
              <w:rPr>
                <w:rFonts w:cstheme="minorBidi"/>
                <w:szCs w:val="22"/>
              </w:rPr>
              <w:t xml:space="preserve"> </w:t>
            </w:r>
            <w:r w:rsidRPr="00CD2AB2">
              <w:rPr>
                <w:rFonts w:cstheme="minorBidi"/>
                <w:szCs w:val="22"/>
              </w:rPr>
              <w:t>security assessment as a matter of priority.</w:t>
            </w:r>
            <w:r w:rsidRPr="00CD2AB2">
              <w:rPr>
                <w:szCs w:val="22"/>
              </w:rPr>
              <w:t xml:space="preserve"> </w:t>
            </w:r>
            <w:r w:rsidRPr="00CD2AB2">
              <w:rPr>
                <w:rFonts w:cstheme="minorBidi"/>
                <w:szCs w:val="22"/>
              </w:rPr>
              <w:t xml:space="preserve">In the 2023-24 Budget, the Government </w:t>
            </w:r>
            <w:r w:rsidR="00D87222" w:rsidRPr="00CD2AB2">
              <w:rPr>
                <w:rFonts w:cstheme="minorBidi"/>
                <w:szCs w:val="22"/>
              </w:rPr>
              <w:t>committed</w:t>
            </w:r>
            <w:r w:rsidRPr="00CD2AB2">
              <w:rPr>
                <w:rFonts w:cstheme="minorBidi"/>
                <w:color w:val="002C47" w:themeColor="accent1"/>
                <w:szCs w:val="22"/>
              </w:rPr>
              <w:t xml:space="preserve"> </w:t>
            </w:r>
            <w:r w:rsidR="00BA2DC2" w:rsidRPr="00BA2DC2">
              <w:rPr>
                <w:rFonts w:cstheme="minorBidi"/>
                <w:szCs w:val="22"/>
              </w:rPr>
              <w:t xml:space="preserve">funding </w:t>
            </w:r>
            <w:r w:rsidRPr="00CD2AB2">
              <w:rPr>
                <w:rFonts w:cstheme="minorBidi"/>
                <w:szCs w:val="22"/>
              </w:rPr>
              <w:t xml:space="preserve">to </w:t>
            </w:r>
            <w:r w:rsidR="00A448C3" w:rsidRPr="00CD2AB2">
              <w:t xml:space="preserve">deliver cyber security improvements across CDR agencies (Treasury, the Data Standards Body, the </w:t>
            </w:r>
            <w:r w:rsidR="00A448C3">
              <w:t>ACCC and the OAIC</w:t>
            </w:r>
            <w:r w:rsidR="00A448C3" w:rsidRPr="00CD2AB2">
              <w:t xml:space="preserve">) to </w:t>
            </w:r>
            <w:r w:rsidR="00A448C3">
              <w:t>help protect against</w:t>
            </w:r>
            <w:r w:rsidR="00A448C3" w:rsidRPr="00CD2AB2">
              <w:t xml:space="preserve"> threat</w:t>
            </w:r>
            <w:r w:rsidR="00A448C3">
              <w:t>s</w:t>
            </w:r>
            <w:r w:rsidR="00A448C3" w:rsidRPr="00CD2AB2">
              <w:t xml:space="preserve"> </w:t>
            </w:r>
            <w:r w:rsidR="00A448C3">
              <w:t xml:space="preserve">in the changing data </w:t>
            </w:r>
            <w:r w:rsidR="00A448C3" w:rsidRPr="00CD2AB2">
              <w:t xml:space="preserve">landscape.  </w:t>
            </w:r>
          </w:p>
        </w:tc>
      </w:tr>
      <w:tr w:rsidR="00F213C2" w:rsidRPr="00CD2AB2" w14:paraId="32825E4D" w14:textId="77777777" w:rsidTr="4B2D0FD9">
        <w:trPr>
          <w:cnfStyle w:val="000000010000" w:firstRow="0" w:lastRow="0" w:firstColumn="0" w:lastColumn="0" w:oddVBand="0" w:evenVBand="0" w:oddHBand="0" w:evenHBand="1" w:firstRowFirstColumn="0" w:firstRowLastColumn="0" w:lastRowFirstColumn="0" w:lastRowLastColumn="0"/>
          <w:cantSplit/>
        </w:trPr>
        <w:tc>
          <w:tcPr>
            <w:tcW w:w="3686" w:type="dxa"/>
            <w:shd w:val="clear" w:color="auto" w:fill="auto"/>
            <w:vAlign w:val="top"/>
          </w:tcPr>
          <w:p w14:paraId="1FD0D24D" w14:textId="2644DC9C" w:rsidR="009420B1" w:rsidRPr="00C82B9C" w:rsidRDefault="009420B1" w:rsidP="009420B1">
            <w:pPr>
              <w:spacing w:before="0"/>
              <w:ind w:left="6" w:hanging="6"/>
              <w:rPr>
                <w:rFonts w:asciiTheme="minorHAnsi" w:hAnsiTheme="minorHAnsi" w:cstheme="minorHAnsi"/>
                <w:sz w:val="22"/>
                <w:szCs w:val="22"/>
                <w:lang w:val="en-AU"/>
              </w:rPr>
            </w:pPr>
            <w:r w:rsidRPr="00CD2AB2">
              <w:rPr>
                <w:rFonts w:asciiTheme="minorHAnsi" w:hAnsiTheme="minorHAnsi" w:cstheme="minorHAnsi"/>
                <w:b/>
                <w:szCs w:val="22"/>
              </w:rPr>
              <w:t>2.7 – Accreditation under the CDR should be aligned with other obligations on participants, where appropriate</w:t>
            </w:r>
          </w:p>
          <w:p w14:paraId="1CF8EF29" w14:textId="5103F4BD" w:rsidR="009420B1" w:rsidRPr="00C82B9C" w:rsidRDefault="009420B1" w:rsidP="009420B1">
            <w:pPr>
              <w:spacing w:before="0"/>
              <w:ind w:left="6" w:hanging="6"/>
              <w:rPr>
                <w:rFonts w:asciiTheme="minorHAnsi" w:hAnsiTheme="minorHAnsi" w:cstheme="minorHAnsi"/>
                <w:b/>
                <w:sz w:val="22"/>
                <w:szCs w:val="22"/>
                <w:lang w:val="en-AU"/>
              </w:rPr>
            </w:pPr>
            <w:r w:rsidRPr="00CD2AB2">
              <w:rPr>
                <w:rFonts w:asciiTheme="minorHAnsi" w:hAnsiTheme="minorHAnsi" w:cstheme="minorHAnsi"/>
                <w:szCs w:val="22"/>
              </w:rPr>
              <w:t>Where appropriate, accreditation under the CDR should be aligned with other obligations on participants</w:t>
            </w:r>
            <w:proofErr w:type="gramStart"/>
            <w:r w:rsidRPr="00CD2AB2">
              <w:rPr>
                <w:rFonts w:asciiTheme="minorHAnsi" w:hAnsiTheme="minorHAnsi" w:cstheme="minorHAnsi"/>
                <w:szCs w:val="22"/>
              </w:rPr>
              <w:t>, in particular, accreditation</w:t>
            </w:r>
            <w:proofErr w:type="gramEnd"/>
            <w:r w:rsidRPr="00CD2AB2">
              <w:rPr>
                <w:rFonts w:asciiTheme="minorHAnsi" w:hAnsiTheme="minorHAnsi" w:cstheme="minorHAnsi"/>
                <w:szCs w:val="22"/>
              </w:rPr>
              <w:t xml:space="preserve"> requirements for Digital Service Providers registered with the ATO.</w:t>
            </w:r>
          </w:p>
        </w:tc>
        <w:tc>
          <w:tcPr>
            <w:tcW w:w="5528" w:type="dxa"/>
            <w:shd w:val="clear" w:color="auto" w:fill="auto"/>
            <w:vAlign w:val="top"/>
          </w:tcPr>
          <w:p w14:paraId="49D113D7" w14:textId="1B95E698" w:rsidR="009420B1" w:rsidRPr="0087550B" w:rsidRDefault="009420B1" w:rsidP="009420B1">
            <w:pPr>
              <w:spacing w:before="0"/>
              <w:rPr>
                <w:rFonts w:cstheme="minorHAnsi"/>
                <w:b/>
                <w:bCs/>
                <w:sz w:val="22"/>
                <w:szCs w:val="22"/>
                <w:lang w:val="en-AU"/>
              </w:rPr>
            </w:pPr>
            <w:r w:rsidRPr="00CD2AB2">
              <w:rPr>
                <w:b/>
                <w:szCs w:val="22"/>
              </w:rPr>
              <w:t>Noted.</w:t>
            </w:r>
          </w:p>
          <w:p w14:paraId="267F0205" w14:textId="3C543576" w:rsidR="009420B1" w:rsidRPr="00C82B9C" w:rsidRDefault="009420B1" w:rsidP="009420B1">
            <w:pPr>
              <w:rPr>
                <w:rFonts w:cstheme="minorHAnsi"/>
                <w:sz w:val="22"/>
                <w:szCs w:val="22"/>
                <w:lang w:val="en-AU"/>
              </w:rPr>
            </w:pPr>
            <w:r w:rsidRPr="00CD2AB2">
              <w:rPr>
                <w:rFonts w:cstheme="minorHAnsi"/>
                <w:szCs w:val="22"/>
              </w:rPr>
              <w:t xml:space="preserve">The Government </w:t>
            </w:r>
            <w:proofErr w:type="spellStart"/>
            <w:r w:rsidRPr="00CD2AB2">
              <w:rPr>
                <w:rFonts w:cstheme="minorHAnsi"/>
                <w:szCs w:val="22"/>
              </w:rPr>
              <w:t>recognises</w:t>
            </w:r>
            <w:proofErr w:type="spellEnd"/>
            <w:r w:rsidRPr="00CD2AB2">
              <w:rPr>
                <w:rFonts w:cstheme="minorHAnsi"/>
                <w:szCs w:val="22"/>
              </w:rPr>
              <w:t xml:space="preserve"> that the CDR framework is interlinked to other schemes in the broader data economy and </w:t>
            </w:r>
            <w:r w:rsidR="00222089" w:rsidRPr="00CD2AB2">
              <w:rPr>
                <w:rFonts w:cstheme="minorHAnsi"/>
                <w:szCs w:val="22"/>
              </w:rPr>
              <w:t>will seek</w:t>
            </w:r>
            <w:r w:rsidRPr="00CD2AB2">
              <w:rPr>
                <w:rFonts w:cstheme="minorHAnsi"/>
                <w:szCs w:val="22"/>
              </w:rPr>
              <w:t xml:space="preserve"> to align the CDR with other frameworks where possible. </w:t>
            </w:r>
          </w:p>
          <w:p w14:paraId="3C08A3D8" w14:textId="05EF9EAA" w:rsidR="00892F8A" w:rsidRPr="00C82B9C" w:rsidRDefault="00892F8A" w:rsidP="17A14957">
            <w:pPr>
              <w:rPr>
                <w:rFonts w:cstheme="minorBidi"/>
                <w:sz w:val="22"/>
                <w:szCs w:val="22"/>
                <w:lang w:val="en-AU"/>
              </w:rPr>
            </w:pPr>
          </w:p>
        </w:tc>
      </w:tr>
      <w:tr w:rsidR="00F213C2" w:rsidRPr="00CD2AB2" w14:paraId="39A4B3F9" w14:textId="77777777" w:rsidTr="4B2D0FD9">
        <w:trPr>
          <w:cnfStyle w:val="000000100000" w:firstRow="0" w:lastRow="0" w:firstColumn="0" w:lastColumn="0" w:oddVBand="0" w:evenVBand="0" w:oddHBand="1" w:evenHBand="0" w:firstRowFirstColumn="0" w:firstRowLastColumn="0" w:lastRowFirstColumn="0" w:lastRowLastColumn="0"/>
          <w:cantSplit/>
        </w:trPr>
        <w:tc>
          <w:tcPr>
            <w:tcW w:w="3686" w:type="dxa"/>
            <w:shd w:val="clear" w:color="auto" w:fill="auto"/>
            <w:vAlign w:val="top"/>
          </w:tcPr>
          <w:p w14:paraId="5BAE40A4" w14:textId="12D8F3F4" w:rsidR="00B26C69" w:rsidRPr="00C82B9C" w:rsidRDefault="00B26C69" w:rsidP="00B26C69">
            <w:pPr>
              <w:pStyle w:val="BoxText"/>
              <w:spacing w:before="0"/>
              <w:rPr>
                <w:rFonts w:asciiTheme="minorHAnsi" w:eastAsiaTheme="minorHAnsi" w:hAnsiTheme="minorHAnsi" w:cstheme="minorHAnsi"/>
                <w:b/>
                <w:bCs/>
                <w:sz w:val="22"/>
                <w:szCs w:val="22"/>
                <w:lang w:val="en-AU"/>
              </w:rPr>
            </w:pPr>
            <w:r w:rsidRPr="00CD2AB2">
              <w:rPr>
                <w:rFonts w:asciiTheme="minorHAnsi" w:eastAsiaTheme="minorHAnsi" w:hAnsiTheme="minorHAnsi" w:cstheme="minorHAnsi"/>
                <w:b/>
                <w:szCs w:val="22"/>
              </w:rPr>
              <w:t>3.1 – Small business participation in the CDR</w:t>
            </w:r>
          </w:p>
          <w:p w14:paraId="37C0C302" w14:textId="7F939453" w:rsidR="00B26C69" w:rsidRPr="00C82B9C" w:rsidRDefault="00B26C69" w:rsidP="00B26C69">
            <w:pPr>
              <w:pStyle w:val="BoxText"/>
              <w:spacing w:before="0"/>
              <w:rPr>
                <w:rFonts w:asciiTheme="minorHAnsi" w:eastAsiaTheme="minorHAnsi" w:hAnsiTheme="minorHAnsi" w:cstheme="minorHAnsi"/>
                <w:sz w:val="22"/>
                <w:szCs w:val="22"/>
                <w:lang w:val="en-AU"/>
              </w:rPr>
            </w:pPr>
            <w:r w:rsidRPr="00CD2AB2">
              <w:rPr>
                <w:rFonts w:asciiTheme="minorHAnsi" w:eastAsiaTheme="minorHAnsi" w:hAnsiTheme="minorHAnsi" w:cstheme="minorHAnsi"/>
                <w:szCs w:val="22"/>
              </w:rPr>
              <w:t>Government should consider ways to increase small business participation in the CDR. This could include giving small businesses flexibility to consent to share their CDR data with parties outside the limited ‘trusted adviser’ categories currently defined under the CDR Rules. Consideration should also be given to enabling small businesses to consent to share data outside the CDR to a third party for explicitly business-related purposes.</w:t>
            </w:r>
          </w:p>
          <w:p w14:paraId="18EC5FB9" w14:textId="7905E24A" w:rsidR="00B26C69" w:rsidRPr="00C82B9C" w:rsidRDefault="00B26C69" w:rsidP="00B26C69">
            <w:pPr>
              <w:spacing w:before="0"/>
              <w:ind w:left="6" w:hanging="6"/>
              <w:rPr>
                <w:rFonts w:asciiTheme="minorHAnsi" w:hAnsiTheme="minorHAnsi" w:cstheme="minorHAnsi"/>
                <w:sz w:val="22"/>
                <w:szCs w:val="22"/>
                <w:lang w:val="en-AU"/>
              </w:rPr>
            </w:pPr>
            <w:r w:rsidRPr="00CD2AB2">
              <w:rPr>
                <w:rFonts w:asciiTheme="minorHAnsi" w:hAnsiTheme="minorHAnsi" w:cstheme="minorHAnsi"/>
                <w:szCs w:val="22"/>
              </w:rPr>
              <w:t>Any amendments to support wider sharing of CDR data should ensure the maintenance of existing protections offered to individual consumers and carefully consider the impacts of any potential overlap between business and personal data.</w:t>
            </w:r>
          </w:p>
        </w:tc>
        <w:tc>
          <w:tcPr>
            <w:tcW w:w="5528" w:type="dxa"/>
            <w:shd w:val="clear" w:color="auto" w:fill="auto"/>
            <w:vAlign w:val="top"/>
          </w:tcPr>
          <w:p w14:paraId="635FDB22" w14:textId="1325DE19" w:rsidR="002E079A" w:rsidRPr="00C82B9C" w:rsidRDefault="002A312B" w:rsidP="00F41275">
            <w:pPr>
              <w:spacing w:before="0"/>
              <w:rPr>
                <w:b/>
                <w:bCs/>
                <w:sz w:val="22"/>
                <w:szCs w:val="22"/>
                <w:lang w:val="en-AU"/>
              </w:rPr>
            </w:pPr>
            <w:r>
              <w:rPr>
                <w:b/>
                <w:szCs w:val="22"/>
              </w:rPr>
              <w:t>Noted</w:t>
            </w:r>
            <w:r w:rsidR="00B26C69" w:rsidRPr="00CD2AB2">
              <w:rPr>
                <w:b/>
                <w:szCs w:val="22"/>
              </w:rPr>
              <w:t>.</w:t>
            </w:r>
          </w:p>
          <w:p w14:paraId="0068B23D" w14:textId="36CF02B0" w:rsidR="00B26C69" w:rsidRPr="00C82B9C" w:rsidRDefault="00B26C69" w:rsidP="00F41275">
            <w:pPr>
              <w:spacing w:before="0"/>
              <w:rPr>
                <w:sz w:val="22"/>
                <w:szCs w:val="22"/>
                <w:lang w:val="en-AU"/>
              </w:rPr>
            </w:pPr>
            <w:r w:rsidRPr="00CD2AB2">
              <w:rPr>
                <w:szCs w:val="22"/>
              </w:rPr>
              <w:t>Small businesses play a significant role in Australia’s economy and community, contributing $483 billion to the Australian economy and employing over 5 million people</w:t>
            </w:r>
            <w:r w:rsidR="004C772A">
              <w:rPr>
                <w:szCs w:val="22"/>
              </w:rPr>
              <w:t>.</w:t>
            </w:r>
            <w:r w:rsidRPr="00CD2AB2">
              <w:rPr>
                <w:rStyle w:val="FootnoteReference"/>
                <w:sz w:val="22"/>
                <w:szCs w:val="22"/>
              </w:rPr>
              <w:footnoteReference w:id="6"/>
            </w:r>
            <w:r w:rsidRPr="00CD2AB2">
              <w:rPr>
                <w:szCs w:val="22"/>
              </w:rPr>
              <w:t xml:space="preserve"> </w:t>
            </w:r>
          </w:p>
          <w:p w14:paraId="4B8A7293" w14:textId="77777777" w:rsidR="00B26C69" w:rsidRPr="00C82B9C" w:rsidRDefault="00B26C69" w:rsidP="00B26C69">
            <w:pPr>
              <w:rPr>
                <w:sz w:val="22"/>
                <w:szCs w:val="22"/>
                <w:lang w:val="en-AU"/>
              </w:rPr>
            </w:pPr>
            <w:r w:rsidRPr="00CD2AB2">
              <w:rPr>
                <w:szCs w:val="22"/>
              </w:rPr>
              <w:t>The CDR framework can benefit small businesses by streamlining existing administrative processes and enabling them to access better value services. This</w:t>
            </w:r>
            <w:r w:rsidRPr="00CD2AB2" w:rsidDel="00DF2BB5">
              <w:rPr>
                <w:szCs w:val="22"/>
              </w:rPr>
              <w:t xml:space="preserve"> </w:t>
            </w:r>
            <w:r w:rsidRPr="00CD2AB2">
              <w:rPr>
                <w:szCs w:val="22"/>
              </w:rPr>
              <w:t xml:space="preserve">gives businesses valuable time to focus on building and growing their businesses. </w:t>
            </w:r>
          </w:p>
          <w:p w14:paraId="6DDFB160" w14:textId="4D52260B" w:rsidR="00B26C69" w:rsidRPr="00C82B9C" w:rsidRDefault="00787A1F" w:rsidP="00B26C69">
            <w:pPr>
              <w:spacing w:before="0"/>
              <w:ind w:left="6" w:hanging="6"/>
              <w:rPr>
                <w:rFonts w:asciiTheme="minorHAnsi" w:hAnsiTheme="minorHAnsi" w:cstheme="minorHAnsi"/>
                <w:sz w:val="22"/>
                <w:szCs w:val="22"/>
                <w:lang w:val="en-AU"/>
              </w:rPr>
            </w:pPr>
            <w:r>
              <w:rPr>
                <w:szCs w:val="22"/>
              </w:rPr>
              <w:t xml:space="preserve">The </w:t>
            </w:r>
            <w:r w:rsidR="00B26C69" w:rsidRPr="00CD2AB2">
              <w:rPr>
                <w:szCs w:val="22"/>
              </w:rPr>
              <w:t xml:space="preserve">CDR is at an early stage, with product offerings expected to further grow as the system matures, more datasets are introduced, and action initiation is </w:t>
            </w:r>
            <w:r w:rsidR="00E42B0F">
              <w:rPr>
                <w:szCs w:val="22"/>
              </w:rPr>
              <w:t>implemented</w:t>
            </w:r>
            <w:r w:rsidR="00B26C69" w:rsidRPr="00CD2AB2">
              <w:rPr>
                <w:szCs w:val="22"/>
              </w:rPr>
              <w:t xml:space="preserve">. For example, when implemented, action initiation will allow small businesses to carry out everyday business tasks more easily, such as making payments and switching to new service providers better suited to their needs. It will help increase their participation in the digital economy, providing new business opportunities and reducing the costs of doing business. </w:t>
            </w:r>
          </w:p>
        </w:tc>
      </w:tr>
      <w:tr w:rsidR="00F213C2" w:rsidRPr="00CD2AB2" w14:paraId="6C4E59F0" w14:textId="77777777" w:rsidTr="4B2D0FD9">
        <w:trPr>
          <w:cnfStyle w:val="000000010000" w:firstRow="0" w:lastRow="0" w:firstColumn="0" w:lastColumn="0" w:oddVBand="0" w:evenVBand="0" w:oddHBand="0" w:evenHBand="1" w:firstRowFirstColumn="0" w:firstRowLastColumn="0" w:lastRowFirstColumn="0" w:lastRowLastColumn="0"/>
          <w:cantSplit/>
        </w:trPr>
        <w:tc>
          <w:tcPr>
            <w:tcW w:w="3686" w:type="dxa"/>
            <w:shd w:val="clear" w:color="auto" w:fill="auto"/>
            <w:vAlign w:val="top"/>
          </w:tcPr>
          <w:p w14:paraId="102F6229" w14:textId="40BAC711" w:rsidR="00B26C69" w:rsidRPr="00C82B9C" w:rsidRDefault="00B26C69" w:rsidP="00B26C69">
            <w:pPr>
              <w:spacing w:before="0"/>
              <w:ind w:left="6" w:hanging="6"/>
              <w:rPr>
                <w:rFonts w:asciiTheme="minorHAnsi" w:hAnsiTheme="minorHAnsi" w:cstheme="minorHAnsi"/>
                <w:b/>
                <w:bCs/>
                <w:sz w:val="22"/>
                <w:szCs w:val="22"/>
                <w:lang w:val="en-AU"/>
              </w:rPr>
            </w:pPr>
            <w:r w:rsidRPr="00CD2AB2">
              <w:rPr>
                <w:rFonts w:asciiTheme="minorHAnsi" w:hAnsiTheme="minorHAnsi" w:cstheme="minorHAnsi"/>
                <w:b/>
                <w:szCs w:val="22"/>
              </w:rPr>
              <w:lastRenderedPageBreak/>
              <w:t>3.2 – Government participation in the CDR should be a priority</w:t>
            </w:r>
          </w:p>
          <w:p w14:paraId="4A370093" w14:textId="59D6600B" w:rsidR="00B26C69" w:rsidRPr="00C82B9C" w:rsidRDefault="00B26C69" w:rsidP="00B26C69">
            <w:pPr>
              <w:spacing w:before="0"/>
              <w:ind w:left="6" w:hanging="6"/>
              <w:rPr>
                <w:rFonts w:asciiTheme="minorHAnsi" w:hAnsiTheme="minorHAnsi" w:cstheme="minorHAnsi"/>
                <w:b/>
                <w:sz w:val="22"/>
                <w:szCs w:val="22"/>
                <w:lang w:val="en-AU"/>
              </w:rPr>
            </w:pPr>
            <w:r w:rsidRPr="00CD2AB2">
              <w:rPr>
                <w:rFonts w:asciiTheme="minorHAnsi" w:hAnsiTheme="minorHAnsi" w:cstheme="minorHAnsi"/>
                <w:szCs w:val="22"/>
              </w:rPr>
              <w:t>Facilitating government participation in the CDR should be a priority to ensure consumers benefit from more seamless government interactions and an ability to share their data across a greater range of services. Consideration should be given to how designation, accreditation and standard setting processes can optimally facilitate government involvement alongside other initiatives, such as the Data Availability and Transparency scheme</w:t>
            </w:r>
            <w:r w:rsidRPr="00CD2AB2">
              <w:rPr>
                <w:rFonts w:asciiTheme="minorHAnsi" w:hAnsiTheme="minorHAnsi" w:cstheme="minorHAnsi"/>
                <w:color w:val="000000"/>
                <w:szCs w:val="22"/>
              </w:rPr>
              <w:t>.</w:t>
            </w:r>
          </w:p>
        </w:tc>
        <w:tc>
          <w:tcPr>
            <w:tcW w:w="5528" w:type="dxa"/>
            <w:shd w:val="clear" w:color="auto" w:fill="auto"/>
            <w:vAlign w:val="top"/>
          </w:tcPr>
          <w:p w14:paraId="6F423D77" w14:textId="0EB87539" w:rsidR="00F721D3" w:rsidRPr="00C82B9C" w:rsidRDefault="00F721D3" w:rsidP="002C504F">
            <w:pPr>
              <w:spacing w:before="0"/>
              <w:ind w:left="6" w:hanging="6"/>
              <w:rPr>
                <w:rFonts w:asciiTheme="minorHAnsi" w:hAnsiTheme="minorHAnsi" w:cstheme="minorHAnsi"/>
                <w:b/>
                <w:bCs/>
                <w:sz w:val="22"/>
                <w:szCs w:val="22"/>
                <w:lang w:val="en-AU"/>
              </w:rPr>
            </w:pPr>
            <w:r w:rsidRPr="00CD2AB2">
              <w:rPr>
                <w:rFonts w:asciiTheme="minorHAnsi" w:hAnsiTheme="minorHAnsi" w:cstheme="minorHAnsi"/>
                <w:b/>
                <w:szCs w:val="22"/>
              </w:rPr>
              <w:t>Noted.</w:t>
            </w:r>
          </w:p>
          <w:p w14:paraId="730A64A8" w14:textId="7BC1F618" w:rsidR="000F21AD" w:rsidRDefault="006E214A" w:rsidP="00245B62">
            <w:pPr>
              <w:spacing w:before="0"/>
              <w:ind w:left="0" w:firstLine="0"/>
              <w:rPr>
                <w:rFonts w:asciiTheme="minorHAnsi" w:hAnsiTheme="minorHAnsi" w:cstheme="minorHAnsi"/>
                <w:szCs w:val="22"/>
              </w:rPr>
            </w:pPr>
            <w:r w:rsidRPr="00CD2AB2">
              <w:rPr>
                <w:rFonts w:asciiTheme="minorHAnsi" w:hAnsiTheme="minorHAnsi" w:cstheme="minorHAnsi"/>
                <w:szCs w:val="22"/>
              </w:rPr>
              <w:t xml:space="preserve">The Government </w:t>
            </w:r>
            <w:proofErr w:type="spellStart"/>
            <w:r w:rsidRPr="00CD2AB2">
              <w:rPr>
                <w:rFonts w:asciiTheme="minorHAnsi" w:hAnsiTheme="minorHAnsi" w:cstheme="minorHAnsi"/>
                <w:szCs w:val="22"/>
              </w:rPr>
              <w:t>recogni</w:t>
            </w:r>
            <w:r w:rsidR="00421486" w:rsidRPr="00CD2AB2">
              <w:rPr>
                <w:rFonts w:asciiTheme="minorHAnsi" w:hAnsiTheme="minorHAnsi" w:cstheme="minorHAnsi"/>
                <w:szCs w:val="22"/>
              </w:rPr>
              <w:t>ses</w:t>
            </w:r>
            <w:proofErr w:type="spellEnd"/>
            <w:r w:rsidR="00421486" w:rsidRPr="00CD2AB2">
              <w:rPr>
                <w:rFonts w:asciiTheme="minorHAnsi" w:hAnsiTheme="minorHAnsi" w:cstheme="minorHAnsi"/>
                <w:szCs w:val="22"/>
              </w:rPr>
              <w:t xml:space="preserve"> the </w:t>
            </w:r>
            <w:r w:rsidR="007D2776">
              <w:rPr>
                <w:rFonts w:asciiTheme="minorHAnsi" w:hAnsiTheme="minorHAnsi" w:cstheme="minorHAnsi"/>
                <w:szCs w:val="22"/>
              </w:rPr>
              <w:t>potential value of expanding the CDR to certain government-held data</w:t>
            </w:r>
            <w:r w:rsidR="007D2776" w:rsidRPr="00CD2AB2">
              <w:rPr>
                <w:rFonts w:asciiTheme="minorHAnsi" w:hAnsiTheme="minorHAnsi" w:cstheme="minorHAnsi"/>
                <w:szCs w:val="22"/>
              </w:rPr>
              <w:t xml:space="preserve"> </w:t>
            </w:r>
            <w:r w:rsidR="007163F9" w:rsidRPr="00CD2AB2">
              <w:rPr>
                <w:rFonts w:asciiTheme="minorHAnsi" w:hAnsiTheme="minorHAnsi" w:cstheme="minorHAnsi"/>
                <w:szCs w:val="22"/>
              </w:rPr>
              <w:t xml:space="preserve">to enhance consumer benefits and </w:t>
            </w:r>
            <w:r w:rsidR="00CC123E" w:rsidRPr="00CD2AB2">
              <w:rPr>
                <w:rFonts w:asciiTheme="minorHAnsi" w:hAnsiTheme="minorHAnsi" w:cstheme="minorHAnsi"/>
                <w:szCs w:val="22"/>
              </w:rPr>
              <w:t>align the</w:t>
            </w:r>
            <w:r w:rsidR="007330B7" w:rsidRPr="00CD2AB2">
              <w:rPr>
                <w:rFonts w:asciiTheme="minorHAnsi" w:hAnsiTheme="minorHAnsi" w:cstheme="minorHAnsi"/>
                <w:szCs w:val="22"/>
              </w:rPr>
              <w:t xml:space="preserve"> CDR </w:t>
            </w:r>
            <w:r w:rsidR="00CC123E" w:rsidRPr="00CD2AB2">
              <w:rPr>
                <w:rFonts w:asciiTheme="minorHAnsi" w:hAnsiTheme="minorHAnsi" w:cstheme="minorHAnsi"/>
                <w:szCs w:val="22"/>
              </w:rPr>
              <w:t>with other</w:t>
            </w:r>
            <w:r w:rsidR="007330B7" w:rsidRPr="00CD2AB2">
              <w:rPr>
                <w:rFonts w:asciiTheme="minorHAnsi" w:hAnsiTheme="minorHAnsi" w:cstheme="minorHAnsi"/>
                <w:szCs w:val="22"/>
              </w:rPr>
              <w:t xml:space="preserve"> </w:t>
            </w:r>
            <w:r w:rsidR="00E15B00" w:rsidRPr="00CD2AB2">
              <w:rPr>
                <w:rFonts w:asciiTheme="minorHAnsi" w:hAnsiTheme="minorHAnsi" w:cstheme="minorHAnsi"/>
                <w:szCs w:val="22"/>
              </w:rPr>
              <w:t>initiatives where possible.</w:t>
            </w:r>
            <w:r w:rsidR="009706D4">
              <w:rPr>
                <w:rFonts w:asciiTheme="minorHAnsi" w:hAnsiTheme="minorHAnsi" w:cstheme="minorHAnsi"/>
                <w:szCs w:val="22"/>
              </w:rPr>
              <w:t xml:space="preserve"> </w:t>
            </w:r>
          </w:p>
          <w:p w14:paraId="06D06A0E" w14:textId="4438B44C" w:rsidR="00245B62" w:rsidRPr="00C82B9C" w:rsidRDefault="00D604CA" w:rsidP="00245B62">
            <w:pPr>
              <w:spacing w:before="0"/>
              <w:ind w:left="0" w:firstLine="0"/>
              <w:rPr>
                <w:rFonts w:asciiTheme="minorHAnsi" w:hAnsiTheme="minorHAnsi" w:cstheme="minorHAnsi"/>
                <w:sz w:val="22"/>
                <w:szCs w:val="22"/>
                <w:lang w:val="en-AU"/>
              </w:rPr>
            </w:pPr>
            <w:r>
              <w:t xml:space="preserve">The CDR </w:t>
            </w:r>
            <w:r w:rsidR="00DA4D27" w:rsidRPr="00DA4D27">
              <w:t xml:space="preserve">is a large-scale economic reform, designed to roll out over years and benefit Australians for decades to come. </w:t>
            </w:r>
            <w:r w:rsidR="001A7366">
              <w:t xml:space="preserve">The Government is </w:t>
            </w:r>
            <w:proofErr w:type="spellStart"/>
            <w:r w:rsidR="001A7366">
              <w:t>prioritising</w:t>
            </w:r>
            <w:proofErr w:type="spellEnd"/>
            <w:r w:rsidR="00753E1E">
              <w:t xml:space="preserve"> </w:t>
            </w:r>
            <w:r w:rsidR="005E3E6B">
              <w:t xml:space="preserve">work to </w:t>
            </w:r>
            <w:r w:rsidR="00CB364D">
              <w:t>support the CDR to mature</w:t>
            </w:r>
            <w:r w:rsidR="0020742B">
              <w:t xml:space="preserve"> </w:t>
            </w:r>
            <w:r w:rsidR="00701ED9">
              <w:t xml:space="preserve">with </w:t>
            </w:r>
            <w:r w:rsidR="00E117EA">
              <w:t xml:space="preserve">data </w:t>
            </w:r>
            <w:r w:rsidR="0045707A">
              <w:t xml:space="preserve">from the </w:t>
            </w:r>
            <w:r w:rsidR="0020742B">
              <w:t>banking</w:t>
            </w:r>
            <w:r w:rsidR="00373A92">
              <w:t>,</w:t>
            </w:r>
            <w:r w:rsidR="0020742B">
              <w:t xml:space="preserve"> energy</w:t>
            </w:r>
            <w:r w:rsidR="00EE4138">
              <w:t>,</w:t>
            </w:r>
            <w:r w:rsidR="00373A92">
              <w:t xml:space="preserve"> and non-bank lending</w:t>
            </w:r>
            <w:r w:rsidR="00803F0D">
              <w:t xml:space="preserve"> </w:t>
            </w:r>
            <w:r w:rsidR="0045707A">
              <w:t>sectors</w:t>
            </w:r>
            <w:r w:rsidR="00803F0D">
              <w:t>,</w:t>
            </w:r>
            <w:r w:rsidR="00EE4138">
              <w:t xml:space="preserve"> with</w:t>
            </w:r>
            <w:r w:rsidR="00190C3D">
              <w:t xml:space="preserve"> the</w:t>
            </w:r>
            <w:r w:rsidR="00EE4138">
              <w:t xml:space="preserve"> goal of further </w:t>
            </w:r>
            <w:r w:rsidR="000F78CD" w:rsidRPr="00CD2AB2">
              <w:t>driv</w:t>
            </w:r>
            <w:r w:rsidR="00EE4138">
              <w:t>ing</w:t>
            </w:r>
            <w:r w:rsidR="000F78CD" w:rsidRPr="00CD2AB2">
              <w:t xml:space="preserve"> industry development of CDR</w:t>
            </w:r>
            <w:r w:rsidR="000F78CD" w:rsidRPr="00CD2AB2">
              <w:noBreakHyphen/>
              <w:t xml:space="preserve">enabled products and services </w:t>
            </w:r>
            <w:r w:rsidR="00325218">
              <w:t>that</w:t>
            </w:r>
            <w:r w:rsidR="000F78CD" w:rsidRPr="00CD2AB2">
              <w:t xml:space="preserve"> benefit consumers</w:t>
            </w:r>
            <w:r w:rsidR="000F78CD" w:rsidRPr="00CD2AB2">
              <w:rPr>
                <w:rFonts w:cstheme="minorBidi"/>
              </w:rPr>
              <w:t>.</w:t>
            </w:r>
            <w:r w:rsidR="009179FD" w:rsidRPr="00CD2AB2">
              <w:rPr>
                <w:rFonts w:asciiTheme="minorHAnsi" w:hAnsiTheme="minorHAnsi" w:cstheme="minorHAnsi"/>
                <w:szCs w:val="22"/>
              </w:rPr>
              <w:t xml:space="preserve"> </w:t>
            </w:r>
            <w:r w:rsidR="00245B62" w:rsidRPr="00CD2AB2">
              <w:rPr>
                <w:rFonts w:asciiTheme="minorHAnsi" w:hAnsiTheme="minorHAnsi" w:cstheme="minorHAnsi"/>
                <w:szCs w:val="22"/>
              </w:rPr>
              <w:t>Expansion of the CDR to</w:t>
            </w:r>
            <w:r w:rsidR="0091341D" w:rsidRPr="00CD2AB2">
              <w:rPr>
                <w:rFonts w:asciiTheme="minorHAnsi" w:hAnsiTheme="minorHAnsi" w:cstheme="minorHAnsi"/>
                <w:szCs w:val="22"/>
              </w:rPr>
              <w:t xml:space="preserve"> include</w:t>
            </w:r>
            <w:r w:rsidR="00245B62" w:rsidRPr="00CD2AB2">
              <w:rPr>
                <w:rFonts w:asciiTheme="minorHAnsi" w:hAnsiTheme="minorHAnsi" w:cstheme="minorHAnsi"/>
                <w:szCs w:val="22"/>
              </w:rPr>
              <w:t xml:space="preserve"> government</w:t>
            </w:r>
            <w:r w:rsidR="0091341D" w:rsidRPr="00CD2AB2">
              <w:rPr>
                <w:rFonts w:asciiTheme="minorHAnsi" w:hAnsiTheme="minorHAnsi" w:cstheme="minorHAnsi"/>
                <w:szCs w:val="22"/>
              </w:rPr>
              <w:t>-held</w:t>
            </w:r>
            <w:r w:rsidR="00245B62" w:rsidRPr="00CD2AB2">
              <w:rPr>
                <w:rFonts w:asciiTheme="minorHAnsi" w:hAnsiTheme="minorHAnsi" w:cstheme="minorHAnsi"/>
                <w:szCs w:val="22"/>
              </w:rPr>
              <w:t xml:space="preserve"> data will be </w:t>
            </w:r>
            <w:r w:rsidR="007A732C">
              <w:rPr>
                <w:rFonts w:asciiTheme="minorHAnsi" w:hAnsiTheme="minorHAnsi" w:cstheme="minorHAnsi"/>
                <w:szCs w:val="22"/>
              </w:rPr>
              <w:t>considered in</w:t>
            </w:r>
            <w:r w:rsidR="00245B62" w:rsidRPr="00CD2AB2">
              <w:rPr>
                <w:rFonts w:asciiTheme="minorHAnsi" w:hAnsiTheme="minorHAnsi" w:cstheme="minorHAnsi"/>
                <w:szCs w:val="22"/>
              </w:rPr>
              <w:t xml:space="preserve"> a</w:t>
            </w:r>
            <w:r w:rsidR="00792355">
              <w:rPr>
                <w:rFonts w:asciiTheme="minorHAnsi" w:hAnsiTheme="minorHAnsi" w:cstheme="minorHAnsi"/>
                <w:szCs w:val="22"/>
              </w:rPr>
              <w:t xml:space="preserve"> strategic</w:t>
            </w:r>
            <w:r w:rsidR="00245B62" w:rsidRPr="00CD2AB2">
              <w:rPr>
                <w:rFonts w:asciiTheme="minorHAnsi" w:hAnsiTheme="minorHAnsi" w:cstheme="minorHAnsi"/>
                <w:szCs w:val="22"/>
              </w:rPr>
              <w:t xml:space="preserve"> assessment</w:t>
            </w:r>
            <w:r w:rsidR="00DA0E93">
              <w:rPr>
                <w:rFonts w:asciiTheme="minorHAnsi" w:hAnsiTheme="minorHAnsi" w:cstheme="minorHAnsi"/>
                <w:szCs w:val="22"/>
              </w:rPr>
              <w:t xml:space="preserve"> commencing</w:t>
            </w:r>
            <w:r w:rsidR="00245B62" w:rsidRPr="00CD2AB2">
              <w:rPr>
                <w:rFonts w:asciiTheme="minorHAnsi" w:hAnsiTheme="minorHAnsi" w:cstheme="minorHAnsi"/>
                <w:szCs w:val="22"/>
              </w:rPr>
              <w:t xml:space="preserve"> in </w:t>
            </w:r>
            <w:r w:rsidR="000F78CD">
              <w:rPr>
                <w:rFonts w:asciiTheme="minorHAnsi" w:hAnsiTheme="minorHAnsi" w:cstheme="minorHAnsi"/>
                <w:szCs w:val="22"/>
              </w:rPr>
              <w:t>the second h</w:t>
            </w:r>
            <w:r w:rsidR="005A5FA9">
              <w:rPr>
                <w:rFonts w:asciiTheme="minorHAnsi" w:hAnsiTheme="minorHAnsi" w:cstheme="minorHAnsi"/>
                <w:szCs w:val="22"/>
              </w:rPr>
              <w:t>alf</w:t>
            </w:r>
            <w:r w:rsidR="00191932">
              <w:rPr>
                <w:rFonts w:asciiTheme="minorHAnsi" w:hAnsiTheme="minorHAnsi" w:cstheme="minorHAnsi"/>
                <w:szCs w:val="22"/>
              </w:rPr>
              <w:t xml:space="preserve"> of</w:t>
            </w:r>
            <w:r w:rsidR="000F78CD" w:rsidRPr="00CD2AB2">
              <w:rPr>
                <w:rFonts w:asciiTheme="minorHAnsi" w:hAnsiTheme="minorHAnsi" w:cstheme="minorHAnsi"/>
                <w:szCs w:val="22"/>
              </w:rPr>
              <w:t xml:space="preserve"> </w:t>
            </w:r>
            <w:r w:rsidR="00245B62" w:rsidRPr="00CD2AB2">
              <w:rPr>
                <w:rFonts w:asciiTheme="minorHAnsi" w:hAnsiTheme="minorHAnsi" w:cstheme="minorHAnsi"/>
                <w:szCs w:val="22"/>
              </w:rPr>
              <w:t>2024</w:t>
            </w:r>
            <w:r w:rsidR="001920BD">
              <w:rPr>
                <w:rFonts w:asciiTheme="minorHAnsi" w:hAnsiTheme="minorHAnsi" w:cstheme="minorHAnsi"/>
                <w:szCs w:val="22"/>
              </w:rPr>
              <w:t>.</w:t>
            </w:r>
            <w:r w:rsidR="009759CF" w:rsidRPr="00CD2AB2">
              <w:rPr>
                <w:rFonts w:asciiTheme="minorHAnsi" w:hAnsiTheme="minorHAnsi" w:cstheme="minorHAnsi"/>
                <w:szCs w:val="22"/>
              </w:rPr>
              <w:t xml:space="preserve"> </w:t>
            </w:r>
          </w:p>
          <w:p w14:paraId="5592658B" w14:textId="09193854" w:rsidR="003272B8" w:rsidRPr="00C82B9C" w:rsidRDefault="003272B8" w:rsidP="00051A89">
            <w:pPr>
              <w:spacing w:before="0"/>
              <w:ind w:left="0" w:firstLine="0"/>
              <w:rPr>
                <w:rFonts w:asciiTheme="minorHAnsi" w:hAnsiTheme="minorHAnsi" w:cstheme="minorHAnsi"/>
                <w:sz w:val="22"/>
                <w:szCs w:val="22"/>
                <w:lang w:val="en-AU"/>
              </w:rPr>
            </w:pPr>
          </w:p>
        </w:tc>
      </w:tr>
      <w:tr w:rsidR="00F213C2" w:rsidRPr="00CD2AB2" w14:paraId="7C372EC3" w14:textId="77777777" w:rsidTr="4B2D0FD9">
        <w:trPr>
          <w:cnfStyle w:val="000000100000" w:firstRow="0" w:lastRow="0" w:firstColumn="0" w:lastColumn="0" w:oddVBand="0" w:evenVBand="0" w:oddHBand="1" w:evenHBand="0" w:firstRowFirstColumn="0" w:firstRowLastColumn="0" w:lastRowFirstColumn="0" w:lastRowLastColumn="0"/>
          <w:cantSplit/>
        </w:trPr>
        <w:tc>
          <w:tcPr>
            <w:tcW w:w="3686" w:type="dxa"/>
            <w:shd w:val="clear" w:color="auto" w:fill="auto"/>
            <w:vAlign w:val="top"/>
          </w:tcPr>
          <w:p w14:paraId="688ABBA1" w14:textId="1FAC5DF9" w:rsidR="00B26C69" w:rsidRPr="00C82B9C" w:rsidRDefault="00B26C69" w:rsidP="00B26C69">
            <w:pPr>
              <w:spacing w:before="0"/>
              <w:ind w:left="6" w:hanging="6"/>
              <w:rPr>
                <w:rFonts w:asciiTheme="minorHAnsi" w:hAnsiTheme="minorHAnsi" w:cstheme="minorHAnsi"/>
                <w:b/>
                <w:bCs/>
                <w:sz w:val="22"/>
                <w:szCs w:val="22"/>
                <w:lang w:val="en-AU"/>
              </w:rPr>
            </w:pPr>
            <w:r w:rsidRPr="00CD2AB2">
              <w:rPr>
                <w:rFonts w:asciiTheme="minorHAnsi" w:hAnsiTheme="minorHAnsi" w:cstheme="minorHAnsi"/>
                <w:b/>
                <w:szCs w:val="22"/>
              </w:rPr>
              <w:t>3.3 – Additional funding to support consumer advocacy groups</w:t>
            </w:r>
          </w:p>
          <w:p w14:paraId="071C1D6C" w14:textId="5D9CEF07" w:rsidR="00B26C69" w:rsidRPr="00C82B9C" w:rsidRDefault="00B26C69" w:rsidP="00B26C69">
            <w:pPr>
              <w:spacing w:before="0"/>
              <w:ind w:left="6" w:hanging="6"/>
              <w:rPr>
                <w:rFonts w:asciiTheme="minorHAnsi" w:hAnsiTheme="minorHAnsi" w:cstheme="minorHAnsi"/>
                <w:sz w:val="22"/>
                <w:szCs w:val="22"/>
                <w:lang w:val="en-AU"/>
              </w:rPr>
            </w:pPr>
            <w:r w:rsidRPr="00CD2AB2">
              <w:rPr>
                <w:rFonts w:asciiTheme="minorHAnsi" w:hAnsiTheme="minorHAnsi" w:cstheme="minorHAnsi"/>
                <w:szCs w:val="22"/>
              </w:rPr>
              <w:t>The consumer voice is amplified through consumer advocacy groups. These advocacy groups are generally under resourced, inevitably diminishing the consumer input into the development of the CDR and other government consultation processes more broadly. Additional funding may be needed to support consumer advocacy groups to meaningfully participate in not just the development of the CDR but across government initiatives.</w:t>
            </w:r>
          </w:p>
        </w:tc>
        <w:tc>
          <w:tcPr>
            <w:tcW w:w="5528" w:type="dxa"/>
            <w:shd w:val="clear" w:color="auto" w:fill="auto"/>
            <w:vAlign w:val="top"/>
          </w:tcPr>
          <w:p w14:paraId="3A96DCB3" w14:textId="5993484E" w:rsidR="008B3908" w:rsidRPr="00931C29" w:rsidRDefault="00E43286" w:rsidP="00F05BAD">
            <w:pPr>
              <w:spacing w:before="0"/>
              <w:rPr>
                <w:rFonts w:cstheme="minorBidi"/>
                <w:b/>
                <w:sz w:val="22"/>
                <w:szCs w:val="22"/>
                <w:lang w:val="en-AU"/>
              </w:rPr>
            </w:pPr>
            <w:r w:rsidRPr="00CD2AB2">
              <w:rPr>
                <w:rFonts w:cstheme="minorBidi"/>
                <w:b/>
                <w:szCs w:val="22"/>
              </w:rPr>
              <w:t xml:space="preserve">Noted. </w:t>
            </w:r>
          </w:p>
          <w:p w14:paraId="39BBFF20" w14:textId="30E322FE" w:rsidR="00B26C69" w:rsidRPr="00C82B9C" w:rsidRDefault="2237111E" w:rsidP="00C14DFC">
            <w:pPr>
              <w:spacing w:before="0"/>
              <w:rPr>
                <w:sz w:val="22"/>
                <w:szCs w:val="22"/>
                <w:lang w:val="en-AU"/>
              </w:rPr>
            </w:pPr>
            <w:r w:rsidRPr="4B2D0FD9">
              <w:rPr>
                <w:rFonts w:cstheme="minorBidi"/>
              </w:rPr>
              <w:t xml:space="preserve">The Government </w:t>
            </w:r>
            <w:proofErr w:type="spellStart"/>
            <w:r w:rsidRPr="4B2D0FD9">
              <w:rPr>
                <w:rFonts w:cstheme="minorBidi"/>
              </w:rPr>
              <w:t>recognises</w:t>
            </w:r>
            <w:proofErr w:type="spellEnd"/>
            <w:r w:rsidR="58B87B93" w:rsidRPr="4B2D0FD9">
              <w:rPr>
                <w:rFonts w:cstheme="minorBidi"/>
              </w:rPr>
              <w:t xml:space="preserve"> the </w:t>
            </w:r>
            <w:r w:rsidR="6D640114" w:rsidRPr="4B2D0FD9">
              <w:rPr>
                <w:rFonts w:cstheme="minorBidi"/>
              </w:rPr>
              <w:t>valuable role that c</w:t>
            </w:r>
            <w:r w:rsidR="47506F7F" w:rsidRPr="4B2D0FD9">
              <w:rPr>
                <w:rFonts w:cstheme="minorBidi"/>
              </w:rPr>
              <w:t xml:space="preserve">onsumer advocacy groups </w:t>
            </w:r>
            <w:r w:rsidR="6D640114" w:rsidRPr="4B2D0FD9">
              <w:rPr>
                <w:rFonts w:cstheme="minorBidi"/>
              </w:rPr>
              <w:t>play in</w:t>
            </w:r>
            <w:r w:rsidR="4D3CA596" w:rsidRPr="4B2D0FD9">
              <w:rPr>
                <w:rFonts w:cstheme="minorBidi"/>
              </w:rPr>
              <w:t xml:space="preserve"> consultations on </w:t>
            </w:r>
            <w:r w:rsidRPr="4B2D0FD9">
              <w:rPr>
                <w:rFonts w:cstheme="minorBidi"/>
              </w:rPr>
              <w:t xml:space="preserve">CDR </w:t>
            </w:r>
            <w:r w:rsidR="4D3CA596" w:rsidRPr="4B2D0FD9">
              <w:rPr>
                <w:rFonts w:cstheme="minorBidi"/>
              </w:rPr>
              <w:t>policy and design</w:t>
            </w:r>
            <w:r w:rsidR="2F158369" w:rsidRPr="4B2D0FD9">
              <w:rPr>
                <w:rFonts w:cstheme="minorBidi"/>
              </w:rPr>
              <w:t xml:space="preserve">. </w:t>
            </w:r>
            <w:r w:rsidR="48499064" w:rsidRPr="4B2D0FD9">
              <w:rPr>
                <w:rFonts w:cstheme="minorBidi"/>
              </w:rPr>
              <w:t xml:space="preserve">The Government </w:t>
            </w:r>
            <w:r w:rsidR="50093CD5" w:rsidRPr="4B2D0FD9">
              <w:rPr>
                <w:rFonts w:cstheme="minorBidi"/>
              </w:rPr>
              <w:t xml:space="preserve">acknowledges </w:t>
            </w:r>
            <w:r w:rsidR="48499064" w:rsidRPr="4B2D0FD9">
              <w:rPr>
                <w:rFonts w:cstheme="minorBidi"/>
              </w:rPr>
              <w:t xml:space="preserve">that </w:t>
            </w:r>
            <w:r w:rsidR="53EED904" w:rsidRPr="4B2D0FD9">
              <w:rPr>
                <w:rFonts w:cstheme="minorBidi"/>
              </w:rPr>
              <w:t xml:space="preserve">previous CDR consultations were </w:t>
            </w:r>
            <w:r w:rsidR="20C43E03" w:rsidRPr="4B2D0FD9">
              <w:rPr>
                <w:rFonts w:cstheme="minorBidi"/>
              </w:rPr>
              <w:t xml:space="preserve">relatively </w:t>
            </w:r>
            <w:r w:rsidR="53EED904" w:rsidRPr="4B2D0FD9">
              <w:rPr>
                <w:rFonts w:cstheme="minorBidi"/>
              </w:rPr>
              <w:t xml:space="preserve">frequent, </w:t>
            </w:r>
            <w:r w:rsidR="3A63B498" w:rsidRPr="4B2D0FD9">
              <w:rPr>
                <w:rFonts w:cstheme="minorBidi"/>
              </w:rPr>
              <w:t>and that</w:t>
            </w:r>
            <w:r w:rsidR="14322E45" w:rsidRPr="4B2D0FD9">
              <w:rPr>
                <w:rFonts w:cstheme="minorBidi"/>
              </w:rPr>
              <w:t xml:space="preserve"> </w:t>
            </w:r>
            <w:r w:rsidR="57AD28EE" w:rsidRPr="4B2D0FD9">
              <w:rPr>
                <w:rFonts w:cstheme="minorBidi"/>
              </w:rPr>
              <w:t>resource-constrained consumer advocacy groups</w:t>
            </w:r>
            <w:r w:rsidR="14322E45" w:rsidRPr="4B2D0FD9">
              <w:rPr>
                <w:rFonts w:cstheme="minorBidi"/>
              </w:rPr>
              <w:t xml:space="preserve"> </w:t>
            </w:r>
            <w:r w:rsidR="3A63B498" w:rsidRPr="4B2D0FD9">
              <w:rPr>
                <w:rFonts w:cstheme="minorBidi"/>
              </w:rPr>
              <w:t xml:space="preserve">felt they </w:t>
            </w:r>
            <w:r w:rsidR="467E5EC6" w:rsidRPr="4B2D0FD9">
              <w:rPr>
                <w:rFonts w:cstheme="minorBidi"/>
              </w:rPr>
              <w:t xml:space="preserve">were not able </w:t>
            </w:r>
            <w:r w:rsidR="14322E45" w:rsidRPr="4B2D0FD9">
              <w:rPr>
                <w:rFonts w:cstheme="minorBidi"/>
              </w:rPr>
              <w:t>to participat</w:t>
            </w:r>
            <w:r w:rsidR="1A688A76" w:rsidRPr="4B2D0FD9">
              <w:rPr>
                <w:rFonts w:cstheme="minorBidi"/>
              </w:rPr>
              <w:t>e as fully as they would have liked</w:t>
            </w:r>
            <w:r w:rsidR="53EED904" w:rsidRPr="4B2D0FD9">
              <w:rPr>
                <w:rFonts w:cstheme="minorBidi"/>
              </w:rPr>
              <w:t>. A deliberately s</w:t>
            </w:r>
            <w:r w:rsidR="002858EF">
              <w:rPr>
                <w:rFonts w:cstheme="minorBidi"/>
              </w:rPr>
              <w:t>taged</w:t>
            </w:r>
            <w:r w:rsidR="53EED904" w:rsidRPr="4B2D0FD9">
              <w:rPr>
                <w:rFonts w:cstheme="minorBidi"/>
              </w:rPr>
              <w:t xml:space="preserve"> </w:t>
            </w:r>
            <w:r w:rsidR="086E10C8" w:rsidRPr="4B2D0FD9">
              <w:rPr>
                <w:rFonts w:cstheme="minorBidi"/>
              </w:rPr>
              <w:t xml:space="preserve">roll-out </w:t>
            </w:r>
            <w:r w:rsidR="1E93EFEA" w:rsidRPr="4B2D0FD9">
              <w:rPr>
                <w:rFonts w:cstheme="minorBidi"/>
              </w:rPr>
              <w:t>with fewer CDR-specific consultations</w:t>
            </w:r>
            <w:r w:rsidR="53EED904" w:rsidRPr="4B2D0FD9">
              <w:rPr>
                <w:rFonts w:cstheme="minorBidi"/>
              </w:rPr>
              <w:t xml:space="preserve"> will </w:t>
            </w:r>
            <w:r w:rsidR="1253955D" w:rsidRPr="4B2D0FD9">
              <w:rPr>
                <w:rFonts w:cstheme="minorBidi"/>
              </w:rPr>
              <w:t>support</w:t>
            </w:r>
            <w:r w:rsidR="467E5EC6" w:rsidRPr="4B2D0FD9">
              <w:rPr>
                <w:rFonts w:cstheme="minorBidi"/>
              </w:rPr>
              <w:t xml:space="preserve"> </w:t>
            </w:r>
            <w:r w:rsidR="53EED904" w:rsidRPr="4B2D0FD9">
              <w:rPr>
                <w:rFonts w:cstheme="minorBidi"/>
              </w:rPr>
              <w:t xml:space="preserve">consumer </w:t>
            </w:r>
            <w:r w:rsidR="1253955D" w:rsidRPr="4B2D0FD9">
              <w:rPr>
                <w:rFonts w:cstheme="minorBidi"/>
              </w:rPr>
              <w:t>and other stakeho</w:t>
            </w:r>
            <w:r w:rsidR="7452E2A4" w:rsidRPr="4B2D0FD9">
              <w:rPr>
                <w:rFonts w:cstheme="minorBidi"/>
              </w:rPr>
              <w:t xml:space="preserve">lder </w:t>
            </w:r>
            <w:r w:rsidR="53EED904" w:rsidRPr="4B2D0FD9">
              <w:rPr>
                <w:rFonts w:cstheme="minorBidi"/>
              </w:rPr>
              <w:t xml:space="preserve">groups </w:t>
            </w:r>
            <w:r w:rsidR="790D6B29" w:rsidRPr="4B2D0FD9">
              <w:rPr>
                <w:rFonts w:cstheme="minorBidi"/>
              </w:rPr>
              <w:t>target their resources</w:t>
            </w:r>
            <w:r w:rsidR="44BE68D8" w:rsidRPr="4B2D0FD9">
              <w:rPr>
                <w:rFonts w:cstheme="minorBidi"/>
              </w:rPr>
              <w:t xml:space="preserve"> when</w:t>
            </w:r>
            <w:r w:rsidR="53EED904" w:rsidRPr="4B2D0FD9">
              <w:rPr>
                <w:rFonts w:cstheme="minorBidi"/>
              </w:rPr>
              <w:t xml:space="preserve"> engag</w:t>
            </w:r>
            <w:r w:rsidR="44BE68D8" w:rsidRPr="4B2D0FD9">
              <w:rPr>
                <w:rFonts w:cstheme="minorBidi"/>
              </w:rPr>
              <w:t>ing</w:t>
            </w:r>
            <w:r w:rsidR="53EED904" w:rsidRPr="4B2D0FD9">
              <w:rPr>
                <w:rFonts w:cstheme="minorBidi"/>
              </w:rPr>
              <w:t xml:space="preserve"> in</w:t>
            </w:r>
            <w:r w:rsidR="10B5AF19" w:rsidRPr="4B2D0FD9">
              <w:rPr>
                <w:rFonts w:cstheme="minorBidi"/>
              </w:rPr>
              <w:t xml:space="preserve"> </w:t>
            </w:r>
            <w:r w:rsidR="53EED904" w:rsidRPr="4B2D0FD9">
              <w:rPr>
                <w:rFonts w:cstheme="minorBidi"/>
              </w:rPr>
              <w:t>CDR consultation.</w:t>
            </w:r>
          </w:p>
        </w:tc>
      </w:tr>
      <w:tr w:rsidR="00F213C2" w:rsidRPr="00CD2AB2" w14:paraId="5E32845B" w14:textId="77777777" w:rsidTr="4B2D0FD9">
        <w:trPr>
          <w:cnfStyle w:val="000000010000" w:firstRow="0" w:lastRow="0" w:firstColumn="0" w:lastColumn="0" w:oddVBand="0" w:evenVBand="0" w:oddHBand="0" w:evenHBand="1" w:firstRowFirstColumn="0" w:firstRowLastColumn="0" w:lastRowFirstColumn="0" w:lastRowLastColumn="0"/>
          <w:cantSplit/>
        </w:trPr>
        <w:tc>
          <w:tcPr>
            <w:tcW w:w="3686" w:type="dxa"/>
            <w:shd w:val="clear" w:color="auto" w:fill="auto"/>
            <w:vAlign w:val="top"/>
          </w:tcPr>
          <w:p w14:paraId="5D2F8E82" w14:textId="425E930E" w:rsidR="00B26C69" w:rsidRPr="00C82B9C" w:rsidRDefault="00B26C69" w:rsidP="00B26C69">
            <w:pPr>
              <w:spacing w:before="0"/>
              <w:ind w:left="6" w:hanging="6"/>
              <w:rPr>
                <w:rFonts w:asciiTheme="minorHAnsi" w:hAnsiTheme="minorHAnsi" w:cstheme="minorHAnsi"/>
                <w:b/>
                <w:bCs/>
                <w:sz w:val="22"/>
                <w:szCs w:val="22"/>
                <w:lang w:val="en-AU"/>
              </w:rPr>
            </w:pPr>
            <w:r w:rsidRPr="00CD2AB2">
              <w:rPr>
                <w:rFonts w:asciiTheme="minorHAnsi" w:hAnsiTheme="minorHAnsi" w:cstheme="minorHAnsi"/>
                <w:b/>
                <w:szCs w:val="22"/>
              </w:rPr>
              <w:t>4.1 – Further consider other issues raised in the Statutory Review in ongoing future work</w:t>
            </w:r>
          </w:p>
          <w:p w14:paraId="512D6CE2" w14:textId="43B3A0E0" w:rsidR="00B26C69" w:rsidRPr="00C82B9C" w:rsidRDefault="00B26C69" w:rsidP="00B26C69">
            <w:pPr>
              <w:spacing w:before="0"/>
              <w:ind w:left="6" w:hanging="6"/>
              <w:rPr>
                <w:rFonts w:asciiTheme="minorHAnsi" w:hAnsiTheme="minorHAnsi" w:cstheme="minorHAnsi"/>
                <w:sz w:val="22"/>
                <w:szCs w:val="22"/>
                <w:lang w:val="en-AU"/>
              </w:rPr>
            </w:pPr>
            <w:r w:rsidRPr="00CD2AB2">
              <w:rPr>
                <w:rFonts w:asciiTheme="minorHAnsi" w:hAnsiTheme="minorHAnsi" w:cstheme="minorHAnsi"/>
                <w:szCs w:val="22"/>
              </w:rPr>
              <w:t>Further consideration be given to other issues raised during the Statutory Review in the context of ongoing future legislative, rule-</w:t>
            </w:r>
            <w:proofErr w:type="gramStart"/>
            <w:r w:rsidRPr="00CD2AB2">
              <w:rPr>
                <w:rFonts w:asciiTheme="minorHAnsi" w:hAnsiTheme="minorHAnsi" w:cstheme="minorHAnsi"/>
                <w:szCs w:val="22"/>
              </w:rPr>
              <w:t>making</w:t>
            </w:r>
            <w:proofErr w:type="gramEnd"/>
            <w:r w:rsidRPr="00CD2AB2">
              <w:rPr>
                <w:rFonts w:asciiTheme="minorHAnsi" w:hAnsiTheme="minorHAnsi" w:cstheme="minorHAnsi"/>
                <w:szCs w:val="22"/>
              </w:rPr>
              <w:t xml:space="preserve"> and standard-setting updates to ensure that the CDR remains fit-for-purpose.</w:t>
            </w:r>
          </w:p>
        </w:tc>
        <w:tc>
          <w:tcPr>
            <w:tcW w:w="5528" w:type="dxa"/>
            <w:shd w:val="clear" w:color="auto" w:fill="auto"/>
            <w:vAlign w:val="top"/>
          </w:tcPr>
          <w:p w14:paraId="18D44D19" w14:textId="4CD28242" w:rsidR="00B26C69" w:rsidRPr="00C82B9C" w:rsidRDefault="00B26C69" w:rsidP="00B26C69">
            <w:pPr>
              <w:spacing w:before="0"/>
              <w:ind w:left="6" w:hanging="6"/>
              <w:rPr>
                <w:rFonts w:asciiTheme="minorHAnsi" w:hAnsiTheme="minorHAnsi" w:cstheme="minorHAnsi"/>
                <w:b/>
                <w:bCs/>
                <w:sz w:val="22"/>
                <w:szCs w:val="22"/>
                <w:lang w:val="en-AU"/>
              </w:rPr>
            </w:pPr>
            <w:r w:rsidRPr="00CD2AB2">
              <w:rPr>
                <w:rFonts w:asciiTheme="minorHAnsi" w:hAnsiTheme="minorHAnsi" w:cstheme="minorHAnsi"/>
                <w:b/>
                <w:szCs w:val="22"/>
              </w:rPr>
              <w:t>Agree.</w:t>
            </w:r>
          </w:p>
          <w:p w14:paraId="46C7130C" w14:textId="63A93FE9" w:rsidR="00B26C69" w:rsidRPr="00C82B9C" w:rsidRDefault="00974960" w:rsidP="00B26C69">
            <w:pPr>
              <w:spacing w:before="0"/>
              <w:ind w:left="6" w:hanging="6"/>
              <w:rPr>
                <w:rFonts w:asciiTheme="minorHAnsi" w:hAnsiTheme="minorHAnsi" w:cstheme="minorHAnsi"/>
                <w:sz w:val="22"/>
                <w:szCs w:val="22"/>
                <w:lang w:val="en-AU"/>
              </w:rPr>
            </w:pPr>
            <w:r>
              <w:rPr>
                <w:rFonts w:asciiTheme="minorHAnsi" w:hAnsiTheme="minorHAnsi" w:cstheme="minorHAnsi"/>
                <w:szCs w:val="22"/>
              </w:rPr>
              <w:t xml:space="preserve">The Government notes the other issues raised in </w:t>
            </w:r>
            <w:r w:rsidR="00B26C69" w:rsidRPr="00CD2AB2">
              <w:rPr>
                <w:rFonts w:asciiTheme="minorHAnsi" w:hAnsiTheme="minorHAnsi" w:cstheme="minorHAnsi"/>
                <w:szCs w:val="22"/>
              </w:rPr>
              <w:t>the Statutory Review. Treasury, in consultation with CDR agencies, will consider the issues raised in the Statutory Review in the context of future legislative, rule-</w:t>
            </w:r>
            <w:proofErr w:type="gramStart"/>
            <w:r w:rsidR="00B26C69" w:rsidRPr="00CD2AB2">
              <w:rPr>
                <w:rFonts w:asciiTheme="minorHAnsi" w:hAnsiTheme="minorHAnsi" w:cstheme="minorHAnsi"/>
                <w:szCs w:val="22"/>
              </w:rPr>
              <w:t>making</w:t>
            </w:r>
            <w:proofErr w:type="gramEnd"/>
            <w:r w:rsidR="00B26C69" w:rsidRPr="00CD2AB2">
              <w:rPr>
                <w:rFonts w:asciiTheme="minorHAnsi" w:hAnsiTheme="minorHAnsi" w:cstheme="minorHAnsi"/>
                <w:szCs w:val="22"/>
              </w:rPr>
              <w:t xml:space="preserve"> and standard-setting updates.</w:t>
            </w:r>
          </w:p>
        </w:tc>
      </w:tr>
      <w:bookmarkEnd w:id="2"/>
      <w:bookmarkEnd w:id="1"/>
    </w:tbl>
    <w:p w14:paraId="58CA4229" w14:textId="77777777" w:rsidR="007E417D" w:rsidRDefault="007E417D" w:rsidP="00B96572">
      <w:pPr>
        <w:pStyle w:val="TOCLevel2"/>
      </w:pPr>
    </w:p>
    <w:p w14:paraId="0CC37985" w14:textId="77777777" w:rsidR="007E417D" w:rsidRDefault="007E417D">
      <w:pPr>
        <w:spacing w:before="0" w:after="160" w:line="259" w:lineRule="auto"/>
        <w:rPr>
          <w:rFonts w:ascii="Arial" w:eastAsiaTheme="majorEastAsia" w:hAnsi="Arial" w:cstheme="majorBidi"/>
          <w:b/>
          <w:bCs/>
          <w:color w:val="003865"/>
          <w:sz w:val="24"/>
          <w:szCs w:val="28"/>
          <w:lang w:eastAsia="en-US"/>
        </w:rPr>
      </w:pPr>
      <w:r>
        <w:br w:type="page"/>
      </w:r>
    </w:p>
    <w:p w14:paraId="546F7B96" w14:textId="62590937" w:rsidR="00B96572" w:rsidRPr="00CD2AB2" w:rsidRDefault="00B96572" w:rsidP="00B96572">
      <w:pPr>
        <w:pStyle w:val="TOCLevel2"/>
      </w:pPr>
      <w:r w:rsidRPr="00CD2AB2">
        <w:lastRenderedPageBreak/>
        <w:t xml:space="preserve">Government response to Review </w:t>
      </w:r>
      <w:r>
        <w:t>findings</w:t>
      </w:r>
    </w:p>
    <w:tbl>
      <w:tblPr>
        <w:tblStyle w:val="RecommendationsBox2"/>
        <w:tblW w:w="9241"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13"/>
        <w:gridCol w:w="3628"/>
      </w:tblGrid>
      <w:tr w:rsidR="006C315F" w:rsidRPr="00CD2AB2" w14:paraId="5D3410FD" w14:textId="77777777" w:rsidTr="00341388">
        <w:trPr>
          <w:cnfStyle w:val="100000000000" w:firstRow="1" w:lastRow="0" w:firstColumn="0" w:lastColumn="0" w:oddVBand="0" w:evenVBand="0" w:oddHBand="0" w:evenHBand="0" w:firstRowFirstColumn="0" w:firstRowLastColumn="0" w:lastRowFirstColumn="0" w:lastRowLastColumn="0"/>
          <w:cantSplit/>
          <w:tblHeader/>
        </w:trPr>
        <w:tc>
          <w:tcPr>
            <w:tcW w:w="5613" w:type="dxa"/>
            <w:shd w:val="clear" w:color="auto" w:fill="002C47" w:themeFill="accent1"/>
          </w:tcPr>
          <w:p w14:paraId="696AA060" w14:textId="107AA0E6" w:rsidR="00A00305" w:rsidRPr="00D20A04" w:rsidRDefault="00DB4F6F" w:rsidP="00B01C7E">
            <w:pPr>
              <w:spacing w:before="0" w:after="0"/>
              <w:rPr>
                <w:rFonts w:asciiTheme="minorHAnsi" w:hAnsiTheme="minorHAnsi" w:cstheme="minorHAnsi"/>
                <w:sz w:val="22"/>
                <w:szCs w:val="22"/>
                <w:lang w:val="en-AU"/>
              </w:rPr>
            </w:pPr>
            <w:r w:rsidRPr="00CD2AB2">
              <w:rPr>
                <w:rFonts w:asciiTheme="minorHAnsi" w:hAnsiTheme="minorHAnsi" w:cstheme="minorHAnsi"/>
                <w:szCs w:val="22"/>
              </w:rPr>
              <w:t>Finding</w:t>
            </w:r>
          </w:p>
        </w:tc>
        <w:tc>
          <w:tcPr>
            <w:tcW w:w="3628" w:type="dxa"/>
            <w:shd w:val="clear" w:color="auto" w:fill="002C47" w:themeFill="accent1"/>
          </w:tcPr>
          <w:p w14:paraId="3A976615" w14:textId="77777777" w:rsidR="00A00305" w:rsidRPr="00C82B9C" w:rsidRDefault="00A00305" w:rsidP="00B01C7E">
            <w:pPr>
              <w:spacing w:before="0" w:after="0"/>
              <w:rPr>
                <w:rFonts w:asciiTheme="minorHAnsi" w:hAnsiTheme="minorHAnsi" w:cstheme="minorHAnsi"/>
                <w:sz w:val="22"/>
                <w:szCs w:val="22"/>
                <w:lang w:val="en-AU"/>
              </w:rPr>
            </w:pPr>
            <w:r w:rsidRPr="00CD2AB2">
              <w:rPr>
                <w:rFonts w:asciiTheme="minorHAnsi" w:hAnsiTheme="minorHAnsi" w:cstheme="minorHAnsi"/>
                <w:szCs w:val="22"/>
              </w:rPr>
              <w:t>Government response</w:t>
            </w:r>
          </w:p>
        </w:tc>
      </w:tr>
      <w:tr w:rsidR="00F213C2" w:rsidRPr="00CD2AB2" w14:paraId="4AC6D5B3" w14:textId="77777777" w:rsidTr="00341388">
        <w:trPr>
          <w:cnfStyle w:val="000000100000" w:firstRow="0" w:lastRow="0" w:firstColumn="0" w:lastColumn="0" w:oddVBand="0" w:evenVBand="0" w:oddHBand="1" w:evenHBand="0" w:firstRowFirstColumn="0" w:firstRowLastColumn="0" w:lastRowFirstColumn="0" w:lastRowLastColumn="0"/>
          <w:cantSplit/>
        </w:trPr>
        <w:tc>
          <w:tcPr>
            <w:tcW w:w="5613" w:type="dxa"/>
            <w:shd w:val="clear" w:color="auto" w:fill="auto"/>
            <w:vAlign w:val="top"/>
          </w:tcPr>
          <w:p w14:paraId="525FCA99" w14:textId="38FE3B5D" w:rsidR="009B6ABB" w:rsidRPr="00C82B9C" w:rsidRDefault="009B6ABB" w:rsidP="009B6ABB">
            <w:pPr>
              <w:spacing w:before="0"/>
              <w:ind w:left="6" w:hanging="6"/>
              <w:rPr>
                <w:rFonts w:asciiTheme="minorHAnsi" w:hAnsiTheme="minorHAnsi" w:cstheme="minorHAnsi"/>
                <w:b/>
                <w:bCs/>
                <w:sz w:val="22"/>
                <w:szCs w:val="22"/>
                <w:lang w:val="en-AU"/>
              </w:rPr>
            </w:pPr>
            <w:r w:rsidRPr="00CD2AB2">
              <w:rPr>
                <w:rFonts w:asciiTheme="minorHAnsi" w:hAnsiTheme="minorHAnsi" w:cstheme="minorHAnsi"/>
                <w:b/>
                <w:szCs w:val="22"/>
              </w:rPr>
              <w:t>1.1 – Objects of Part IVD of the Act are broadly fit for purpose</w:t>
            </w:r>
          </w:p>
          <w:p w14:paraId="27A1F87A" w14:textId="7BD26B00" w:rsidR="009B6ABB" w:rsidRPr="00C82B9C" w:rsidRDefault="009B6ABB" w:rsidP="009B6ABB">
            <w:pPr>
              <w:spacing w:before="0"/>
              <w:ind w:left="6" w:hanging="6"/>
              <w:rPr>
                <w:rFonts w:asciiTheme="minorHAnsi" w:hAnsiTheme="minorHAnsi" w:cstheme="minorHAnsi"/>
                <w:sz w:val="22"/>
                <w:szCs w:val="22"/>
                <w:vertAlign w:val="subscript"/>
                <w:lang w:val="en-AU"/>
              </w:rPr>
            </w:pPr>
            <w:r w:rsidRPr="00CD2AB2">
              <w:rPr>
                <w:rFonts w:asciiTheme="minorHAnsi" w:hAnsiTheme="minorHAnsi" w:cstheme="minorHAnsi"/>
                <w:szCs w:val="22"/>
              </w:rPr>
              <w:t>The Review has found that the objects of Part IVD of the Act are broadly fit for purpose and will continue to support the economy-wide expansion of the CDR into the medium term.</w:t>
            </w:r>
          </w:p>
        </w:tc>
        <w:tc>
          <w:tcPr>
            <w:tcW w:w="3628" w:type="dxa"/>
            <w:shd w:val="clear" w:color="auto" w:fill="auto"/>
            <w:vAlign w:val="top"/>
          </w:tcPr>
          <w:p w14:paraId="0BC62003" w14:textId="3E447B85" w:rsidR="009B6ABB" w:rsidRPr="00C82B9C" w:rsidRDefault="009B6ABB" w:rsidP="009B6ABB">
            <w:pPr>
              <w:pStyle w:val="BodyText"/>
              <w:spacing w:before="0" w:after="120"/>
              <w:ind w:left="6" w:hanging="6"/>
              <w:rPr>
                <w:rFonts w:asciiTheme="minorHAnsi" w:hAnsiTheme="minorHAnsi" w:cstheme="minorHAnsi"/>
                <w:b/>
                <w:bCs/>
                <w:sz w:val="22"/>
                <w:szCs w:val="22"/>
                <w:lang w:val="en-AU"/>
              </w:rPr>
            </w:pPr>
            <w:r w:rsidRPr="00CD2AB2">
              <w:rPr>
                <w:rFonts w:asciiTheme="minorHAnsi" w:hAnsiTheme="minorHAnsi" w:cstheme="minorHAnsi"/>
                <w:b/>
              </w:rPr>
              <w:t xml:space="preserve">Noted. </w:t>
            </w:r>
          </w:p>
        </w:tc>
      </w:tr>
      <w:tr w:rsidR="00F213C2" w:rsidRPr="00CD2AB2" w14:paraId="13F59340" w14:textId="77777777" w:rsidTr="00341388">
        <w:trPr>
          <w:cnfStyle w:val="000000010000" w:firstRow="0" w:lastRow="0" w:firstColumn="0" w:lastColumn="0" w:oddVBand="0" w:evenVBand="0" w:oddHBand="0" w:evenHBand="1" w:firstRowFirstColumn="0" w:firstRowLastColumn="0" w:lastRowFirstColumn="0" w:lastRowLastColumn="0"/>
          <w:cantSplit/>
        </w:trPr>
        <w:tc>
          <w:tcPr>
            <w:tcW w:w="5613" w:type="dxa"/>
            <w:shd w:val="clear" w:color="auto" w:fill="auto"/>
            <w:vAlign w:val="top"/>
          </w:tcPr>
          <w:p w14:paraId="63451C7B" w14:textId="09C3CB32" w:rsidR="009B6ABB" w:rsidRPr="00C82B9C" w:rsidRDefault="009B6ABB" w:rsidP="009B6ABB">
            <w:pPr>
              <w:spacing w:before="0"/>
              <w:ind w:left="6" w:hanging="6"/>
              <w:rPr>
                <w:rFonts w:asciiTheme="minorHAnsi" w:hAnsiTheme="minorHAnsi" w:cstheme="minorHAnsi"/>
                <w:b/>
                <w:bCs/>
                <w:sz w:val="22"/>
                <w:szCs w:val="22"/>
                <w:lang w:val="en-AU"/>
              </w:rPr>
            </w:pPr>
            <w:r w:rsidRPr="00CD2AB2">
              <w:rPr>
                <w:rFonts w:asciiTheme="minorHAnsi" w:hAnsiTheme="minorHAnsi" w:cstheme="minorHAnsi"/>
                <w:b/>
                <w:szCs w:val="22"/>
              </w:rPr>
              <w:t>1.2 – Consultation barriers</w:t>
            </w:r>
          </w:p>
          <w:p w14:paraId="36133ED7" w14:textId="1BB3FEDD" w:rsidR="009B6ABB" w:rsidRPr="00C82B9C" w:rsidRDefault="009B6ABB" w:rsidP="009B6ABB">
            <w:pPr>
              <w:spacing w:before="0"/>
              <w:ind w:left="6" w:hanging="6"/>
              <w:rPr>
                <w:rFonts w:asciiTheme="minorHAnsi" w:hAnsiTheme="minorHAnsi" w:cstheme="minorHAnsi"/>
                <w:sz w:val="22"/>
                <w:szCs w:val="22"/>
                <w:vertAlign w:val="subscript"/>
                <w:lang w:val="en-AU"/>
              </w:rPr>
            </w:pPr>
            <w:r w:rsidRPr="00CD2AB2">
              <w:rPr>
                <w:rFonts w:asciiTheme="minorHAnsi" w:hAnsiTheme="minorHAnsi" w:cstheme="minorHAnsi"/>
                <w:szCs w:val="22"/>
              </w:rPr>
              <w:t>In developing the CDR, multiple agencies are seeking regular feedback from a wide range of stakeholders. CDR participants, particularly smaller ones, have found it difficult to engage with these successive consultation processes. Consultation is important to successfully implement the CDR, however, the extent and scope of consultation are barriers particularly for smaller participants and consumer groups. Without better coordination or consideration of ways to lessen the consultation load, there may be adverse competition outcomes that are contrary to the policy objectives of the CDR.</w:t>
            </w:r>
          </w:p>
        </w:tc>
        <w:tc>
          <w:tcPr>
            <w:tcW w:w="3628" w:type="dxa"/>
            <w:shd w:val="clear" w:color="auto" w:fill="auto"/>
            <w:vAlign w:val="top"/>
          </w:tcPr>
          <w:p w14:paraId="621427C8" w14:textId="3518D79A" w:rsidR="008B57DE" w:rsidRDefault="5A53B65F" w:rsidP="329D49F7">
            <w:pPr>
              <w:pStyle w:val="BodyText"/>
              <w:spacing w:before="0" w:after="120"/>
              <w:ind w:left="6" w:hanging="6"/>
              <w:rPr>
                <w:rFonts w:asciiTheme="minorHAnsi" w:hAnsiTheme="minorHAnsi"/>
              </w:rPr>
            </w:pPr>
            <w:r w:rsidRPr="00CD2AB2">
              <w:rPr>
                <w:rFonts w:asciiTheme="minorHAnsi" w:hAnsiTheme="minorHAnsi"/>
                <w:b/>
              </w:rPr>
              <w:t>Noted.</w:t>
            </w:r>
            <w:r w:rsidRPr="00CD2AB2">
              <w:rPr>
                <w:rFonts w:asciiTheme="minorHAnsi" w:hAnsiTheme="minorHAnsi"/>
              </w:rPr>
              <w:t xml:space="preserve"> </w:t>
            </w:r>
          </w:p>
          <w:p w14:paraId="1B5E83DE" w14:textId="3518D79A" w:rsidR="009B6ABB" w:rsidRPr="00C82B9C" w:rsidRDefault="5A53B65F" w:rsidP="329D49F7">
            <w:pPr>
              <w:pStyle w:val="BodyText"/>
              <w:spacing w:before="0" w:after="120"/>
              <w:ind w:left="6" w:hanging="6"/>
              <w:rPr>
                <w:rFonts w:asciiTheme="minorHAnsi" w:hAnsiTheme="minorHAnsi"/>
                <w:sz w:val="22"/>
                <w:szCs w:val="22"/>
                <w:lang w:val="en-AU"/>
              </w:rPr>
            </w:pPr>
            <w:r w:rsidRPr="00CD2AB2">
              <w:rPr>
                <w:rFonts w:asciiTheme="minorHAnsi" w:hAnsiTheme="minorHAnsi"/>
              </w:rPr>
              <w:t>Refer to the Government response to Recommendations 1.4</w:t>
            </w:r>
            <w:r w:rsidR="00C57C12" w:rsidRPr="00CD2AB2">
              <w:rPr>
                <w:rFonts w:asciiTheme="minorHAnsi" w:hAnsiTheme="minorHAnsi"/>
              </w:rPr>
              <w:t xml:space="preserve">, </w:t>
            </w:r>
            <w:r w:rsidRPr="00CD2AB2">
              <w:rPr>
                <w:rFonts w:asciiTheme="minorHAnsi" w:hAnsiTheme="minorHAnsi"/>
              </w:rPr>
              <w:t>2.3</w:t>
            </w:r>
            <w:r w:rsidR="00C57C12" w:rsidRPr="00CD2AB2">
              <w:rPr>
                <w:rFonts w:asciiTheme="minorHAnsi" w:hAnsiTheme="minorHAnsi"/>
              </w:rPr>
              <w:t xml:space="preserve"> and 3.3</w:t>
            </w:r>
            <w:r w:rsidRPr="00CD2AB2">
              <w:rPr>
                <w:rFonts w:asciiTheme="minorHAnsi" w:hAnsiTheme="minorHAnsi"/>
              </w:rPr>
              <w:t xml:space="preserve">. </w:t>
            </w:r>
            <w:r w:rsidR="00341388" w:rsidRPr="00CD2AB2">
              <w:rPr>
                <w:rFonts w:asciiTheme="minorHAnsi" w:hAnsiTheme="minorHAnsi"/>
              </w:rPr>
              <w:t xml:space="preserve">The </w:t>
            </w:r>
            <w:r w:rsidR="6FCD1182" w:rsidRPr="00CD2AB2">
              <w:rPr>
                <w:rFonts w:asciiTheme="minorHAnsi" w:hAnsiTheme="minorHAnsi"/>
              </w:rPr>
              <w:t>Government will continue to engage closely with participants, including consumer groups.</w:t>
            </w:r>
            <w:r w:rsidRPr="00CD2AB2">
              <w:br/>
            </w:r>
            <w:r w:rsidRPr="00CD2AB2">
              <w:br/>
            </w:r>
          </w:p>
        </w:tc>
      </w:tr>
      <w:tr w:rsidR="00F213C2" w:rsidRPr="00CD2AB2" w14:paraId="22DEE40D" w14:textId="77777777" w:rsidTr="00341388">
        <w:trPr>
          <w:cnfStyle w:val="000000100000" w:firstRow="0" w:lastRow="0" w:firstColumn="0" w:lastColumn="0" w:oddVBand="0" w:evenVBand="0" w:oddHBand="1" w:evenHBand="0" w:firstRowFirstColumn="0" w:firstRowLastColumn="0" w:lastRowFirstColumn="0" w:lastRowLastColumn="0"/>
          <w:cantSplit/>
        </w:trPr>
        <w:tc>
          <w:tcPr>
            <w:tcW w:w="5613" w:type="dxa"/>
            <w:shd w:val="clear" w:color="auto" w:fill="auto"/>
            <w:vAlign w:val="top"/>
          </w:tcPr>
          <w:p w14:paraId="051EDE63" w14:textId="77777777" w:rsidR="009B6ABB" w:rsidRPr="00C82B9C" w:rsidRDefault="009B6ABB" w:rsidP="009B6ABB">
            <w:pPr>
              <w:spacing w:before="0"/>
              <w:ind w:left="6" w:hanging="6"/>
              <w:rPr>
                <w:rFonts w:asciiTheme="minorHAnsi" w:hAnsiTheme="minorHAnsi" w:cstheme="minorHAnsi"/>
                <w:b/>
                <w:bCs/>
                <w:sz w:val="22"/>
                <w:szCs w:val="22"/>
                <w:lang w:val="en-AU"/>
              </w:rPr>
            </w:pPr>
            <w:r w:rsidRPr="00CD2AB2">
              <w:rPr>
                <w:rFonts w:asciiTheme="minorHAnsi" w:hAnsiTheme="minorHAnsi" w:cstheme="minorHAnsi"/>
                <w:b/>
                <w:szCs w:val="22"/>
              </w:rPr>
              <w:t>1.3 – Direct-to-consumer data sharing</w:t>
            </w:r>
          </w:p>
          <w:p w14:paraId="416F3E2E" w14:textId="0F568451" w:rsidR="009B6ABB" w:rsidRPr="00C82B9C" w:rsidRDefault="009B6ABB" w:rsidP="009B6ABB">
            <w:pPr>
              <w:spacing w:before="0"/>
              <w:ind w:left="6" w:hanging="6"/>
              <w:rPr>
                <w:rFonts w:asciiTheme="minorHAnsi" w:hAnsiTheme="minorHAnsi" w:cstheme="minorHAnsi"/>
                <w:sz w:val="22"/>
                <w:szCs w:val="22"/>
                <w:vertAlign w:val="subscript"/>
                <w:lang w:val="en-AU"/>
              </w:rPr>
            </w:pPr>
            <w:r w:rsidRPr="00CD2AB2">
              <w:rPr>
                <w:rFonts w:asciiTheme="minorHAnsi" w:hAnsiTheme="minorHAnsi" w:cstheme="minorHAnsi"/>
                <w:szCs w:val="22"/>
              </w:rPr>
              <w:t xml:space="preserve">Submissions </w:t>
            </w:r>
            <w:proofErr w:type="spellStart"/>
            <w:r w:rsidRPr="00CD2AB2">
              <w:rPr>
                <w:rFonts w:asciiTheme="minorHAnsi" w:hAnsiTheme="minorHAnsi" w:cstheme="minorHAnsi"/>
                <w:szCs w:val="22"/>
              </w:rPr>
              <w:t>recognised</w:t>
            </w:r>
            <w:proofErr w:type="spellEnd"/>
            <w:r w:rsidRPr="00CD2AB2">
              <w:rPr>
                <w:rFonts w:asciiTheme="minorHAnsi" w:hAnsiTheme="minorHAnsi" w:cstheme="minorHAnsi"/>
                <w:szCs w:val="22"/>
              </w:rPr>
              <w:t xml:space="preserve"> the risks associated with enabling direct-to-consumer data sharing under the CDR, particularly </w:t>
            </w:r>
            <w:proofErr w:type="gramStart"/>
            <w:r w:rsidRPr="00CD2AB2">
              <w:rPr>
                <w:rFonts w:asciiTheme="minorHAnsi" w:hAnsiTheme="minorHAnsi" w:cstheme="minorHAnsi"/>
                <w:szCs w:val="22"/>
              </w:rPr>
              <w:t>at this point in time</w:t>
            </w:r>
            <w:proofErr w:type="gramEnd"/>
            <w:r w:rsidRPr="00CD2AB2">
              <w:rPr>
                <w:rFonts w:asciiTheme="minorHAnsi" w:hAnsiTheme="minorHAnsi" w:cstheme="minorHAnsi"/>
                <w:szCs w:val="22"/>
              </w:rPr>
              <w:t>. While many submissions supported this form of sharing in principle, few were able to offer examples of tangible consumer benefits that could justify enabling sharing in the presence of these risks. The Review finds that the statutory framework may require further consideration in the future if direct-to-consumer data sharing is to be enabled, particularly in relation to liability for loss. As the CDR matures, the risks associated with direct-to-consumer data sharing may decrease, at which point enabling data transfers should be reconsidered.</w:t>
            </w:r>
          </w:p>
        </w:tc>
        <w:tc>
          <w:tcPr>
            <w:tcW w:w="3628" w:type="dxa"/>
            <w:shd w:val="clear" w:color="auto" w:fill="auto"/>
            <w:vAlign w:val="top"/>
          </w:tcPr>
          <w:p w14:paraId="51B6D474" w14:textId="3518D79A" w:rsidR="008B57DE" w:rsidRDefault="009B6ABB" w:rsidP="009B6ABB">
            <w:pPr>
              <w:pStyle w:val="BodyText"/>
              <w:spacing w:before="0" w:after="120"/>
              <w:ind w:left="6" w:hanging="6"/>
              <w:rPr>
                <w:rFonts w:asciiTheme="minorHAnsi" w:hAnsiTheme="minorHAnsi"/>
              </w:rPr>
            </w:pPr>
            <w:r w:rsidRPr="114DA582">
              <w:rPr>
                <w:rFonts w:asciiTheme="minorHAnsi" w:hAnsiTheme="minorHAnsi"/>
                <w:b/>
              </w:rPr>
              <w:t>Noted.</w:t>
            </w:r>
            <w:r w:rsidRPr="114DA582">
              <w:rPr>
                <w:rFonts w:asciiTheme="minorHAnsi" w:hAnsiTheme="minorHAnsi"/>
              </w:rPr>
              <w:t xml:space="preserve"> </w:t>
            </w:r>
          </w:p>
          <w:p w14:paraId="63B14632" w14:textId="3518D79A" w:rsidR="009B6ABB" w:rsidRPr="00C82B9C" w:rsidRDefault="009B6ABB" w:rsidP="009B6ABB">
            <w:pPr>
              <w:pStyle w:val="BodyText"/>
              <w:spacing w:before="0" w:after="120"/>
              <w:ind w:left="6" w:hanging="6"/>
              <w:rPr>
                <w:rFonts w:asciiTheme="minorHAnsi" w:hAnsiTheme="minorHAnsi"/>
                <w:sz w:val="22"/>
                <w:szCs w:val="22"/>
                <w:lang w:val="en-AU"/>
              </w:rPr>
            </w:pPr>
            <w:r w:rsidRPr="114DA582">
              <w:rPr>
                <w:rFonts w:asciiTheme="minorHAnsi" w:hAnsiTheme="minorHAnsi"/>
              </w:rPr>
              <w:t xml:space="preserve">This will be considered as part of any future changes to the statutory framework. </w:t>
            </w:r>
          </w:p>
        </w:tc>
      </w:tr>
      <w:tr w:rsidR="00F213C2" w:rsidRPr="00CD2AB2" w14:paraId="746FB77B" w14:textId="77777777" w:rsidTr="00341388">
        <w:trPr>
          <w:cnfStyle w:val="000000010000" w:firstRow="0" w:lastRow="0" w:firstColumn="0" w:lastColumn="0" w:oddVBand="0" w:evenVBand="0" w:oddHBand="0" w:evenHBand="1" w:firstRowFirstColumn="0" w:firstRowLastColumn="0" w:lastRowFirstColumn="0" w:lastRowLastColumn="0"/>
          <w:cantSplit/>
        </w:trPr>
        <w:tc>
          <w:tcPr>
            <w:tcW w:w="5613" w:type="dxa"/>
            <w:shd w:val="clear" w:color="auto" w:fill="auto"/>
            <w:vAlign w:val="top"/>
          </w:tcPr>
          <w:p w14:paraId="4D0FB1C3" w14:textId="53C196EC" w:rsidR="009B6ABB" w:rsidRPr="00C82B9C" w:rsidRDefault="009B6ABB" w:rsidP="009B6ABB">
            <w:pPr>
              <w:spacing w:before="0"/>
              <w:ind w:left="6" w:hanging="6"/>
              <w:rPr>
                <w:rFonts w:asciiTheme="minorHAnsi" w:hAnsiTheme="minorHAnsi" w:cstheme="minorHAnsi"/>
                <w:b/>
                <w:bCs/>
                <w:sz w:val="22"/>
                <w:szCs w:val="22"/>
                <w:lang w:val="en-AU"/>
              </w:rPr>
            </w:pPr>
            <w:r w:rsidRPr="00CD2AB2">
              <w:rPr>
                <w:rFonts w:asciiTheme="minorHAnsi" w:hAnsiTheme="minorHAnsi" w:cstheme="minorHAnsi"/>
                <w:b/>
                <w:szCs w:val="22"/>
              </w:rPr>
              <w:t>2.1 – Data quality should be addressed as a priority</w:t>
            </w:r>
          </w:p>
          <w:p w14:paraId="2AF79ED1" w14:textId="39F5B23D" w:rsidR="009B6ABB" w:rsidRPr="00C82B9C" w:rsidRDefault="009B6ABB" w:rsidP="009B6ABB">
            <w:pPr>
              <w:spacing w:before="0"/>
              <w:ind w:left="6" w:hanging="6"/>
              <w:rPr>
                <w:rFonts w:asciiTheme="minorHAnsi" w:hAnsiTheme="minorHAnsi" w:cstheme="minorHAnsi"/>
                <w:sz w:val="22"/>
                <w:szCs w:val="22"/>
                <w:vertAlign w:val="subscript"/>
                <w:lang w:val="en-AU"/>
              </w:rPr>
            </w:pPr>
            <w:r w:rsidRPr="00CD2AB2" w:rsidDel="0011719E">
              <w:rPr>
                <w:rFonts w:asciiTheme="minorHAnsi" w:hAnsiTheme="minorHAnsi" w:cstheme="minorHAnsi"/>
                <w:szCs w:val="22"/>
              </w:rPr>
              <w:t>D</w:t>
            </w:r>
            <w:r w:rsidRPr="00CD2AB2">
              <w:rPr>
                <w:rFonts w:asciiTheme="minorHAnsi" w:hAnsiTheme="minorHAnsi" w:cstheme="minorHAnsi"/>
                <w:szCs w:val="22"/>
              </w:rPr>
              <w:t>ata quality is limiting</w:t>
            </w:r>
            <w:r w:rsidRPr="00CD2AB2" w:rsidDel="0011719E">
              <w:rPr>
                <w:rFonts w:asciiTheme="minorHAnsi" w:hAnsiTheme="minorHAnsi" w:cstheme="minorHAnsi"/>
                <w:szCs w:val="22"/>
              </w:rPr>
              <w:t xml:space="preserve"> </w:t>
            </w:r>
            <w:r w:rsidRPr="00CD2AB2">
              <w:rPr>
                <w:rFonts w:asciiTheme="minorHAnsi" w:hAnsiTheme="minorHAnsi" w:cstheme="minorHAnsi"/>
                <w:szCs w:val="22"/>
              </w:rPr>
              <w:t xml:space="preserve">the wider adoption of the CDR. Addressing it as a priority, including through enforcement </w:t>
            </w:r>
            <w:proofErr w:type="gramStart"/>
            <w:r w:rsidRPr="00CD2AB2">
              <w:rPr>
                <w:rFonts w:asciiTheme="minorHAnsi" w:hAnsiTheme="minorHAnsi" w:cstheme="minorHAnsi"/>
                <w:szCs w:val="22"/>
              </w:rPr>
              <w:t>actions</w:t>
            </w:r>
            <w:proofErr w:type="gramEnd"/>
            <w:r w:rsidRPr="00CD2AB2">
              <w:rPr>
                <w:rFonts w:asciiTheme="minorHAnsi" w:hAnsiTheme="minorHAnsi" w:cstheme="minorHAnsi"/>
                <w:szCs w:val="22"/>
              </w:rPr>
              <w:t xml:space="preserve"> when necessary, will increase participant confidence in the CDR, leading to the development of new CDR products that benefit consumers and decrease reliance on risky practi</w:t>
            </w:r>
            <w:r w:rsidR="00956E46" w:rsidRPr="00CD2AB2">
              <w:rPr>
                <w:rFonts w:asciiTheme="minorHAnsi" w:hAnsiTheme="minorHAnsi" w:cstheme="minorHAnsi"/>
                <w:szCs w:val="22"/>
              </w:rPr>
              <w:t>c</w:t>
            </w:r>
            <w:r w:rsidRPr="00CD2AB2">
              <w:rPr>
                <w:rFonts w:asciiTheme="minorHAnsi" w:hAnsiTheme="minorHAnsi" w:cstheme="minorHAnsi"/>
                <w:szCs w:val="22"/>
              </w:rPr>
              <w:t>es like screen scraping.</w:t>
            </w:r>
          </w:p>
        </w:tc>
        <w:tc>
          <w:tcPr>
            <w:tcW w:w="3628" w:type="dxa"/>
            <w:shd w:val="clear" w:color="auto" w:fill="auto"/>
            <w:vAlign w:val="top"/>
          </w:tcPr>
          <w:p w14:paraId="415F2D97" w14:textId="3518D79A" w:rsidR="008B57DE" w:rsidRDefault="009B6ABB" w:rsidP="009B6ABB">
            <w:pPr>
              <w:pStyle w:val="BodyText"/>
              <w:spacing w:before="0" w:after="120"/>
              <w:ind w:left="6" w:hanging="6"/>
              <w:rPr>
                <w:rFonts w:asciiTheme="minorHAnsi" w:hAnsiTheme="minorHAnsi"/>
              </w:rPr>
            </w:pPr>
            <w:r w:rsidRPr="114DA582">
              <w:rPr>
                <w:rFonts w:asciiTheme="minorHAnsi" w:hAnsiTheme="minorHAnsi"/>
                <w:b/>
              </w:rPr>
              <w:t>Noted.</w:t>
            </w:r>
            <w:r w:rsidRPr="114DA582">
              <w:rPr>
                <w:rFonts w:asciiTheme="minorHAnsi" w:hAnsiTheme="minorHAnsi"/>
              </w:rPr>
              <w:t xml:space="preserve"> </w:t>
            </w:r>
          </w:p>
          <w:p w14:paraId="789482ED" w14:textId="3518D79A" w:rsidR="009B6ABB" w:rsidRPr="00C82B9C" w:rsidRDefault="009B6ABB" w:rsidP="009B6ABB">
            <w:pPr>
              <w:pStyle w:val="BodyText"/>
              <w:spacing w:before="0" w:after="120"/>
              <w:ind w:left="6" w:hanging="6"/>
              <w:rPr>
                <w:rFonts w:asciiTheme="minorHAnsi" w:hAnsiTheme="minorHAnsi"/>
                <w:sz w:val="22"/>
                <w:szCs w:val="22"/>
                <w:lang w:val="en-AU"/>
              </w:rPr>
            </w:pPr>
            <w:r w:rsidRPr="114DA582">
              <w:rPr>
                <w:rFonts w:asciiTheme="minorHAnsi" w:hAnsiTheme="minorHAnsi"/>
              </w:rPr>
              <w:t>Refer to the Government response to Recommendation 2.5.</w:t>
            </w:r>
          </w:p>
        </w:tc>
      </w:tr>
      <w:tr w:rsidR="00F213C2" w:rsidRPr="00CD2AB2" w14:paraId="10DD933D" w14:textId="77777777" w:rsidTr="00341388">
        <w:trPr>
          <w:cnfStyle w:val="000000100000" w:firstRow="0" w:lastRow="0" w:firstColumn="0" w:lastColumn="0" w:oddVBand="0" w:evenVBand="0" w:oddHBand="1" w:evenHBand="0" w:firstRowFirstColumn="0" w:firstRowLastColumn="0" w:lastRowFirstColumn="0" w:lastRowLastColumn="0"/>
          <w:cantSplit/>
        </w:trPr>
        <w:tc>
          <w:tcPr>
            <w:tcW w:w="5613" w:type="dxa"/>
            <w:shd w:val="clear" w:color="auto" w:fill="auto"/>
            <w:vAlign w:val="top"/>
          </w:tcPr>
          <w:p w14:paraId="279BB989" w14:textId="3F875CEE" w:rsidR="000F40F7" w:rsidRPr="00C82B9C" w:rsidRDefault="000F40F7" w:rsidP="000F40F7">
            <w:pPr>
              <w:spacing w:before="0"/>
              <w:ind w:left="6" w:hanging="6"/>
              <w:rPr>
                <w:rFonts w:asciiTheme="minorHAnsi" w:hAnsiTheme="minorHAnsi" w:cstheme="minorHAnsi"/>
                <w:b/>
                <w:bCs/>
                <w:sz w:val="22"/>
                <w:szCs w:val="22"/>
                <w:lang w:val="en-AU"/>
              </w:rPr>
            </w:pPr>
            <w:r w:rsidRPr="00CD2AB2">
              <w:rPr>
                <w:rFonts w:asciiTheme="minorHAnsi" w:hAnsiTheme="minorHAnsi" w:cstheme="minorHAnsi"/>
                <w:b/>
                <w:szCs w:val="22"/>
              </w:rPr>
              <w:t>2.2 – The consent process should be monitored and adjusted as the CDR evolves</w:t>
            </w:r>
          </w:p>
          <w:p w14:paraId="50CDEB82" w14:textId="305E2AC6" w:rsidR="000F40F7" w:rsidRPr="00C82B9C" w:rsidRDefault="000F40F7" w:rsidP="000F40F7">
            <w:pPr>
              <w:spacing w:before="0"/>
              <w:ind w:left="6" w:hanging="6"/>
              <w:rPr>
                <w:rFonts w:asciiTheme="minorHAnsi" w:hAnsiTheme="minorHAnsi" w:cstheme="minorHAnsi"/>
                <w:sz w:val="22"/>
                <w:szCs w:val="22"/>
                <w:vertAlign w:val="subscript"/>
                <w:lang w:val="en-AU"/>
              </w:rPr>
            </w:pPr>
            <w:r w:rsidRPr="00CD2AB2">
              <w:rPr>
                <w:rFonts w:asciiTheme="minorHAnsi" w:hAnsiTheme="minorHAnsi" w:cstheme="minorHAnsi"/>
                <w:szCs w:val="22"/>
              </w:rPr>
              <w:t xml:space="preserve">The consent process is central to CDR’s </w:t>
            </w:r>
            <w:proofErr w:type="spellStart"/>
            <w:r w:rsidRPr="00CD2AB2">
              <w:rPr>
                <w:rFonts w:asciiTheme="minorHAnsi" w:hAnsiTheme="minorHAnsi" w:cstheme="minorHAnsi"/>
                <w:szCs w:val="22"/>
              </w:rPr>
              <w:t>realisation</w:t>
            </w:r>
            <w:proofErr w:type="spellEnd"/>
            <w:r w:rsidRPr="00CD2AB2">
              <w:rPr>
                <w:rFonts w:asciiTheme="minorHAnsi" w:hAnsiTheme="minorHAnsi" w:cstheme="minorHAnsi"/>
                <w:szCs w:val="22"/>
              </w:rPr>
              <w:t xml:space="preserve"> of informed consumer decision making and delivery of</w:t>
            </w:r>
            <w:r w:rsidRPr="00CD2AB2" w:rsidDel="00DD594B">
              <w:rPr>
                <w:rFonts w:asciiTheme="minorHAnsi" w:hAnsiTheme="minorHAnsi" w:cstheme="minorHAnsi"/>
                <w:szCs w:val="22"/>
              </w:rPr>
              <w:t xml:space="preserve"> </w:t>
            </w:r>
            <w:r w:rsidRPr="00CD2AB2">
              <w:rPr>
                <w:rFonts w:asciiTheme="minorHAnsi" w:hAnsiTheme="minorHAnsi" w:cstheme="minorHAnsi"/>
                <w:szCs w:val="22"/>
              </w:rPr>
              <w:t xml:space="preserve">consumer benefits. Complex consent processes may limit participation in the CDR and contribute to ‘consent fatigue’, which may undermine genuine consumer consent. As the CDR evolves, the consent process should be monitored and adjusted to ensure benefits are </w:t>
            </w:r>
            <w:proofErr w:type="spellStart"/>
            <w:r w:rsidRPr="00CD2AB2">
              <w:rPr>
                <w:rFonts w:asciiTheme="minorHAnsi" w:hAnsiTheme="minorHAnsi" w:cstheme="minorHAnsi"/>
                <w:szCs w:val="22"/>
              </w:rPr>
              <w:t>realised</w:t>
            </w:r>
            <w:proofErr w:type="spellEnd"/>
            <w:r w:rsidRPr="00CD2AB2">
              <w:rPr>
                <w:rFonts w:asciiTheme="minorHAnsi" w:hAnsiTheme="minorHAnsi" w:cstheme="minorHAnsi"/>
                <w:szCs w:val="22"/>
              </w:rPr>
              <w:t>, and as the CDR expands to include actions and payments, further consideration should be given to other consent models, such as bundling of consents.</w:t>
            </w:r>
          </w:p>
        </w:tc>
        <w:tc>
          <w:tcPr>
            <w:tcW w:w="3628" w:type="dxa"/>
            <w:shd w:val="clear" w:color="auto" w:fill="auto"/>
            <w:vAlign w:val="top"/>
          </w:tcPr>
          <w:p w14:paraId="277D031B" w14:textId="77777777" w:rsidR="006B451F" w:rsidRDefault="000F40F7" w:rsidP="000F40F7">
            <w:pPr>
              <w:pStyle w:val="BodyText"/>
              <w:spacing w:before="0" w:after="120"/>
              <w:ind w:left="6" w:hanging="6"/>
              <w:rPr>
                <w:rFonts w:asciiTheme="minorHAnsi" w:hAnsiTheme="minorHAnsi" w:cstheme="minorHAnsi"/>
              </w:rPr>
            </w:pPr>
            <w:r w:rsidRPr="00CD2AB2">
              <w:rPr>
                <w:rFonts w:asciiTheme="minorHAnsi" w:hAnsiTheme="minorHAnsi" w:cstheme="minorHAnsi"/>
                <w:b/>
              </w:rPr>
              <w:t>Noted.</w:t>
            </w:r>
            <w:r w:rsidRPr="00CD2AB2">
              <w:rPr>
                <w:rFonts w:asciiTheme="minorHAnsi" w:hAnsiTheme="minorHAnsi" w:cstheme="minorHAnsi"/>
              </w:rPr>
              <w:t xml:space="preserve"> </w:t>
            </w:r>
          </w:p>
          <w:p w14:paraId="06D0BC89" w14:textId="5DDE24D3" w:rsidR="000F40F7" w:rsidRPr="00C82B9C" w:rsidRDefault="000F40F7" w:rsidP="000F40F7">
            <w:pPr>
              <w:pStyle w:val="BodyText"/>
              <w:spacing w:before="0" w:after="120"/>
              <w:ind w:left="6" w:hanging="6"/>
              <w:rPr>
                <w:rFonts w:asciiTheme="minorHAnsi" w:hAnsiTheme="minorHAnsi" w:cstheme="minorHAnsi"/>
                <w:sz w:val="22"/>
                <w:szCs w:val="22"/>
                <w:lang w:val="en-AU"/>
              </w:rPr>
            </w:pPr>
            <w:r w:rsidRPr="00CD2AB2">
              <w:rPr>
                <w:rFonts w:asciiTheme="minorHAnsi" w:hAnsiTheme="minorHAnsi" w:cstheme="minorHAnsi"/>
              </w:rPr>
              <w:t xml:space="preserve">Treasury and the Data Standards Body (DSB) are exploring opportunities to simplify the CDR consent rules and standards to support a better consumer experience while maintaining key protections. Treasury and the DSB </w:t>
            </w:r>
            <w:r w:rsidR="00D12E11">
              <w:rPr>
                <w:rFonts w:asciiTheme="minorHAnsi" w:hAnsiTheme="minorHAnsi" w:cstheme="minorHAnsi"/>
              </w:rPr>
              <w:t xml:space="preserve">have </w:t>
            </w:r>
            <w:r w:rsidR="001E06A7">
              <w:rPr>
                <w:rFonts w:asciiTheme="minorHAnsi" w:hAnsiTheme="minorHAnsi" w:cstheme="minorHAnsi"/>
              </w:rPr>
              <w:t xml:space="preserve">commenced </w:t>
            </w:r>
            <w:r w:rsidR="00B447D1">
              <w:rPr>
                <w:rFonts w:asciiTheme="minorHAnsi" w:hAnsiTheme="minorHAnsi" w:cstheme="minorHAnsi"/>
              </w:rPr>
              <w:t xml:space="preserve">public </w:t>
            </w:r>
            <w:r w:rsidR="005A2628">
              <w:rPr>
                <w:rFonts w:asciiTheme="minorHAnsi" w:hAnsiTheme="minorHAnsi" w:cstheme="minorHAnsi"/>
              </w:rPr>
              <w:t>consult</w:t>
            </w:r>
            <w:r w:rsidR="001E06A7">
              <w:rPr>
                <w:rFonts w:asciiTheme="minorHAnsi" w:hAnsiTheme="minorHAnsi" w:cstheme="minorHAnsi"/>
              </w:rPr>
              <w:t>ation</w:t>
            </w:r>
            <w:r w:rsidR="005A2628">
              <w:rPr>
                <w:rFonts w:asciiTheme="minorHAnsi" w:hAnsiTheme="minorHAnsi" w:cstheme="minorHAnsi"/>
              </w:rPr>
              <w:t xml:space="preserve"> </w:t>
            </w:r>
            <w:r w:rsidRPr="00CD2AB2">
              <w:rPr>
                <w:rFonts w:asciiTheme="minorHAnsi" w:hAnsiTheme="minorHAnsi" w:cstheme="minorHAnsi"/>
              </w:rPr>
              <w:t xml:space="preserve">on </w:t>
            </w:r>
            <w:r w:rsidR="000F4E73">
              <w:rPr>
                <w:rFonts w:asciiTheme="minorHAnsi" w:hAnsiTheme="minorHAnsi" w:cstheme="minorHAnsi"/>
              </w:rPr>
              <w:t>CDR</w:t>
            </w:r>
            <w:r w:rsidRPr="00CD2AB2">
              <w:rPr>
                <w:rFonts w:asciiTheme="minorHAnsi" w:hAnsiTheme="minorHAnsi" w:cstheme="minorHAnsi"/>
              </w:rPr>
              <w:t xml:space="preserve"> consent</w:t>
            </w:r>
            <w:r w:rsidR="000F4E73">
              <w:rPr>
                <w:rFonts w:asciiTheme="minorHAnsi" w:hAnsiTheme="minorHAnsi" w:cstheme="minorHAnsi"/>
              </w:rPr>
              <w:t>s</w:t>
            </w:r>
            <w:r w:rsidRPr="00CD2AB2">
              <w:rPr>
                <w:rFonts w:asciiTheme="minorHAnsi" w:hAnsiTheme="minorHAnsi" w:cstheme="minorHAnsi"/>
              </w:rPr>
              <w:t xml:space="preserve"> </w:t>
            </w:r>
            <w:r w:rsidR="001E06A7">
              <w:rPr>
                <w:rFonts w:asciiTheme="minorHAnsi" w:hAnsiTheme="minorHAnsi" w:cstheme="minorHAnsi"/>
              </w:rPr>
              <w:t xml:space="preserve">and will </w:t>
            </w:r>
            <w:r w:rsidR="00597BCD">
              <w:rPr>
                <w:rFonts w:asciiTheme="minorHAnsi" w:hAnsiTheme="minorHAnsi" w:cstheme="minorHAnsi"/>
              </w:rPr>
              <w:t xml:space="preserve">soon </w:t>
            </w:r>
            <w:r w:rsidRPr="00CD2AB2">
              <w:rPr>
                <w:rFonts w:asciiTheme="minorHAnsi" w:hAnsiTheme="minorHAnsi" w:cstheme="minorHAnsi"/>
              </w:rPr>
              <w:t>release a Design Paper to further consult on consent change proposals.</w:t>
            </w:r>
            <w:r w:rsidRPr="00CD2AB2">
              <w:rPr>
                <w:rFonts w:cstheme="minorHAnsi"/>
              </w:rPr>
              <w:t xml:space="preserve"> </w:t>
            </w:r>
          </w:p>
        </w:tc>
      </w:tr>
      <w:tr w:rsidR="00F213C2" w:rsidRPr="00CD2AB2" w14:paraId="1A80AD2C" w14:textId="77777777" w:rsidTr="00341388">
        <w:trPr>
          <w:cnfStyle w:val="000000010000" w:firstRow="0" w:lastRow="0" w:firstColumn="0" w:lastColumn="0" w:oddVBand="0" w:evenVBand="0" w:oddHBand="0" w:evenHBand="1" w:firstRowFirstColumn="0" w:firstRowLastColumn="0" w:lastRowFirstColumn="0" w:lastRowLastColumn="0"/>
          <w:cantSplit/>
        </w:trPr>
        <w:tc>
          <w:tcPr>
            <w:tcW w:w="5613" w:type="dxa"/>
            <w:shd w:val="clear" w:color="auto" w:fill="auto"/>
            <w:vAlign w:val="top"/>
          </w:tcPr>
          <w:p w14:paraId="33A90531" w14:textId="0E5FED5C" w:rsidR="000F40F7" w:rsidRPr="00C82B9C" w:rsidRDefault="000F40F7" w:rsidP="000F40F7">
            <w:pPr>
              <w:spacing w:before="0"/>
              <w:ind w:left="6" w:hanging="6"/>
              <w:rPr>
                <w:rFonts w:asciiTheme="minorHAnsi" w:hAnsiTheme="minorHAnsi" w:cstheme="minorHAnsi"/>
                <w:b/>
                <w:bCs/>
                <w:sz w:val="22"/>
                <w:szCs w:val="22"/>
                <w:lang w:val="en-AU"/>
              </w:rPr>
            </w:pPr>
            <w:r w:rsidRPr="00CD2AB2">
              <w:rPr>
                <w:rFonts w:asciiTheme="minorHAnsi" w:hAnsiTheme="minorHAnsi" w:cstheme="minorHAnsi"/>
                <w:b/>
                <w:szCs w:val="22"/>
              </w:rPr>
              <w:lastRenderedPageBreak/>
              <w:t>2.3 – Complexity associated with rules and standards for participants</w:t>
            </w:r>
          </w:p>
          <w:p w14:paraId="2FA06ED9" w14:textId="2FAA4F17" w:rsidR="000F40F7" w:rsidRPr="00C82B9C" w:rsidRDefault="000F40F7" w:rsidP="000F40F7">
            <w:pPr>
              <w:spacing w:before="0"/>
              <w:ind w:left="6" w:hanging="6"/>
              <w:rPr>
                <w:rFonts w:asciiTheme="minorHAnsi" w:hAnsiTheme="minorHAnsi" w:cstheme="minorHAnsi"/>
                <w:sz w:val="22"/>
                <w:szCs w:val="22"/>
                <w:vertAlign w:val="subscript"/>
                <w:lang w:val="en-AU"/>
              </w:rPr>
            </w:pPr>
            <w:r w:rsidRPr="00CD2AB2">
              <w:rPr>
                <w:rFonts w:asciiTheme="minorHAnsi" w:hAnsiTheme="minorHAnsi" w:cstheme="minorHAnsi"/>
                <w:szCs w:val="22"/>
              </w:rPr>
              <w:t xml:space="preserve">The Review heard from participants that their experience in the CDR has been compliance </w:t>
            </w:r>
            <w:proofErr w:type="spellStart"/>
            <w:r w:rsidRPr="00CD2AB2">
              <w:rPr>
                <w:rFonts w:asciiTheme="minorHAnsi" w:hAnsiTheme="minorHAnsi" w:cstheme="minorHAnsi"/>
                <w:szCs w:val="22"/>
              </w:rPr>
              <w:t>focussed</w:t>
            </w:r>
            <w:proofErr w:type="spellEnd"/>
            <w:r w:rsidRPr="00CD2AB2">
              <w:rPr>
                <w:rFonts w:asciiTheme="minorHAnsi" w:hAnsiTheme="minorHAnsi" w:cstheme="minorHAnsi"/>
                <w:szCs w:val="22"/>
              </w:rPr>
              <w:t xml:space="preserve"> to date. Concerns were raised by participants about complex and overly prescriptive rules and standards that have prevented them from focusing on developing new products and services. As the system develops and matures, including through the introduction of action initiation, consideration should be given to ways that implementation can reduce the complexity associated with rules and standards for participants.</w:t>
            </w:r>
          </w:p>
        </w:tc>
        <w:tc>
          <w:tcPr>
            <w:tcW w:w="3628" w:type="dxa"/>
            <w:shd w:val="clear" w:color="auto" w:fill="auto"/>
            <w:vAlign w:val="top"/>
          </w:tcPr>
          <w:p w14:paraId="7A3DEE24" w14:textId="77777777" w:rsidR="006B451F" w:rsidRDefault="000F40F7" w:rsidP="000F40F7">
            <w:pPr>
              <w:pStyle w:val="BodyText"/>
              <w:spacing w:before="0" w:after="120"/>
              <w:ind w:left="6" w:hanging="6"/>
              <w:rPr>
                <w:rFonts w:asciiTheme="minorHAnsi" w:hAnsiTheme="minorHAnsi" w:cstheme="minorHAnsi"/>
              </w:rPr>
            </w:pPr>
            <w:r w:rsidRPr="00CD2AB2">
              <w:rPr>
                <w:rFonts w:asciiTheme="minorHAnsi" w:hAnsiTheme="minorHAnsi" w:cstheme="minorHAnsi"/>
                <w:b/>
              </w:rPr>
              <w:t>Noted.</w:t>
            </w:r>
            <w:r w:rsidRPr="00CD2AB2">
              <w:rPr>
                <w:rFonts w:asciiTheme="minorHAnsi" w:hAnsiTheme="minorHAnsi" w:cstheme="minorHAnsi"/>
              </w:rPr>
              <w:t xml:space="preserve"> </w:t>
            </w:r>
          </w:p>
          <w:p w14:paraId="38C93846" w14:textId="01ECF349" w:rsidR="000F40F7" w:rsidRPr="00C82B9C" w:rsidRDefault="000F40F7" w:rsidP="000F40F7">
            <w:pPr>
              <w:pStyle w:val="BodyText"/>
              <w:spacing w:before="0" w:after="120"/>
              <w:ind w:left="6" w:hanging="6"/>
              <w:rPr>
                <w:rFonts w:asciiTheme="minorHAnsi" w:hAnsiTheme="minorHAnsi" w:cstheme="minorHAnsi"/>
                <w:sz w:val="22"/>
                <w:szCs w:val="22"/>
                <w:lang w:val="en-AU"/>
              </w:rPr>
            </w:pPr>
            <w:r w:rsidRPr="00CD2AB2">
              <w:rPr>
                <w:rFonts w:asciiTheme="minorHAnsi" w:hAnsiTheme="minorHAnsi" w:cstheme="minorHAnsi"/>
              </w:rPr>
              <w:t xml:space="preserve">Refer to the Government response to Recommendation 1.4. </w:t>
            </w:r>
          </w:p>
        </w:tc>
      </w:tr>
      <w:tr w:rsidR="00F213C2" w:rsidRPr="00CD2AB2" w14:paraId="53709AB2" w14:textId="77777777" w:rsidTr="00341388">
        <w:trPr>
          <w:cnfStyle w:val="000000100000" w:firstRow="0" w:lastRow="0" w:firstColumn="0" w:lastColumn="0" w:oddVBand="0" w:evenVBand="0" w:oddHBand="1" w:evenHBand="0" w:firstRowFirstColumn="0" w:firstRowLastColumn="0" w:lastRowFirstColumn="0" w:lastRowLastColumn="0"/>
          <w:cantSplit/>
        </w:trPr>
        <w:tc>
          <w:tcPr>
            <w:tcW w:w="5613" w:type="dxa"/>
            <w:shd w:val="clear" w:color="auto" w:fill="auto"/>
            <w:vAlign w:val="top"/>
          </w:tcPr>
          <w:p w14:paraId="100A1660" w14:textId="38B02F1C" w:rsidR="000F40F7" w:rsidRPr="00C82B9C" w:rsidRDefault="000F40F7" w:rsidP="000F40F7">
            <w:pPr>
              <w:spacing w:before="0"/>
              <w:ind w:left="6" w:hanging="6"/>
              <w:rPr>
                <w:rFonts w:asciiTheme="minorHAnsi" w:hAnsiTheme="minorHAnsi" w:cstheme="minorHAnsi"/>
                <w:b/>
                <w:bCs/>
                <w:sz w:val="22"/>
                <w:szCs w:val="22"/>
                <w:lang w:val="en-AU"/>
              </w:rPr>
            </w:pPr>
            <w:r w:rsidRPr="00CD2AB2">
              <w:rPr>
                <w:rFonts w:asciiTheme="minorHAnsi" w:hAnsiTheme="minorHAnsi" w:cstheme="minorHAnsi"/>
                <w:b/>
                <w:szCs w:val="22"/>
              </w:rPr>
              <w:t>2.4 – Monitor participation and uptake of new CDR access pathways, such as the representative and sponsor-affiliate model</w:t>
            </w:r>
          </w:p>
          <w:p w14:paraId="340B861D" w14:textId="18D0744B" w:rsidR="000F40F7" w:rsidRPr="00C82B9C" w:rsidRDefault="000F40F7" w:rsidP="000F40F7">
            <w:pPr>
              <w:spacing w:before="0"/>
              <w:ind w:left="6" w:hanging="6"/>
              <w:rPr>
                <w:rFonts w:asciiTheme="minorHAnsi" w:hAnsiTheme="minorHAnsi" w:cstheme="minorHAnsi"/>
                <w:sz w:val="22"/>
                <w:szCs w:val="22"/>
                <w:vertAlign w:val="subscript"/>
                <w:lang w:val="en-AU"/>
              </w:rPr>
            </w:pPr>
            <w:r w:rsidRPr="00CD2AB2">
              <w:rPr>
                <w:rFonts w:asciiTheme="minorHAnsi" w:hAnsiTheme="minorHAnsi" w:cstheme="minorHAnsi"/>
                <w:szCs w:val="22"/>
              </w:rPr>
              <w:t>The introduction of new access pathways, such as the representative and sponsor-affiliate model, has increased available avenues for participation in the CDR. Government should monitor participation and uptake to ensure settings remain appropriate. If a particular model or pathway has low uptake, further exploration should be done to understand why it is not being used and to affirm that liability settings are meeting desired policy outcomes.</w:t>
            </w:r>
          </w:p>
        </w:tc>
        <w:tc>
          <w:tcPr>
            <w:tcW w:w="3628" w:type="dxa"/>
            <w:shd w:val="clear" w:color="auto" w:fill="auto"/>
            <w:vAlign w:val="top"/>
          </w:tcPr>
          <w:p w14:paraId="3FE03DA5" w14:textId="77777777" w:rsidR="00242F4D" w:rsidRDefault="19D5174E" w:rsidP="296BBA97">
            <w:pPr>
              <w:pStyle w:val="BodyText"/>
              <w:spacing w:before="0" w:after="120"/>
              <w:ind w:left="6" w:hanging="6"/>
              <w:rPr>
                <w:rFonts w:asciiTheme="minorHAnsi" w:hAnsiTheme="minorHAnsi"/>
              </w:rPr>
            </w:pPr>
            <w:r w:rsidRPr="00CD2AB2">
              <w:rPr>
                <w:rFonts w:asciiTheme="minorHAnsi" w:hAnsiTheme="minorHAnsi"/>
                <w:b/>
              </w:rPr>
              <w:t>Noted.</w:t>
            </w:r>
            <w:r w:rsidRPr="00CD2AB2">
              <w:rPr>
                <w:rFonts w:asciiTheme="minorHAnsi" w:hAnsiTheme="minorHAnsi"/>
              </w:rPr>
              <w:t xml:space="preserve"> </w:t>
            </w:r>
          </w:p>
          <w:p w14:paraId="3924CA45" w14:textId="2B5A3CEE" w:rsidR="000F40F7" w:rsidRPr="00C82B9C" w:rsidRDefault="005D15B6" w:rsidP="296BBA97">
            <w:pPr>
              <w:pStyle w:val="BodyText"/>
              <w:spacing w:before="0" w:after="120"/>
              <w:ind w:left="6" w:hanging="6"/>
              <w:rPr>
                <w:rFonts w:asciiTheme="minorHAnsi" w:hAnsiTheme="minorHAnsi"/>
                <w:sz w:val="22"/>
                <w:szCs w:val="22"/>
                <w:lang w:val="en-AU"/>
              </w:rPr>
            </w:pPr>
            <w:r w:rsidRPr="00CD2AB2">
              <w:rPr>
                <w:rFonts w:asciiTheme="minorHAnsi" w:hAnsiTheme="minorHAnsi"/>
              </w:rPr>
              <w:t>CDR agencies</w:t>
            </w:r>
            <w:r w:rsidR="19D5174E" w:rsidRPr="00CD2AB2">
              <w:rPr>
                <w:rFonts w:asciiTheme="minorHAnsi" w:hAnsiTheme="minorHAnsi"/>
              </w:rPr>
              <w:t xml:space="preserve"> will monitor participation and uptake to ensure settings remain appropriate, including to consider the cyber security risks that these access pathways may create.</w:t>
            </w:r>
          </w:p>
        </w:tc>
      </w:tr>
      <w:tr w:rsidR="00F213C2" w:rsidRPr="00CD2AB2" w14:paraId="4CAF147B" w14:textId="77777777" w:rsidTr="00341388">
        <w:trPr>
          <w:cnfStyle w:val="000000010000" w:firstRow="0" w:lastRow="0" w:firstColumn="0" w:lastColumn="0" w:oddVBand="0" w:evenVBand="0" w:oddHBand="0" w:evenHBand="1" w:firstRowFirstColumn="0" w:firstRowLastColumn="0" w:lastRowFirstColumn="0" w:lastRowLastColumn="0"/>
          <w:cantSplit/>
        </w:trPr>
        <w:tc>
          <w:tcPr>
            <w:tcW w:w="5613" w:type="dxa"/>
            <w:shd w:val="clear" w:color="auto" w:fill="auto"/>
            <w:vAlign w:val="top"/>
          </w:tcPr>
          <w:p w14:paraId="5312C94D" w14:textId="1F8F1F6C" w:rsidR="000F40F7" w:rsidRPr="00C82B9C" w:rsidRDefault="000F40F7" w:rsidP="000F40F7">
            <w:pPr>
              <w:spacing w:before="0"/>
              <w:ind w:left="6" w:hanging="6"/>
              <w:rPr>
                <w:rFonts w:asciiTheme="minorHAnsi" w:hAnsiTheme="minorHAnsi" w:cstheme="minorHAnsi"/>
                <w:b/>
                <w:bCs/>
                <w:sz w:val="22"/>
                <w:szCs w:val="22"/>
                <w:lang w:val="en-AU"/>
              </w:rPr>
            </w:pPr>
            <w:r w:rsidRPr="00CD2AB2">
              <w:rPr>
                <w:rFonts w:asciiTheme="minorHAnsi" w:hAnsiTheme="minorHAnsi" w:cstheme="minorHAnsi"/>
                <w:b/>
                <w:szCs w:val="22"/>
              </w:rPr>
              <w:t>2.5 – Monitor reciprocal data holder obligations</w:t>
            </w:r>
          </w:p>
          <w:p w14:paraId="656031A8" w14:textId="7760AE7C" w:rsidR="000F40F7" w:rsidRPr="00C82B9C" w:rsidRDefault="000F40F7" w:rsidP="000F40F7">
            <w:pPr>
              <w:spacing w:before="0"/>
              <w:ind w:left="6" w:hanging="6"/>
              <w:rPr>
                <w:rFonts w:asciiTheme="minorHAnsi" w:hAnsiTheme="minorHAnsi" w:cstheme="minorHAnsi"/>
                <w:sz w:val="22"/>
                <w:szCs w:val="22"/>
                <w:vertAlign w:val="subscript"/>
                <w:lang w:val="en-AU"/>
              </w:rPr>
            </w:pPr>
            <w:r w:rsidRPr="00CD2AB2">
              <w:rPr>
                <w:rFonts w:asciiTheme="minorHAnsi" w:hAnsiTheme="minorHAnsi" w:cstheme="minorHAnsi"/>
                <w:szCs w:val="22"/>
              </w:rPr>
              <w:t xml:space="preserve"> As the CDR gains momentum and the incentives to participate increase, reciprocal data holder obligations should be monitored to ensure they are appropriately supporting the growth of a vibrant CDR ecosystem.</w:t>
            </w:r>
          </w:p>
        </w:tc>
        <w:tc>
          <w:tcPr>
            <w:tcW w:w="3628" w:type="dxa"/>
            <w:shd w:val="clear" w:color="auto" w:fill="auto"/>
            <w:vAlign w:val="top"/>
          </w:tcPr>
          <w:p w14:paraId="4032738E" w14:textId="77777777" w:rsidR="00242F4D" w:rsidRDefault="000F40F7" w:rsidP="000F40F7">
            <w:pPr>
              <w:pStyle w:val="BodyText"/>
              <w:spacing w:before="0" w:after="120"/>
              <w:ind w:left="6" w:hanging="6"/>
              <w:rPr>
                <w:rFonts w:asciiTheme="minorHAnsi" w:hAnsiTheme="minorHAnsi" w:cstheme="minorHAnsi"/>
              </w:rPr>
            </w:pPr>
            <w:r w:rsidRPr="00CD2AB2">
              <w:rPr>
                <w:rFonts w:asciiTheme="minorHAnsi" w:hAnsiTheme="minorHAnsi" w:cstheme="minorHAnsi"/>
                <w:b/>
              </w:rPr>
              <w:t>Noted.</w:t>
            </w:r>
            <w:r w:rsidRPr="00CD2AB2">
              <w:rPr>
                <w:rFonts w:asciiTheme="minorHAnsi" w:hAnsiTheme="minorHAnsi" w:cstheme="minorHAnsi"/>
              </w:rPr>
              <w:t xml:space="preserve"> </w:t>
            </w:r>
          </w:p>
          <w:p w14:paraId="365DEF38" w14:textId="18A9ABD9" w:rsidR="000F40F7" w:rsidRPr="00C82B9C" w:rsidRDefault="000F40F7" w:rsidP="000F40F7">
            <w:pPr>
              <w:pStyle w:val="BodyText"/>
              <w:spacing w:before="0" w:after="120"/>
              <w:ind w:left="6" w:hanging="6"/>
              <w:rPr>
                <w:rFonts w:asciiTheme="minorHAnsi" w:hAnsiTheme="minorHAnsi" w:cstheme="minorHAnsi"/>
                <w:sz w:val="22"/>
                <w:szCs w:val="22"/>
                <w:lang w:val="en-AU"/>
              </w:rPr>
            </w:pPr>
            <w:r w:rsidRPr="00CD2AB2">
              <w:rPr>
                <w:rFonts w:asciiTheme="minorHAnsi" w:hAnsiTheme="minorHAnsi" w:cstheme="minorHAnsi"/>
              </w:rPr>
              <w:t xml:space="preserve">Treasury will monitor reciprocal data holder obligations as the system grows. </w:t>
            </w:r>
          </w:p>
        </w:tc>
      </w:tr>
      <w:tr w:rsidR="00F213C2" w:rsidRPr="00CD2AB2" w14:paraId="4931CF8B" w14:textId="77777777" w:rsidTr="00341388">
        <w:trPr>
          <w:cnfStyle w:val="000000100000" w:firstRow="0" w:lastRow="0" w:firstColumn="0" w:lastColumn="0" w:oddVBand="0" w:evenVBand="0" w:oddHBand="1" w:evenHBand="0" w:firstRowFirstColumn="0" w:firstRowLastColumn="0" w:lastRowFirstColumn="0" w:lastRowLastColumn="0"/>
          <w:cantSplit/>
        </w:trPr>
        <w:tc>
          <w:tcPr>
            <w:tcW w:w="5613" w:type="dxa"/>
            <w:shd w:val="clear" w:color="auto" w:fill="auto"/>
            <w:vAlign w:val="top"/>
          </w:tcPr>
          <w:p w14:paraId="18A6558D" w14:textId="1376C8C7" w:rsidR="000F40F7" w:rsidRPr="00C82B9C" w:rsidRDefault="000F40F7" w:rsidP="000F40F7">
            <w:pPr>
              <w:spacing w:before="0"/>
              <w:ind w:left="6" w:hanging="6"/>
              <w:rPr>
                <w:rFonts w:asciiTheme="minorHAnsi" w:hAnsiTheme="minorHAnsi" w:cstheme="minorHAnsi"/>
                <w:b/>
                <w:bCs/>
                <w:sz w:val="22"/>
                <w:szCs w:val="22"/>
                <w:lang w:val="en-AU"/>
              </w:rPr>
            </w:pPr>
            <w:r w:rsidRPr="00CD2AB2">
              <w:rPr>
                <w:rFonts w:asciiTheme="minorHAnsi" w:hAnsiTheme="minorHAnsi" w:cstheme="minorHAnsi"/>
                <w:b/>
                <w:szCs w:val="22"/>
              </w:rPr>
              <w:t xml:space="preserve">3.1 – Small business participation in CDR </w:t>
            </w:r>
          </w:p>
          <w:p w14:paraId="60754AF0" w14:textId="69AFCF08" w:rsidR="000F40F7" w:rsidRPr="00C82B9C" w:rsidRDefault="000F40F7" w:rsidP="000F40F7">
            <w:pPr>
              <w:spacing w:before="0"/>
              <w:ind w:left="6" w:hanging="6"/>
              <w:rPr>
                <w:rFonts w:asciiTheme="minorHAnsi" w:hAnsiTheme="minorHAnsi" w:cstheme="minorHAnsi"/>
                <w:sz w:val="22"/>
                <w:szCs w:val="22"/>
                <w:vertAlign w:val="subscript"/>
                <w:lang w:val="en-AU"/>
              </w:rPr>
            </w:pPr>
            <w:r w:rsidRPr="00CD2AB2">
              <w:rPr>
                <w:rFonts w:asciiTheme="minorHAnsi" w:hAnsiTheme="minorHAnsi" w:cstheme="minorHAnsi"/>
                <w:szCs w:val="22"/>
              </w:rPr>
              <w:t>The CDR has the potential to provide benefits to millions of small businesses across Australia but, at present, participation is low. The Government should consider settings to facilitate small business participation, such as consent durations, data handling and deletion setting requirements. Derived data settings should also be revisited to ensure that they remain appropriately calibrated and reflective of data disclosure needs and uses.</w:t>
            </w:r>
          </w:p>
        </w:tc>
        <w:tc>
          <w:tcPr>
            <w:tcW w:w="3628" w:type="dxa"/>
            <w:shd w:val="clear" w:color="auto" w:fill="auto"/>
            <w:vAlign w:val="top"/>
          </w:tcPr>
          <w:p w14:paraId="7C735DAE" w14:textId="77777777" w:rsidR="00242F4D" w:rsidRDefault="000F40F7" w:rsidP="000F40F7">
            <w:pPr>
              <w:pStyle w:val="BodyText"/>
              <w:spacing w:before="0" w:after="120"/>
              <w:ind w:left="6" w:hanging="6"/>
              <w:rPr>
                <w:rFonts w:asciiTheme="minorHAnsi" w:hAnsiTheme="minorHAnsi" w:cstheme="minorHAnsi"/>
              </w:rPr>
            </w:pPr>
            <w:r w:rsidRPr="00CD2AB2">
              <w:rPr>
                <w:rFonts w:asciiTheme="minorHAnsi" w:hAnsiTheme="minorHAnsi" w:cstheme="minorHAnsi"/>
                <w:b/>
              </w:rPr>
              <w:t>Noted.</w:t>
            </w:r>
            <w:r w:rsidRPr="00CD2AB2">
              <w:rPr>
                <w:rFonts w:asciiTheme="minorHAnsi" w:hAnsiTheme="minorHAnsi" w:cstheme="minorHAnsi"/>
              </w:rPr>
              <w:t xml:space="preserve"> </w:t>
            </w:r>
          </w:p>
          <w:p w14:paraId="0EC8D220" w14:textId="6A87F29D" w:rsidR="000F40F7" w:rsidRPr="00C82B9C" w:rsidRDefault="000F40F7" w:rsidP="000F40F7">
            <w:pPr>
              <w:pStyle w:val="BodyText"/>
              <w:spacing w:before="0" w:after="120"/>
              <w:ind w:left="6" w:hanging="6"/>
              <w:rPr>
                <w:rFonts w:asciiTheme="minorHAnsi" w:hAnsiTheme="minorHAnsi" w:cstheme="minorHAnsi"/>
                <w:sz w:val="22"/>
                <w:szCs w:val="22"/>
                <w:lang w:val="en-AU"/>
              </w:rPr>
            </w:pPr>
            <w:r w:rsidRPr="00CD2AB2">
              <w:rPr>
                <w:rFonts w:asciiTheme="minorHAnsi" w:hAnsiTheme="minorHAnsi" w:cstheme="minorHAnsi"/>
              </w:rPr>
              <w:t>Refer to the Government response to Recommendation 3.1.</w:t>
            </w:r>
          </w:p>
        </w:tc>
      </w:tr>
      <w:tr w:rsidR="00F213C2" w:rsidRPr="00CD2AB2" w14:paraId="442B4CA8" w14:textId="77777777" w:rsidTr="00341388">
        <w:trPr>
          <w:cnfStyle w:val="000000010000" w:firstRow="0" w:lastRow="0" w:firstColumn="0" w:lastColumn="0" w:oddVBand="0" w:evenVBand="0" w:oddHBand="0" w:evenHBand="1" w:firstRowFirstColumn="0" w:firstRowLastColumn="0" w:lastRowFirstColumn="0" w:lastRowLastColumn="0"/>
          <w:cantSplit/>
        </w:trPr>
        <w:tc>
          <w:tcPr>
            <w:tcW w:w="5613" w:type="dxa"/>
            <w:shd w:val="clear" w:color="auto" w:fill="auto"/>
            <w:vAlign w:val="top"/>
          </w:tcPr>
          <w:p w14:paraId="34CC773B" w14:textId="6C7B5712" w:rsidR="000F40F7" w:rsidRPr="00C82B9C" w:rsidRDefault="19D5174E" w:rsidP="296BBA97">
            <w:pPr>
              <w:spacing w:before="0"/>
              <w:ind w:left="6" w:hanging="6"/>
              <w:rPr>
                <w:rFonts w:asciiTheme="minorHAnsi" w:hAnsiTheme="minorHAnsi" w:cstheme="minorBidi"/>
                <w:b/>
                <w:bCs/>
                <w:sz w:val="22"/>
                <w:szCs w:val="22"/>
                <w:lang w:val="en-AU"/>
              </w:rPr>
            </w:pPr>
            <w:r w:rsidRPr="00CD2AB2">
              <w:rPr>
                <w:rFonts w:asciiTheme="minorHAnsi" w:hAnsiTheme="minorHAnsi" w:cstheme="minorBidi"/>
                <w:b/>
                <w:szCs w:val="22"/>
              </w:rPr>
              <w:t xml:space="preserve">3.2 – Consumer identification </w:t>
            </w:r>
          </w:p>
          <w:p w14:paraId="277136E3" w14:textId="3CB632ED" w:rsidR="000F40F7" w:rsidRPr="00C82B9C" w:rsidRDefault="000F40F7" w:rsidP="000F40F7">
            <w:pPr>
              <w:spacing w:before="0"/>
              <w:ind w:left="6" w:hanging="6"/>
              <w:rPr>
                <w:rFonts w:asciiTheme="minorHAnsi" w:hAnsiTheme="minorHAnsi" w:cstheme="minorHAnsi"/>
                <w:sz w:val="22"/>
                <w:szCs w:val="22"/>
                <w:vertAlign w:val="subscript"/>
                <w:lang w:val="en-AU"/>
              </w:rPr>
            </w:pPr>
            <w:r w:rsidRPr="00CD2AB2">
              <w:rPr>
                <w:rFonts w:asciiTheme="minorHAnsi" w:hAnsiTheme="minorHAnsi" w:cstheme="minorHAnsi"/>
                <w:szCs w:val="22"/>
              </w:rPr>
              <w:t xml:space="preserve">Expanding the CDR to deliver cross-sectoral use cases will require a method of consumer identification that spans different sectors and interactions. This will require </w:t>
            </w:r>
            <w:proofErr w:type="spellStart"/>
            <w:r w:rsidRPr="00CD2AB2">
              <w:rPr>
                <w:rFonts w:asciiTheme="minorHAnsi" w:hAnsiTheme="minorHAnsi" w:cstheme="minorHAnsi"/>
                <w:szCs w:val="22"/>
              </w:rPr>
              <w:t>utilisation</w:t>
            </w:r>
            <w:proofErr w:type="spellEnd"/>
            <w:r w:rsidRPr="00CD2AB2">
              <w:rPr>
                <w:rFonts w:asciiTheme="minorHAnsi" w:hAnsiTheme="minorHAnsi" w:cstheme="minorHAnsi"/>
                <w:szCs w:val="22"/>
              </w:rPr>
              <w:t xml:space="preserve"> of identity solutions beyond the existing unique identifiers adopted in energy, financial and telecommunications sectors to enable seamless user experiences.</w:t>
            </w:r>
          </w:p>
        </w:tc>
        <w:tc>
          <w:tcPr>
            <w:tcW w:w="3628" w:type="dxa"/>
            <w:shd w:val="clear" w:color="auto" w:fill="auto"/>
            <w:vAlign w:val="top"/>
          </w:tcPr>
          <w:p w14:paraId="06CB8962" w14:textId="77777777" w:rsidR="00242F4D" w:rsidRDefault="19D5174E" w:rsidP="00047D8B">
            <w:pPr>
              <w:pStyle w:val="BodyText"/>
              <w:spacing w:before="0" w:after="120"/>
              <w:ind w:left="6" w:hanging="6"/>
              <w:rPr>
                <w:rFonts w:asciiTheme="minorHAnsi" w:hAnsiTheme="minorHAnsi"/>
              </w:rPr>
            </w:pPr>
            <w:r w:rsidRPr="00CD2AB2">
              <w:rPr>
                <w:rFonts w:asciiTheme="minorHAnsi" w:hAnsiTheme="minorHAnsi"/>
                <w:b/>
              </w:rPr>
              <w:t>Noted.</w:t>
            </w:r>
            <w:r w:rsidRPr="00CD2AB2">
              <w:rPr>
                <w:rFonts w:asciiTheme="minorHAnsi" w:hAnsiTheme="minorHAnsi"/>
              </w:rPr>
              <w:t xml:space="preserve"> </w:t>
            </w:r>
          </w:p>
          <w:p w14:paraId="3D536A8C" w14:textId="70DDC495" w:rsidR="00002546" w:rsidRPr="00C82B9C" w:rsidRDefault="19D5174E" w:rsidP="00047D8B">
            <w:pPr>
              <w:pStyle w:val="BodyText"/>
              <w:spacing w:before="0" w:after="120"/>
              <w:ind w:left="6" w:hanging="6"/>
              <w:rPr>
                <w:rFonts w:asciiTheme="minorHAnsi" w:hAnsiTheme="minorHAnsi"/>
                <w:sz w:val="22"/>
                <w:szCs w:val="22"/>
                <w:lang w:val="en-AU"/>
              </w:rPr>
            </w:pPr>
            <w:r w:rsidRPr="00CD2AB2">
              <w:rPr>
                <w:rFonts w:asciiTheme="minorHAnsi" w:hAnsiTheme="minorHAnsi"/>
              </w:rPr>
              <w:t>Treasury will continue to engage with the relevant Government agencies</w:t>
            </w:r>
            <w:r w:rsidR="00047D8B" w:rsidRPr="00CD2AB2">
              <w:rPr>
                <w:rFonts w:asciiTheme="minorHAnsi" w:hAnsiTheme="minorHAnsi"/>
              </w:rPr>
              <w:t xml:space="preserve"> and the private sector</w:t>
            </w:r>
            <w:r w:rsidRPr="00CD2AB2">
              <w:rPr>
                <w:rFonts w:asciiTheme="minorHAnsi" w:hAnsiTheme="minorHAnsi"/>
              </w:rPr>
              <w:t xml:space="preserve"> to understand opportunities for the CDR and the Trusted Digital Identity Framework</w:t>
            </w:r>
            <w:r w:rsidR="001656FF" w:rsidRPr="00CD2AB2">
              <w:rPr>
                <w:rFonts w:asciiTheme="minorHAnsi" w:hAnsiTheme="minorHAnsi"/>
              </w:rPr>
              <w:t xml:space="preserve">. Work </w:t>
            </w:r>
            <w:r w:rsidR="005B122F" w:rsidRPr="00CD2AB2">
              <w:rPr>
                <w:rFonts w:asciiTheme="minorHAnsi" w:hAnsiTheme="minorHAnsi"/>
              </w:rPr>
              <w:t>will include examining opportunities to leverage</w:t>
            </w:r>
            <w:r w:rsidR="001656FF" w:rsidRPr="00CD2AB2">
              <w:rPr>
                <w:rFonts w:asciiTheme="minorHAnsi" w:hAnsiTheme="minorHAnsi"/>
              </w:rPr>
              <w:t xml:space="preserve"> new</w:t>
            </w:r>
            <w:r w:rsidR="005B122F" w:rsidRPr="00CD2AB2">
              <w:rPr>
                <w:rFonts w:asciiTheme="minorHAnsi" w:hAnsiTheme="minorHAnsi"/>
              </w:rPr>
              <w:t xml:space="preserve"> identity verification solutions, such as Digital ID</w:t>
            </w:r>
            <w:r w:rsidR="00002546" w:rsidRPr="00CD2AB2">
              <w:rPr>
                <w:rFonts w:asciiTheme="minorHAnsi" w:hAnsiTheme="minorHAnsi"/>
              </w:rPr>
              <w:t>.</w:t>
            </w:r>
          </w:p>
        </w:tc>
      </w:tr>
      <w:tr w:rsidR="00F213C2" w:rsidRPr="00CD2AB2" w14:paraId="37476064" w14:textId="77777777" w:rsidTr="00341388">
        <w:trPr>
          <w:cnfStyle w:val="000000100000" w:firstRow="0" w:lastRow="0" w:firstColumn="0" w:lastColumn="0" w:oddVBand="0" w:evenVBand="0" w:oddHBand="1" w:evenHBand="0" w:firstRowFirstColumn="0" w:firstRowLastColumn="0" w:lastRowFirstColumn="0" w:lastRowLastColumn="0"/>
          <w:cantSplit/>
        </w:trPr>
        <w:tc>
          <w:tcPr>
            <w:tcW w:w="5613" w:type="dxa"/>
            <w:shd w:val="clear" w:color="auto" w:fill="auto"/>
            <w:vAlign w:val="top"/>
          </w:tcPr>
          <w:p w14:paraId="61C389EE" w14:textId="41CC0C8F" w:rsidR="000F40F7" w:rsidRPr="00C82B9C" w:rsidRDefault="000F40F7" w:rsidP="000F40F7">
            <w:pPr>
              <w:spacing w:before="0"/>
              <w:ind w:left="6" w:hanging="6"/>
              <w:rPr>
                <w:rFonts w:asciiTheme="minorHAnsi" w:hAnsiTheme="minorHAnsi" w:cstheme="minorHAnsi"/>
                <w:b/>
                <w:bCs/>
                <w:sz w:val="22"/>
                <w:szCs w:val="22"/>
                <w:lang w:val="en-AU"/>
              </w:rPr>
            </w:pPr>
            <w:r w:rsidRPr="00CD2AB2">
              <w:rPr>
                <w:rFonts w:asciiTheme="minorHAnsi" w:hAnsiTheme="minorHAnsi" w:cstheme="minorHAnsi"/>
                <w:b/>
                <w:szCs w:val="22"/>
              </w:rPr>
              <w:lastRenderedPageBreak/>
              <w:t xml:space="preserve">3.3 – The CDR as an internationally interoperable data portability initiative </w:t>
            </w:r>
          </w:p>
          <w:p w14:paraId="508F5911" w14:textId="2C6CB75F" w:rsidR="000F40F7" w:rsidRPr="00C82B9C" w:rsidRDefault="000F40F7" w:rsidP="000F40F7">
            <w:pPr>
              <w:spacing w:before="0"/>
              <w:ind w:left="6" w:hanging="6"/>
              <w:rPr>
                <w:rFonts w:asciiTheme="minorHAnsi" w:hAnsiTheme="minorHAnsi" w:cstheme="minorHAnsi"/>
                <w:sz w:val="22"/>
                <w:szCs w:val="22"/>
                <w:vertAlign w:val="subscript"/>
                <w:lang w:val="en-AU"/>
              </w:rPr>
            </w:pPr>
            <w:proofErr w:type="spellStart"/>
            <w:r w:rsidRPr="00CD2AB2">
              <w:rPr>
                <w:rFonts w:asciiTheme="minorHAnsi" w:hAnsiTheme="minorHAnsi" w:cstheme="minorHAnsi"/>
                <w:szCs w:val="22"/>
              </w:rPr>
              <w:t>Prioritising</w:t>
            </w:r>
            <w:proofErr w:type="spellEnd"/>
            <w:r w:rsidRPr="00CD2AB2">
              <w:rPr>
                <w:rFonts w:asciiTheme="minorHAnsi" w:hAnsiTheme="minorHAnsi" w:cstheme="minorHAnsi"/>
                <w:szCs w:val="22"/>
              </w:rPr>
              <w:t xml:space="preserve"> the development of the CDR as an internationally interoperable data portability initiative will deliver significant consumer benefits by way of a greater willingness for participation from international product and service offerings.</w:t>
            </w:r>
          </w:p>
        </w:tc>
        <w:tc>
          <w:tcPr>
            <w:tcW w:w="3628" w:type="dxa"/>
            <w:shd w:val="clear" w:color="auto" w:fill="auto"/>
            <w:vAlign w:val="top"/>
          </w:tcPr>
          <w:p w14:paraId="579102F3" w14:textId="77777777" w:rsidR="00242F4D" w:rsidRDefault="000F40F7" w:rsidP="000F40F7">
            <w:pPr>
              <w:pStyle w:val="BodyText"/>
              <w:spacing w:before="0" w:after="120"/>
              <w:ind w:left="6" w:hanging="6"/>
              <w:rPr>
                <w:rFonts w:asciiTheme="minorHAnsi" w:hAnsiTheme="minorHAnsi" w:cstheme="minorHAnsi"/>
              </w:rPr>
            </w:pPr>
            <w:r w:rsidRPr="00CD2AB2">
              <w:rPr>
                <w:rFonts w:asciiTheme="minorHAnsi" w:hAnsiTheme="minorHAnsi" w:cstheme="minorHAnsi"/>
                <w:b/>
              </w:rPr>
              <w:t>Noted.</w:t>
            </w:r>
            <w:r w:rsidRPr="00CD2AB2">
              <w:rPr>
                <w:rFonts w:asciiTheme="minorHAnsi" w:hAnsiTheme="minorHAnsi" w:cstheme="minorHAnsi"/>
              </w:rPr>
              <w:t xml:space="preserve"> </w:t>
            </w:r>
          </w:p>
          <w:p w14:paraId="2658C9ED" w14:textId="496234D1" w:rsidR="000F40F7" w:rsidRPr="00C82B9C" w:rsidRDefault="000F40F7" w:rsidP="000F40F7">
            <w:pPr>
              <w:pStyle w:val="BodyText"/>
              <w:spacing w:before="0" w:after="120"/>
              <w:ind w:left="6" w:hanging="6"/>
              <w:rPr>
                <w:rFonts w:asciiTheme="minorHAnsi" w:hAnsiTheme="minorHAnsi" w:cstheme="minorHAnsi"/>
                <w:sz w:val="22"/>
                <w:szCs w:val="22"/>
                <w:lang w:val="en-AU"/>
              </w:rPr>
            </w:pPr>
            <w:r w:rsidRPr="00CD2AB2">
              <w:rPr>
                <w:rFonts w:asciiTheme="minorHAnsi" w:hAnsiTheme="minorHAnsi" w:cstheme="minorHAnsi"/>
              </w:rPr>
              <w:t xml:space="preserve">This will be considered in any future work on international interoperability. </w:t>
            </w:r>
          </w:p>
        </w:tc>
      </w:tr>
      <w:tr w:rsidR="00F213C2" w:rsidRPr="00CD2AB2" w14:paraId="6F0E0A16" w14:textId="77777777" w:rsidTr="00341388">
        <w:trPr>
          <w:cnfStyle w:val="000000010000" w:firstRow="0" w:lastRow="0" w:firstColumn="0" w:lastColumn="0" w:oddVBand="0" w:evenVBand="0" w:oddHBand="0" w:evenHBand="1" w:firstRowFirstColumn="0" w:firstRowLastColumn="0" w:lastRowFirstColumn="0" w:lastRowLastColumn="0"/>
          <w:cantSplit/>
        </w:trPr>
        <w:tc>
          <w:tcPr>
            <w:tcW w:w="5613" w:type="dxa"/>
            <w:shd w:val="clear" w:color="auto" w:fill="auto"/>
            <w:vAlign w:val="top"/>
          </w:tcPr>
          <w:p w14:paraId="7FA98A55" w14:textId="77777777" w:rsidR="000F40F7" w:rsidRPr="00C82B9C" w:rsidRDefault="000F40F7" w:rsidP="000F40F7">
            <w:pPr>
              <w:spacing w:before="0"/>
              <w:ind w:left="6" w:hanging="6"/>
              <w:rPr>
                <w:rFonts w:asciiTheme="minorHAnsi" w:hAnsiTheme="minorHAnsi" w:cstheme="minorHAnsi"/>
                <w:b/>
                <w:bCs/>
                <w:sz w:val="22"/>
                <w:szCs w:val="22"/>
                <w:lang w:val="en-AU"/>
              </w:rPr>
            </w:pPr>
            <w:r w:rsidRPr="00CD2AB2">
              <w:rPr>
                <w:rFonts w:asciiTheme="minorHAnsi" w:hAnsiTheme="minorHAnsi" w:cstheme="minorHAnsi"/>
                <w:b/>
                <w:szCs w:val="22"/>
              </w:rPr>
              <w:t xml:space="preserve">3.4 – Alignment with the </w:t>
            </w:r>
            <w:r w:rsidRPr="00CD2AB2">
              <w:rPr>
                <w:rFonts w:asciiTheme="minorHAnsi" w:hAnsiTheme="minorHAnsi" w:cstheme="minorHAnsi"/>
                <w:b/>
                <w:i/>
                <w:szCs w:val="22"/>
              </w:rPr>
              <w:t>Privacy Act 1988</w:t>
            </w:r>
            <w:r w:rsidRPr="00CD2AB2">
              <w:rPr>
                <w:rFonts w:asciiTheme="minorHAnsi" w:hAnsiTheme="minorHAnsi" w:cstheme="minorHAnsi"/>
                <w:b/>
                <w:szCs w:val="22"/>
              </w:rPr>
              <w:t xml:space="preserve"> </w:t>
            </w:r>
          </w:p>
          <w:p w14:paraId="4CA25B07" w14:textId="608C4114" w:rsidR="000F40F7" w:rsidRPr="00C82B9C" w:rsidRDefault="000F40F7" w:rsidP="000F40F7">
            <w:pPr>
              <w:spacing w:before="0"/>
              <w:ind w:left="6" w:hanging="6"/>
              <w:rPr>
                <w:rFonts w:asciiTheme="minorHAnsi" w:hAnsiTheme="minorHAnsi" w:cstheme="minorHAnsi"/>
                <w:sz w:val="22"/>
                <w:szCs w:val="22"/>
                <w:vertAlign w:val="subscript"/>
                <w:lang w:val="en-AU"/>
              </w:rPr>
            </w:pPr>
            <w:r w:rsidRPr="00CD2AB2">
              <w:rPr>
                <w:rFonts w:asciiTheme="minorHAnsi" w:hAnsiTheme="minorHAnsi" w:cstheme="minorHAnsi"/>
                <w:szCs w:val="22"/>
              </w:rPr>
              <w:t xml:space="preserve">Protections provided by the CDR are designed to ensure the integrity of the scheme is maintained as it moves across each sector working alongside the </w:t>
            </w:r>
            <w:r w:rsidRPr="00CD2AB2">
              <w:rPr>
                <w:rFonts w:asciiTheme="minorHAnsi" w:hAnsiTheme="minorHAnsi" w:cstheme="minorHAnsi"/>
                <w:i/>
                <w:szCs w:val="22"/>
              </w:rPr>
              <w:t>Privacy Act 1988</w:t>
            </w:r>
            <w:r w:rsidRPr="00CD2AB2">
              <w:rPr>
                <w:rFonts w:asciiTheme="minorHAnsi" w:hAnsiTheme="minorHAnsi" w:cstheme="minorHAnsi"/>
                <w:szCs w:val="22"/>
              </w:rPr>
              <w:t xml:space="preserve">. Where opportunities for alignment with the </w:t>
            </w:r>
            <w:r w:rsidRPr="00CD2AB2">
              <w:rPr>
                <w:rFonts w:asciiTheme="minorHAnsi" w:hAnsiTheme="minorHAnsi" w:cstheme="minorHAnsi"/>
                <w:i/>
                <w:szCs w:val="22"/>
              </w:rPr>
              <w:t>Privacy Act 1988</w:t>
            </w:r>
            <w:r w:rsidRPr="00CD2AB2">
              <w:rPr>
                <w:rFonts w:asciiTheme="minorHAnsi" w:hAnsiTheme="minorHAnsi" w:cstheme="minorHAnsi"/>
                <w:szCs w:val="22"/>
              </w:rPr>
              <w:t xml:space="preserve"> are identified, the CDR protections should be reviewed to reduce duplication and increase alignment.</w:t>
            </w:r>
          </w:p>
        </w:tc>
        <w:tc>
          <w:tcPr>
            <w:tcW w:w="3628" w:type="dxa"/>
            <w:shd w:val="clear" w:color="auto" w:fill="auto"/>
            <w:vAlign w:val="top"/>
          </w:tcPr>
          <w:p w14:paraId="1D90E677" w14:textId="77777777" w:rsidR="00242F4D" w:rsidRDefault="000F40F7" w:rsidP="000F40F7">
            <w:pPr>
              <w:pStyle w:val="BodyText"/>
              <w:spacing w:before="0" w:after="120"/>
              <w:ind w:left="6" w:hanging="6"/>
              <w:rPr>
                <w:rFonts w:asciiTheme="minorHAnsi" w:hAnsiTheme="minorHAnsi"/>
              </w:rPr>
            </w:pPr>
            <w:r w:rsidRPr="3AA1516B">
              <w:rPr>
                <w:rFonts w:asciiTheme="minorHAnsi" w:hAnsiTheme="minorHAnsi"/>
                <w:b/>
              </w:rPr>
              <w:t>Noted.</w:t>
            </w:r>
            <w:r w:rsidRPr="3AA1516B">
              <w:rPr>
                <w:rFonts w:asciiTheme="minorHAnsi" w:hAnsiTheme="minorHAnsi"/>
              </w:rPr>
              <w:t xml:space="preserve"> </w:t>
            </w:r>
          </w:p>
          <w:p w14:paraId="0B8B0366" w14:textId="15E66C95" w:rsidR="000F40F7" w:rsidRPr="00C82B9C" w:rsidRDefault="000F40F7" w:rsidP="000F40F7">
            <w:pPr>
              <w:pStyle w:val="BodyText"/>
              <w:spacing w:before="0" w:after="120"/>
              <w:ind w:left="6" w:hanging="6"/>
              <w:rPr>
                <w:rFonts w:asciiTheme="minorHAnsi" w:hAnsiTheme="minorHAnsi"/>
                <w:sz w:val="22"/>
                <w:szCs w:val="22"/>
                <w:lang w:val="en-AU"/>
              </w:rPr>
            </w:pPr>
            <w:r w:rsidRPr="3AA1516B">
              <w:rPr>
                <w:rFonts w:asciiTheme="minorHAnsi" w:hAnsiTheme="minorHAnsi"/>
              </w:rPr>
              <w:t>Treasury will continue to engage with the Attorney-General’s Department and</w:t>
            </w:r>
            <w:r w:rsidR="00242F4D" w:rsidRPr="3AA1516B">
              <w:rPr>
                <w:rFonts w:asciiTheme="minorHAnsi" w:hAnsiTheme="minorHAnsi"/>
              </w:rPr>
              <w:t xml:space="preserve"> the</w:t>
            </w:r>
            <w:r w:rsidRPr="3AA1516B">
              <w:rPr>
                <w:rFonts w:asciiTheme="minorHAnsi" w:hAnsiTheme="minorHAnsi"/>
              </w:rPr>
              <w:t xml:space="preserve"> OAIC on alignment between the CDR and </w:t>
            </w:r>
            <w:r w:rsidR="00914CE6" w:rsidRPr="3AA1516B">
              <w:rPr>
                <w:rFonts w:asciiTheme="minorHAnsi" w:hAnsiTheme="minorHAnsi"/>
              </w:rPr>
              <w:t xml:space="preserve">the </w:t>
            </w:r>
            <w:r w:rsidRPr="3AA1516B">
              <w:rPr>
                <w:rFonts w:asciiTheme="minorHAnsi" w:hAnsiTheme="minorHAnsi"/>
                <w:i/>
              </w:rPr>
              <w:t>Privacy Act 1988</w:t>
            </w:r>
            <w:r w:rsidRPr="3AA1516B">
              <w:rPr>
                <w:rFonts w:asciiTheme="minorHAnsi" w:hAnsiTheme="minorHAnsi"/>
              </w:rPr>
              <w:t xml:space="preserve">. This will be considered in any future design work on CDR protections, informed by </w:t>
            </w:r>
            <w:r w:rsidR="00600F92">
              <w:rPr>
                <w:rFonts w:asciiTheme="minorHAnsi" w:hAnsiTheme="minorHAnsi"/>
              </w:rPr>
              <w:t xml:space="preserve">any </w:t>
            </w:r>
            <w:r w:rsidRPr="3AA1516B">
              <w:rPr>
                <w:rFonts w:asciiTheme="minorHAnsi" w:hAnsiTheme="minorHAnsi"/>
              </w:rPr>
              <w:t>changes following the Privacy Act Review.</w:t>
            </w:r>
          </w:p>
        </w:tc>
      </w:tr>
      <w:tr w:rsidR="00F213C2" w:rsidRPr="00CD2AB2" w14:paraId="2683F83D" w14:textId="77777777" w:rsidTr="00341388">
        <w:trPr>
          <w:cnfStyle w:val="000000100000" w:firstRow="0" w:lastRow="0" w:firstColumn="0" w:lastColumn="0" w:oddVBand="0" w:evenVBand="0" w:oddHBand="1" w:evenHBand="0" w:firstRowFirstColumn="0" w:firstRowLastColumn="0" w:lastRowFirstColumn="0" w:lastRowLastColumn="0"/>
          <w:cantSplit/>
        </w:trPr>
        <w:tc>
          <w:tcPr>
            <w:tcW w:w="5613" w:type="dxa"/>
            <w:shd w:val="clear" w:color="auto" w:fill="auto"/>
            <w:vAlign w:val="top"/>
          </w:tcPr>
          <w:p w14:paraId="058A8E6B" w14:textId="23D47C2A" w:rsidR="000F40F7" w:rsidRPr="00C8698E" w:rsidRDefault="000F40F7" w:rsidP="000F40F7">
            <w:pPr>
              <w:spacing w:before="0"/>
              <w:ind w:left="6" w:hanging="6"/>
              <w:rPr>
                <w:rFonts w:asciiTheme="minorHAnsi" w:hAnsiTheme="minorHAnsi" w:cstheme="minorHAnsi"/>
                <w:b/>
                <w:bCs/>
                <w:sz w:val="22"/>
                <w:szCs w:val="22"/>
                <w:lang w:val="en-AU"/>
              </w:rPr>
            </w:pPr>
            <w:r w:rsidRPr="00CD2AB2">
              <w:rPr>
                <w:rFonts w:asciiTheme="minorHAnsi" w:hAnsiTheme="minorHAnsi" w:cstheme="minorHAnsi"/>
                <w:b/>
                <w:szCs w:val="22"/>
              </w:rPr>
              <w:t>3.5 – Alignment with other regulatory schemes</w:t>
            </w:r>
          </w:p>
          <w:p w14:paraId="601D2C6E" w14:textId="5B4F1FFA" w:rsidR="000F40F7" w:rsidRPr="00C8698E" w:rsidRDefault="000F40F7" w:rsidP="000F40F7">
            <w:pPr>
              <w:spacing w:before="0"/>
              <w:ind w:left="6" w:hanging="6"/>
              <w:rPr>
                <w:rFonts w:asciiTheme="minorHAnsi" w:hAnsiTheme="minorHAnsi" w:cstheme="minorHAnsi"/>
                <w:sz w:val="22"/>
                <w:szCs w:val="22"/>
                <w:vertAlign w:val="subscript"/>
                <w:lang w:val="en-AU"/>
              </w:rPr>
            </w:pPr>
            <w:r w:rsidRPr="00CD2AB2">
              <w:rPr>
                <w:rFonts w:asciiTheme="minorHAnsi" w:hAnsiTheme="minorHAnsi" w:cstheme="minorHAnsi"/>
                <w:szCs w:val="22"/>
              </w:rPr>
              <w:t>The regulatory environment that the CDR operates within is complex. Where possible, the CDR should seek opportunities for alignment with other regulatory schemes, limiting duplication and overlapping regulatory obligations to make the CDR easier to navigate, reducing additional compliance burdens and confusion for participants.</w:t>
            </w:r>
          </w:p>
        </w:tc>
        <w:tc>
          <w:tcPr>
            <w:tcW w:w="3628" w:type="dxa"/>
            <w:shd w:val="clear" w:color="auto" w:fill="auto"/>
            <w:vAlign w:val="top"/>
          </w:tcPr>
          <w:p w14:paraId="3EA15623" w14:textId="77777777" w:rsidR="00BD4611" w:rsidRDefault="19D5174E" w:rsidP="296BBA97">
            <w:pPr>
              <w:pStyle w:val="BodyText"/>
              <w:spacing w:before="0" w:after="120"/>
              <w:ind w:left="6" w:hanging="6"/>
              <w:rPr>
                <w:rFonts w:asciiTheme="minorHAnsi" w:hAnsiTheme="minorHAnsi"/>
              </w:rPr>
            </w:pPr>
            <w:r w:rsidRPr="00CD2AB2">
              <w:rPr>
                <w:rFonts w:asciiTheme="minorHAnsi" w:hAnsiTheme="minorHAnsi"/>
                <w:b/>
              </w:rPr>
              <w:t>Noted.</w:t>
            </w:r>
            <w:r w:rsidRPr="00CD2AB2">
              <w:rPr>
                <w:rFonts w:asciiTheme="minorHAnsi" w:hAnsiTheme="minorHAnsi"/>
              </w:rPr>
              <w:t xml:space="preserve"> </w:t>
            </w:r>
          </w:p>
          <w:p w14:paraId="5A3E63B5" w14:textId="425E81AB" w:rsidR="000F40F7" w:rsidRPr="00C8698E" w:rsidRDefault="19D5174E" w:rsidP="296BBA97">
            <w:pPr>
              <w:pStyle w:val="BodyText"/>
              <w:spacing w:before="0" w:after="120"/>
              <w:ind w:left="6" w:hanging="6"/>
              <w:rPr>
                <w:rFonts w:asciiTheme="minorHAnsi" w:hAnsiTheme="minorHAnsi"/>
                <w:sz w:val="22"/>
                <w:szCs w:val="22"/>
                <w:lang w:val="en-AU"/>
              </w:rPr>
            </w:pPr>
            <w:r w:rsidRPr="00CD2AB2">
              <w:rPr>
                <w:rFonts w:asciiTheme="minorHAnsi" w:hAnsiTheme="minorHAnsi"/>
              </w:rPr>
              <w:t xml:space="preserve">Treasury will continue to engage with industry, </w:t>
            </w:r>
            <w:proofErr w:type="gramStart"/>
            <w:r w:rsidRPr="00CD2AB2">
              <w:rPr>
                <w:rFonts w:asciiTheme="minorHAnsi" w:hAnsiTheme="minorHAnsi"/>
              </w:rPr>
              <w:t>government</w:t>
            </w:r>
            <w:proofErr w:type="gramEnd"/>
            <w:r w:rsidRPr="00CD2AB2">
              <w:rPr>
                <w:rFonts w:asciiTheme="minorHAnsi" w:hAnsiTheme="minorHAnsi"/>
              </w:rPr>
              <w:t xml:space="preserve"> and other stakeholders to ensure this is considered in any future design work, particularly on expansion to other sectors</w:t>
            </w:r>
            <w:r w:rsidR="002C356C" w:rsidRPr="00CD2AB2">
              <w:rPr>
                <w:rFonts w:asciiTheme="minorHAnsi" w:hAnsiTheme="minorHAnsi"/>
              </w:rPr>
              <w:t xml:space="preserve"> and as new functionality is brought in</w:t>
            </w:r>
            <w:r w:rsidRPr="00CD2AB2">
              <w:rPr>
                <w:rFonts w:asciiTheme="minorHAnsi" w:hAnsiTheme="minorHAnsi"/>
              </w:rPr>
              <w:t xml:space="preserve">. </w:t>
            </w:r>
          </w:p>
        </w:tc>
      </w:tr>
      <w:tr w:rsidR="00F213C2" w:rsidRPr="00CD2AB2" w14:paraId="6AEEB26D" w14:textId="77777777" w:rsidTr="00341388">
        <w:trPr>
          <w:cnfStyle w:val="000000010000" w:firstRow="0" w:lastRow="0" w:firstColumn="0" w:lastColumn="0" w:oddVBand="0" w:evenVBand="0" w:oddHBand="0" w:evenHBand="1" w:firstRowFirstColumn="0" w:firstRowLastColumn="0" w:lastRowFirstColumn="0" w:lastRowLastColumn="0"/>
          <w:cantSplit/>
        </w:trPr>
        <w:tc>
          <w:tcPr>
            <w:tcW w:w="5613" w:type="dxa"/>
            <w:shd w:val="clear" w:color="auto" w:fill="auto"/>
            <w:vAlign w:val="top"/>
          </w:tcPr>
          <w:p w14:paraId="31382ABE" w14:textId="6812AF6C" w:rsidR="000F40F7" w:rsidRPr="00C8698E" w:rsidRDefault="000F40F7" w:rsidP="000F40F7">
            <w:pPr>
              <w:spacing w:before="0"/>
              <w:ind w:left="6" w:hanging="6"/>
              <w:rPr>
                <w:rFonts w:asciiTheme="minorHAnsi" w:hAnsiTheme="minorHAnsi" w:cstheme="minorHAnsi"/>
                <w:b/>
                <w:bCs/>
                <w:sz w:val="22"/>
                <w:szCs w:val="22"/>
                <w:lang w:val="en-AU"/>
              </w:rPr>
            </w:pPr>
            <w:r w:rsidRPr="00CD2AB2">
              <w:rPr>
                <w:rFonts w:asciiTheme="minorHAnsi" w:hAnsiTheme="minorHAnsi" w:cstheme="minorHAnsi"/>
                <w:b/>
                <w:szCs w:val="22"/>
              </w:rPr>
              <w:t>3.6 – CDR action initiation should work in conjunction with other initiatives where possible</w:t>
            </w:r>
          </w:p>
          <w:p w14:paraId="6582DD10" w14:textId="66CF13D1" w:rsidR="000F40F7" w:rsidRPr="00C8698E" w:rsidRDefault="000F40F7" w:rsidP="000F40F7">
            <w:pPr>
              <w:spacing w:before="0"/>
              <w:ind w:left="6" w:hanging="6"/>
              <w:rPr>
                <w:rFonts w:asciiTheme="minorHAnsi" w:hAnsiTheme="minorHAnsi" w:cstheme="minorHAnsi"/>
                <w:sz w:val="22"/>
                <w:szCs w:val="22"/>
                <w:vertAlign w:val="subscript"/>
                <w:lang w:val="en-AU"/>
              </w:rPr>
            </w:pPr>
            <w:r w:rsidRPr="00CD2AB2">
              <w:rPr>
                <w:rFonts w:asciiTheme="minorHAnsi" w:hAnsiTheme="minorHAnsi" w:cstheme="minorHAnsi"/>
                <w:szCs w:val="22"/>
              </w:rPr>
              <w:t xml:space="preserve">There is significant enthusiasm for the delivery of action initiation under the CDR, with many submissions noting the opportunities for the CDR to </w:t>
            </w:r>
            <w:proofErr w:type="spellStart"/>
            <w:r w:rsidRPr="00CD2AB2">
              <w:rPr>
                <w:rFonts w:asciiTheme="minorHAnsi" w:hAnsiTheme="minorHAnsi" w:cstheme="minorHAnsi"/>
                <w:szCs w:val="22"/>
              </w:rPr>
              <w:t>capitalise</w:t>
            </w:r>
            <w:proofErr w:type="spellEnd"/>
            <w:r w:rsidRPr="00CD2AB2">
              <w:rPr>
                <w:rFonts w:asciiTheme="minorHAnsi" w:hAnsiTheme="minorHAnsi" w:cstheme="minorHAnsi"/>
                <w:szCs w:val="22"/>
              </w:rPr>
              <w:t xml:space="preserve"> on concurrent work being undertaken within payments systems, such as </w:t>
            </w:r>
            <w:proofErr w:type="spellStart"/>
            <w:r w:rsidRPr="00CD2AB2">
              <w:rPr>
                <w:rFonts w:asciiTheme="minorHAnsi" w:hAnsiTheme="minorHAnsi" w:cstheme="minorHAnsi"/>
                <w:szCs w:val="22"/>
              </w:rPr>
              <w:t>PayTo</w:t>
            </w:r>
            <w:proofErr w:type="spellEnd"/>
            <w:r w:rsidRPr="00CD2AB2">
              <w:rPr>
                <w:rFonts w:asciiTheme="minorHAnsi" w:hAnsiTheme="minorHAnsi" w:cstheme="minorHAnsi"/>
                <w:szCs w:val="22"/>
              </w:rPr>
              <w:t xml:space="preserve">. Where possible, the CDR should work in conjunction with other initiatives to </w:t>
            </w:r>
            <w:proofErr w:type="spellStart"/>
            <w:r w:rsidRPr="00CD2AB2">
              <w:rPr>
                <w:rFonts w:asciiTheme="minorHAnsi" w:hAnsiTheme="minorHAnsi" w:cstheme="minorHAnsi"/>
                <w:szCs w:val="22"/>
              </w:rPr>
              <w:t>minimise</w:t>
            </w:r>
            <w:proofErr w:type="spellEnd"/>
            <w:r w:rsidRPr="00CD2AB2">
              <w:rPr>
                <w:rFonts w:asciiTheme="minorHAnsi" w:hAnsiTheme="minorHAnsi" w:cstheme="minorHAnsi"/>
                <w:szCs w:val="22"/>
              </w:rPr>
              <w:t xml:space="preserve"> potential friction points and reduce regulatory compliance for participants, with the objective to create more streamlined consumer experiences.</w:t>
            </w:r>
          </w:p>
        </w:tc>
        <w:tc>
          <w:tcPr>
            <w:tcW w:w="3628" w:type="dxa"/>
            <w:shd w:val="clear" w:color="auto" w:fill="auto"/>
            <w:vAlign w:val="top"/>
          </w:tcPr>
          <w:p w14:paraId="1238E53A" w14:textId="77777777" w:rsidR="00BD4611" w:rsidRDefault="000F40F7" w:rsidP="000F40F7">
            <w:pPr>
              <w:pStyle w:val="BodyText"/>
              <w:spacing w:before="0" w:after="120"/>
              <w:ind w:left="6" w:hanging="6"/>
              <w:rPr>
                <w:rFonts w:asciiTheme="minorHAnsi" w:hAnsiTheme="minorHAnsi" w:cstheme="minorHAnsi"/>
              </w:rPr>
            </w:pPr>
            <w:r w:rsidRPr="00CD2AB2">
              <w:rPr>
                <w:rFonts w:asciiTheme="minorHAnsi" w:hAnsiTheme="minorHAnsi" w:cstheme="minorHAnsi"/>
                <w:b/>
              </w:rPr>
              <w:t>Noted.</w:t>
            </w:r>
            <w:r w:rsidRPr="00CD2AB2">
              <w:rPr>
                <w:rFonts w:asciiTheme="minorHAnsi" w:hAnsiTheme="minorHAnsi" w:cstheme="minorHAnsi"/>
              </w:rPr>
              <w:t xml:space="preserve"> </w:t>
            </w:r>
          </w:p>
          <w:p w14:paraId="6867A340" w14:textId="10363071" w:rsidR="000F40F7" w:rsidRPr="00C8698E" w:rsidRDefault="00C3158D" w:rsidP="000F40F7">
            <w:pPr>
              <w:pStyle w:val="BodyText"/>
              <w:spacing w:before="0" w:after="120"/>
              <w:ind w:left="6" w:hanging="6"/>
              <w:rPr>
                <w:rFonts w:asciiTheme="minorHAnsi" w:hAnsiTheme="minorHAnsi" w:cstheme="minorHAnsi"/>
                <w:sz w:val="22"/>
                <w:szCs w:val="22"/>
                <w:lang w:val="en-AU"/>
              </w:rPr>
            </w:pPr>
            <w:r w:rsidRPr="00C3158D">
              <w:rPr>
                <w:rFonts w:asciiTheme="minorHAnsi" w:hAnsiTheme="minorHAnsi" w:cstheme="minorHAnsi"/>
              </w:rPr>
              <w:t xml:space="preserve">The Government’s funding through Budget 2023-24 underlines its commitment to policy and design work on action and payment initiation in consultation with stakeholders. </w:t>
            </w:r>
            <w:r w:rsidR="00C475DD">
              <w:rPr>
                <w:rFonts w:asciiTheme="minorHAnsi" w:hAnsiTheme="minorHAnsi" w:cstheme="minorHAnsi"/>
              </w:rPr>
              <w:t xml:space="preserve">Other </w:t>
            </w:r>
            <w:r w:rsidR="00D034D9">
              <w:rPr>
                <w:rFonts w:asciiTheme="minorHAnsi" w:hAnsiTheme="minorHAnsi" w:cstheme="minorHAnsi"/>
              </w:rPr>
              <w:t xml:space="preserve">payments system </w:t>
            </w:r>
            <w:r w:rsidR="00C475DD">
              <w:rPr>
                <w:rFonts w:asciiTheme="minorHAnsi" w:hAnsiTheme="minorHAnsi" w:cstheme="minorHAnsi"/>
              </w:rPr>
              <w:t>initiatives</w:t>
            </w:r>
            <w:r w:rsidR="000F40F7" w:rsidRPr="00CD2AB2">
              <w:rPr>
                <w:rFonts w:asciiTheme="minorHAnsi" w:hAnsiTheme="minorHAnsi" w:cstheme="minorHAnsi"/>
              </w:rPr>
              <w:t xml:space="preserve"> will be considered as part of the work being undertaken on action initiation within the CDR. </w:t>
            </w:r>
          </w:p>
        </w:tc>
      </w:tr>
      <w:tr w:rsidR="00F213C2" w:rsidRPr="00CD2AB2" w14:paraId="3BE0E366" w14:textId="77777777" w:rsidTr="00341388">
        <w:trPr>
          <w:cnfStyle w:val="000000100000" w:firstRow="0" w:lastRow="0" w:firstColumn="0" w:lastColumn="0" w:oddVBand="0" w:evenVBand="0" w:oddHBand="1" w:evenHBand="0" w:firstRowFirstColumn="0" w:firstRowLastColumn="0" w:lastRowFirstColumn="0" w:lastRowLastColumn="0"/>
          <w:cantSplit/>
        </w:trPr>
        <w:tc>
          <w:tcPr>
            <w:tcW w:w="5613" w:type="dxa"/>
            <w:shd w:val="clear" w:color="auto" w:fill="auto"/>
            <w:vAlign w:val="top"/>
          </w:tcPr>
          <w:p w14:paraId="4556509E" w14:textId="77777777" w:rsidR="000F40F7" w:rsidRPr="00C8698E" w:rsidRDefault="000F40F7" w:rsidP="000F40F7">
            <w:pPr>
              <w:spacing w:before="0"/>
              <w:ind w:left="6" w:hanging="6"/>
              <w:rPr>
                <w:rFonts w:asciiTheme="minorHAnsi" w:hAnsiTheme="minorHAnsi" w:cstheme="minorHAnsi"/>
                <w:b/>
                <w:bCs/>
                <w:sz w:val="22"/>
                <w:szCs w:val="22"/>
                <w:lang w:val="en-AU"/>
              </w:rPr>
            </w:pPr>
            <w:r w:rsidRPr="00CD2AB2">
              <w:rPr>
                <w:rFonts w:asciiTheme="minorHAnsi" w:hAnsiTheme="minorHAnsi" w:cstheme="minorHAnsi"/>
                <w:b/>
                <w:szCs w:val="22"/>
              </w:rPr>
              <w:t>3.7 – Consider a future statutory review within the next five years</w:t>
            </w:r>
          </w:p>
          <w:p w14:paraId="4B6D96D8" w14:textId="0EACEB32" w:rsidR="000F40F7" w:rsidRPr="00C8698E" w:rsidRDefault="000F40F7" w:rsidP="000F40F7">
            <w:pPr>
              <w:spacing w:before="0"/>
              <w:ind w:left="6" w:hanging="6"/>
              <w:rPr>
                <w:rFonts w:asciiTheme="minorHAnsi" w:hAnsiTheme="minorHAnsi" w:cstheme="minorHAnsi"/>
                <w:sz w:val="22"/>
                <w:szCs w:val="22"/>
                <w:vertAlign w:val="subscript"/>
                <w:lang w:val="en-AU"/>
              </w:rPr>
            </w:pPr>
            <w:r w:rsidRPr="00CD2AB2">
              <w:rPr>
                <w:rFonts w:asciiTheme="minorHAnsi" w:hAnsiTheme="minorHAnsi" w:cstheme="minorHAnsi"/>
                <w:szCs w:val="22"/>
              </w:rPr>
              <w:t>Consider a future statutory review within the next five years. This review may consider direct-to-consumer data sharing, the implementation and governance arrangements of the CDR and other digital economy initiatives, reciprocal data holder obligations, as well as any other issues that arise.</w:t>
            </w:r>
          </w:p>
        </w:tc>
        <w:tc>
          <w:tcPr>
            <w:tcW w:w="3628" w:type="dxa"/>
            <w:shd w:val="clear" w:color="auto" w:fill="auto"/>
            <w:vAlign w:val="top"/>
          </w:tcPr>
          <w:p w14:paraId="4640B808" w14:textId="5B093E7E" w:rsidR="000F40F7" w:rsidRPr="00C8698E" w:rsidRDefault="000F40F7" w:rsidP="000F40F7">
            <w:pPr>
              <w:pStyle w:val="BodyText"/>
              <w:spacing w:before="0" w:after="120"/>
              <w:ind w:left="6" w:hanging="6"/>
              <w:rPr>
                <w:rFonts w:asciiTheme="minorHAnsi" w:hAnsiTheme="minorHAnsi" w:cstheme="minorHAnsi"/>
                <w:b/>
                <w:bCs/>
                <w:sz w:val="22"/>
                <w:szCs w:val="22"/>
                <w:lang w:val="en-AU"/>
              </w:rPr>
            </w:pPr>
            <w:r w:rsidRPr="00CD2AB2">
              <w:rPr>
                <w:rFonts w:asciiTheme="minorHAnsi" w:hAnsiTheme="minorHAnsi" w:cstheme="minorHAnsi"/>
                <w:b/>
              </w:rPr>
              <w:t xml:space="preserve">Noted. </w:t>
            </w:r>
          </w:p>
        </w:tc>
      </w:tr>
    </w:tbl>
    <w:p w14:paraId="455D488B" w14:textId="77777777" w:rsidR="005A51A3" w:rsidRPr="00CD2AB2" w:rsidRDefault="005A51A3" w:rsidP="00BD4611">
      <w:pPr>
        <w:pStyle w:val="CABHeading2"/>
        <w:jc w:val="left"/>
      </w:pPr>
    </w:p>
    <w:sectPr w:rsidR="005A51A3" w:rsidRPr="00CD2AB2" w:rsidSect="00812358">
      <w:type w:val="continuous"/>
      <w:pgSz w:w="11906" w:h="16838" w:code="9"/>
      <w:pgMar w:top="1417" w:right="1417" w:bottom="284" w:left="1417" w:header="709" w:footer="43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AFB940" w14:textId="77777777" w:rsidR="005F2678" w:rsidRDefault="005F2678">
      <w:pPr>
        <w:spacing w:before="0" w:after="0"/>
      </w:pPr>
      <w:r>
        <w:separator/>
      </w:r>
    </w:p>
  </w:endnote>
  <w:endnote w:type="continuationSeparator" w:id="0">
    <w:p w14:paraId="0FC1B21A" w14:textId="77777777" w:rsidR="005F2678" w:rsidRDefault="005F2678">
      <w:pPr>
        <w:spacing w:before="0" w:after="0"/>
      </w:pPr>
      <w:r>
        <w:continuationSeparator/>
      </w:r>
    </w:p>
  </w:endnote>
  <w:endnote w:type="continuationNotice" w:id="1">
    <w:p w14:paraId="17E97F82" w14:textId="77777777" w:rsidR="005F2678" w:rsidRDefault="005F2678">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old">
    <w:panose1 w:val="020B0704020202020204"/>
    <w:charset w:val="00"/>
    <w:family w:val="roman"/>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Rockwell">
    <w:panose1 w:val="02060603020205020403"/>
    <w:charset w:val="00"/>
    <w:family w:val="roman"/>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Source Sans Pro">
    <w:charset w:val="00"/>
    <w:family w:val="swiss"/>
    <w:pitch w:val="variable"/>
    <w:sig w:usb0="600002F7" w:usb1="02000001" w:usb2="0000000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3EC42B" w14:textId="77777777" w:rsidR="00AF34A1" w:rsidRPr="00E77C89" w:rsidRDefault="00AF34A1" w:rsidP="00EE1447">
    <w:pPr>
      <w:pStyle w:val="FooterEven"/>
    </w:pPr>
    <w:r>
      <w:rPr>
        <w:color w:val="2B579A"/>
        <w:shd w:val="clear" w:color="auto" w:fill="E6E6E6"/>
      </w:rPr>
      <w:fldChar w:fldCharType="begin"/>
    </w:r>
    <w:r>
      <w:instrText xml:space="preserve"> PAGE  \* Arabic  \* MERGEFORMAT </w:instrText>
    </w:r>
    <w:r>
      <w:rPr>
        <w:color w:val="2B579A"/>
        <w:shd w:val="clear" w:color="auto" w:fill="E6E6E6"/>
      </w:rPr>
      <w:fldChar w:fldCharType="separate"/>
    </w:r>
    <w:r>
      <w:t>4</w:t>
    </w:r>
    <w:r>
      <w:rPr>
        <w:color w:val="2B579A"/>
        <w:shd w:val="clear" w:color="auto" w:fill="E6E6E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9844696"/>
      <w:docPartObj>
        <w:docPartGallery w:val="Page Numbers (Bottom of Page)"/>
        <w:docPartUnique/>
      </w:docPartObj>
    </w:sdtPr>
    <w:sdtEndPr>
      <w:rPr>
        <w:noProof/>
      </w:rPr>
    </w:sdtEndPr>
    <w:sdtContent>
      <w:p w14:paraId="34A380E6" w14:textId="0737885F" w:rsidR="00294A51" w:rsidRDefault="00294A5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7C7F348" w14:textId="77777777" w:rsidR="00294A51" w:rsidRDefault="00294A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24301C" w14:textId="77777777" w:rsidR="005F2678" w:rsidRDefault="005F2678">
      <w:pPr>
        <w:spacing w:before="0" w:after="0"/>
      </w:pPr>
      <w:r>
        <w:separator/>
      </w:r>
    </w:p>
  </w:footnote>
  <w:footnote w:type="continuationSeparator" w:id="0">
    <w:p w14:paraId="35D98C09" w14:textId="77777777" w:rsidR="005F2678" w:rsidRDefault="005F2678">
      <w:pPr>
        <w:spacing w:before="0" w:after="0"/>
      </w:pPr>
      <w:r>
        <w:continuationSeparator/>
      </w:r>
    </w:p>
  </w:footnote>
  <w:footnote w:type="continuationNotice" w:id="1">
    <w:p w14:paraId="6316156B" w14:textId="77777777" w:rsidR="005F2678" w:rsidRDefault="005F2678">
      <w:pPr>
        <w:spacing w:before="0" w:after="0"/>
      </w:pPr>
    </w:p>
  </w:footnote>
  <w:footnote w:id="2">
    <w:p w14:paraId="5EC2C21A" w14:textId="77777777" w:rsidR="00AA1416" w:rsidRDefault="00AA1416" w:rsidP="00AA1416">
      <w:pPr>
        <w:pStyle w:val="FootnoteText"/>
      </w:pPr>
      <w:r>
        <w:rPr>
          <w:rStyle w:val="FootnoteReference"/>
        </w:rPr>
        <w:footnoteRef/>
      </w:r>
      <w:r w:rsidRPr="004A5905">
        <w:t xml:space="preserve"> Terms of Reference for the Statutory Review of the CDR, </w:t>
      </w:r>
      <w:hyperlink r:id="rId1" w:history="1">
        <w:r w:rsidRPr="004A5905">
          <w:rPr>
            <w:rStyle w:val="Hyperlink"/>
          </w:rPr>
          <w:t>https://treasury.gov.au/review/statutory-review-consumer-data-right/tor</w:t>
        </w:r>
      </w:hyperlink>
    </w:p>
  </w:footnote>
  <w:footnote w:id="3">
    <w:p w14:paraId="545C2D66" w14:textId="77777777" w:rsidR="00190058" w:rsidRDefault="00190058" w:rsidP="00190058">
      <w:pPr>
        <w:pStyle w:val="FootnoteText"/>
      </w:pPr>
      <w:r>
        <w:rPr>
          <w:rStyle w:val="FootnoteReference"/>
        </w:rPr>
        <w:footnoteRef/>
      </w:r>
      <w:r>
        <w:t xml:space="preserve"> Inquiry into Future Directions for the CDR, December 2020. </w:t>
      </w:r>
      <w:hyperlink r:id="rId2" w:history="1">
        <w:r w:rsidRPr="004A5905">
          <w:rPr>
            <w:rStyle w:val="Hyperlink"/>
          </w:rPr>
          <w:t>https://treasury.gov.au/publication/inquiry-future-directions-consumer-data-right-final-report</w:t>
        </w:r>
      </w:hyperlink>
    </w:p>
  </w:footnote>
  <w:footnote w:id="4">
    <w:p w14:paraId="50C5FF06" w14:textId="05C4CDFB" w:rsidR="00753D7E" w:rsidRPr="00A14BE3" w:rsidRDefault="00FE488F" w:rsidP="00FE488F">
      <w:pPr>
        <w:pStyle w:val="FootnoteText"/>
        <w:rPr>
          <w:highlight w:val="yellow"/>
        </w:rPr>
      </w:pPr>
      <w:r>
        <w:rPr>
          <w:rStyle w:val="FootnoteReference"/>
        </w:rPr>
        <w:footnoteRef/>
      </w:r>
      <w:r w:rsidRPr="00A14BE3">
        <w:t xml:space="preserve"> </w:t>
      </w:r>
      <w:hyperlink r:id="rId3" w:history="1">
        <w:r w:rsidR="00F87FD2" w:rsidRPr="00A14BE3">
          <w:rPr>
            <w:rStyle w:val="Hyperlink"/>
          </w:rPr>
          <w:t>www.cdr.gov.au/performance</w:t>
        </w:r>
      </w:hyperlink>
      <w:r w:rsidRPr="00A14BE3">
        <w:t xml:space="preserve">, </w:t>
      </w:r>
      <w:hyperlink r:id="rId4" w:history="1">
        <w:r w:rsidR="00F87FD2" w:rsidRPr="00A14BE3">
          <w:rPr>
            <w:rStyle w:val="Hyperlink"/>
          </w:rPr>
          <w:t>www.cdr.gov.au/find-a-provider</w:t>
        </w:r>
      </w:hyperlink>
      <w:r w:rsidR="00F87FD2" w:rsidRPr="00A14BE3">
        <w:t xml:space="preserve"> and </w:t>
      </w:r>
      <w:hyperlink r:id="rId5" w:history="1">
        <w:r w:rsidR="00753D7E" w:rsidRPr="00A14BE3">
          <w:rPr>
            <w:rStyle w:val="Hyperlink"/>
          </w:rPr>
          <w:t>www.cdr.gov.au/for-providers/representative-arrangements</w:t>
        </w:r>
      </w:hyperlink>
    </w:p>
  </w:footnote>
  <w:footnote w:id="5">
    <w:p w14:paraId="48A73823" w14:textId="4553713D" w:rsidR="00E7200D" w:rsidRDefault="00E7200D">
      <w:pPr>
        <w:pStyle w:val="FootnoteText"/>
      </w:pPr>
      <w:r>
        <w:rPr>
          <w:rStyle w:val="FootnoteReference"/>
        </w:rPr>
        <w:footnoteRef/>
      </w:r>
      <w:r w:rsidRPr="00A14BE3">
        <w:t xml:space="preserve"> ACCC, 5 April 2023, </w:t>
      </w:r>
      <w:hyperlink r:id="rId6" w:history="1">
        <w:r w:rsidRPr="00A14BE3">
          <w:rPr>
            <w:rStyle w:val="Hyperlink"/>
          </w:rPr>
          <w:t>https://www.accc.gov.au/about-us/publications/serial-publications/the-consumer-data-right-compliance-audits-and-targeted-compliance-reviews/data-quality-in-the-consumer-data-right-findings-from-stakeholder-consultation</w:t>
        </w:r>
      </w:hyperlink>
    </w:p>
  </w:footnote>
  <w:footnote w:id="6">
    <w:p w14:paraId="3F89344D" w14:textId="753861EE" w:rsidR="00753D7E" w:rsidRDefault="00B26C69" w:rsidP="00B01C7E">
      <w:pPr>
        <w:pStyle w:val="Bullet"/>
        <w:numPr>
          <w:ilvl w:val="0"/>
          <w:numId w:val="0"/>
        </w:numPr>
        <w:spacing w:before="240"/>
      </w:pPr>
      <w:r>
        <w:rPr>
          <w:rStyle w:val="FootnoteReference"/>
        </w:rPr>
        <w:footnoteRef/>
      </w:r>
      <w:r w:rsidR="00B96572">
        <w:t xml:space="preserve"> </w:t>
      </w:r>
      <w:r w:rsidRPr="00A14BE3">
        <w:rPr>
          <w:sz w:val="20"/>
          <w:szCs w:val="18"/>
        </w:rPr>
        <w:t xml:space="preserve">Australian Small Business and Family Enterprise Ombudsman, </w:t>
      </w:r>
      <w:hyperlink r:id="rId7" w:history="1">
        <w:r w:rsidR="00801374" w:rsidRPr="004F2B62">
          <w:rPr>
            <w:rStyle w:val="Hyperlink"/>
            <w:sz w:val="20"/>
            <w:szCs w:val="18"/>
          </w:rPr>
          <w:t>https://www.asbfeo.gov.au/msme-small-business-facts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B216A" w14:textId="5826168C" w:rsidR="00AC556B" w:rsidRDefault="00AC556B" w:rsidP="00A12F62">
    <w:pPr>
      <w:pStyle w:val="HeaderEven"/>
    </w:pPr>
  </w:p>
  <w:p w14:paraId="3FB79CC4" w14:textId="793F7AFC" w:rsidR="00AF34A1" w:rsidRPr="001F3912" w:rsidRDefault="005F2678" w:rsidP="00A12F62">
    <w:pPr>
      <w:pStyle w:val="HeaderEven"/>
    </w:pPr>
    <w:fldSimple w:instr="STYLEREF  Title  \* MERGEFORMAT">
      <w:r w:rsidR="00015C82">
        <w:rPr>
          <w:noProof/>
        </w:rPr>
        <w:t>June 2023</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D270F" w14:textId="34F45FC8" w:rsidR="00AF34A1" w:rsidRPr="001F3912" w:rsidRDefault="00AF34A1" w:rsidP="00A12F62">
    <w:pPr>
      <w:pStyle w:val="HeaderOdd"/>
    </w:pPr>
    <w:r>
      <w:t xml:space="preserve">Government </w:t>
    </w:r>
    <w:r w:rsidR="00D600F3">
      <w:t>s</w:t>
    </w:r>
    <w:r w:rsidR="00AA6545">
      <w:t xml:space="preserve">tatement in </w:t>
    </w:r>
    <w:r w:rsidR="006F4772">
      <w:t>r</w:t>
    </w:r>
    <w:r w:rsidR="00AA6545">
      <w:t xml:space="preserve">esponse </w:t>
    </w:r>
    <w:r>
      <w:t xml:space="preserve">to the </w:t>
    </w:r>
    <w:r w:rsidR="00DD3D31">
      <w:t>Statutory Review of</w:t>
    </w:r>
    <w:r>
      <w:t xml:space="preserve"> the Consumer Data Right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90494" w14:textId="4B6085B3" w:rsidR="00E3639B" w:rsidRDefault="00E3639B">
    <w:pPr>
      <w:pStyle w:val="Header"/>
      <w:rPr>
        <w:noProof/>
      </w:rPr>
    </w:pPr>
  </w:p>
  <w:p w14:paraId="5210A59C" w14:textId="17093AEB" w:rsidR="00AF34A1" w:rsidRDefault="00AF34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F5408"/>
    <w:multiLevelType w:val="multilevel"/>
    <w:tmpl w:val="21D68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0329CA"/>
    <w:multiLevelType w:val="multilevel"/>
    <w:tmpl w:val="4052F3D6"/>
    <w:lvl w:ilvl="0">
      <w:start w:val="1"/>
      <w:numFmt w:val="bullet"/>
      <w:lvlText w:val="•"/>
      <w:lvlJc w:val="left"/>
      <w:pPr>
        <w:tabs>
          <w:tab w:val="num" w:pos="567"/>
        </w:tabs>
        <w:ind w:left="567" w:hanging="567"/>
      </w:pPr>
      <w:rPr>
        <w:rFonts w:ascii="Times New Roman" w:hAnsi="Times New Roman" w:cs="Times New Roman"/>
        <w:color w:val="auto"/>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07ED3FC7"/>
    <w:multiLevelType w:val="multilevel"/>
    <w:tmpl w:val="79E48CD8"/>
    <w:styleLink w:val="BoxBulletedList"/>
    <w:lvl w:ilvl="0">
      <w:start w:val="1"/>
      <w:numFmt w:val="bullet"/>
      <w:lvlRestart w:val="0"/>
      <w:pStyle w:val="BoxBullet"/>
      <w:lvlText w:val="•"/>
      <w:lvlJc w:val="left"/>
      <w:pPr>
        <w:tabs>
          <w:tab w:val="num" w:pos="283"/>
        </w:tabs>
        <w:ind w:left="283" w:hanging="283"/>
      </w:pPr>
      <w:rPr>
        <w:rFonts w:ascii="Times New Roman" w:hAnsi="Times New Roman" w:cs="Times New Roman" w:hint="default"/>
        <w:b w:val="0"/>
        <w:i w:val="0"/>
        <w:sz w:val="20"/>
      </w:rPr>
    </w:lvl>
    <w:lvl w:ilvl="1">
      <w:start w:val="1"/>
      <w:numFmt w:val="bullet"/>
      <w:pStyle w:val="BoxDash"/>
      <w:lvlText w:val="–"/>
      <w:lvlJc w:val="left"/>
      <w:pPr>
        <w:tabs>
          <w:tab w:val="num" w:pos="567"/>
        </w:tabs>
        <w:ind w:left="567" w:hanging="284"/>
      </w:pPr>
      <w:rPr>
        <w:rFonts w:hint="default"/>
        <w:b w:val="0"/>
        <w:i w:val="0"/>
      </w:rPr>
    </w:lvl>
    <w:lvl w:ilvl="2">
      <w:start w:val="1"/>
      <w:numFmt w:val="bullet"/>
      <w:pStyle w:val="BoxDoubleDot"/>
      <w:lvlText w:val=":"/>
      <w:lvlJc w:val="left"/>
      <w:pPr>
        <w:tabs>
          <w:tab w:val="num" w:pos="850"/>
        </w:tabs>
        <w:ind w:left="850" w:hanging="283"/>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3" w15:restartNumberingAfterBreak="0">
    <w:nsid w:val="10653560"/>
    <w:multiLevelType w:val="multilevel"/>
    <w:tmpl w:val="72F8140E"/>
    <w:styleLink w:val="OutlineList"/>
    <w:lvl w:ilvl="0">
      <w:start w:val="1"/>
      <w:numFmt w:val="decimal"/>
      <w:pStyle w:val="OutlineNumbered1"/>
      <w:lvlText w:val="%1."/>
      <w:lvlJc w:val="left"/>
      <w:pPr>
        <w:tabs>
          <w:tab w:val="num" w:pos="851"/>
        </w:tabs>
        <w:ind w:left="851" w:hanging="851"/>
      </w:pPr>
      <w:rPr>
        <w:rFonts w:hint="default"/>
      </w:rPr>
    </w:lvl>
    <w:lvl w:ilvl="1">
      <w:start w:val="1"/>
      <w:numFmt w:val="decimal"/>
      <w:pStyle w:val="OutlineNumbered2"/>
      <w:lvlText w:val="%1.%2"/>
      <w:lvlJc w:val="left"/>
      <w:pPr>
        <w:tabs>
          <w:tab w:val="num" w:pos="1134"/>
        </w:tabs>
        <w:ind w:left="1134" w:hanging="1134"/>
      </w:pPr>
      <w:rPr>
        <w:rFonts w:hint="default"/>
      </w:rPr>
    </w:lvl>
    <w:lvl w:ilvl="2">
      <w:start w:val="1"/>
      <w:numFmt w:val="decimal"/>
      <w:pStyle w:val="OutlineNumbered3"/>
      <w:lvlText w:val="%1.%2.%3"/>
      <w:lvlJc w:val="left"/>
      <w:pPr>
        <w:tabs>
          <w:tab w:val="num" w:pos="1418"/>
        </w:tabs>
        <w:ind w:left="1418" w:hanging="141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2A1534B"/>
    <w:multiLevelType w:val="multilevel"/>
    <w:tmpl w:val="E9F4F62C"/>
    <w:styleLink w:val="BulletsOAIC"/>
    <w:lvl w:ilvl="0">
      <w:start w:val="1"/>
      <w:numFmt w:val="bullet"/>
      <w:pStyle w:val="ListBullet"/>
      <w:lvlText w:val=""/>
      <w:lvlJc w:val="left"/>
      <w:pPr>
        <w:ind w:left="284" w:hanging="284"/>
      </w:pPr>
      <w:rPr>
        <w:rFonts w:ascii="Symbol" w:hAnsi="Symbol" w:hint="default"/>
        <w:b w:val="0"/>
        <w:bCs w:val="0"/>
        <w:i w:val="0"/>
        <w:iCs w:val="0"/>
        <w:caps w:val="0"/>
        <w:smallCaps w:val="0"/>
        <w:strike w:val="0"/>
        <w:dstrike w:val="0"/>
        <w:vanish w:val="0"/>
        <w:webHidden w:val="0"/>
        <w:color w:val="auto"/>
        <w:spacing w:val="0"/>
        <w:kern w:val="0"/>
        <w:position w:val="0"/>
        <w:u w:val="none" w:color="4472C4"/>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bullet"/>
      <w:pStyle w:val="ListBullet2"/>
      <w:lvlText w:val="−"/>
      <w:lvlJc w:val="left"/>
      <w:pPr>
        <w:ind w:left="568" w:hanging="284"/>
      </w:pPr>
      <w:rPr>
        <w:rFonts w:ascii="Times New Roman" w:hAnsi="Times New Roman" w:cs="Times New Roman" w:hint="default"/>
        <w:color w:val="auto"/>
      </w:rPr>
    </w:lvl>
    <w:lvl w:ilvl="2">
      <w:start w:val="1"/>
      <w:numFmt w:val="bullet"/>
      <w:pStyle w:val="ListBullet3"/>
      <w:lvlText w:val=""/>
      <w:lvlJc w:val="left"/>
      <w:pPr>
        <w:ind w:left="852" w:hanging="284"/>
      </w:pPr>
      <w:rPr>
        <w:rFonts w:ascii="Symbol" w:hAnsi="Symbol" w:hint="default"/>
        <w:color w:val="auto"/>
      </w:rPr>
    </w:lvl>
    <w:lvl w:ilvl="3">
      <w:start w:val="1"/>
      <w:numFmt w:val="bullet"/>
      <w:pStyle w:val="IndentBullet1"/>
      <w:lvlText w:val=""/>
      <w:lvlJc w:val="left"/>
      <w:pPr>
        <w:ind w:left="567" w:hanging="283"/>
      </w:pPr>
      <w:rPr>
        <w:rFonts w:ascii="Symbol" w:hAnsi="Symbol" w:hint="default"/>
        <w:color w:val="auto"/>
      </w:rPr>
    </w:lvl>
    <w:lvl w:ilvl="4">
      <w:start w:val="1"/>
      <w:numFmt w:val="bullet"/>
      <w:pStyle w:val="IndentBullet2"/>
      <w:lvlText w:val="−"/>
      <w:lvlJc w:val="left"/>
      <w:pPr>
        <w:ind w:left="851" w:hanging="284"/>
      </w:pPr>
      <w:rPr>
        <w:rFonts w:ascii="Times New Roman" w:hAnsi="Times New Roman" w:cs="Times New Roman" w:hint="default"/>
        <w:color w:val="auto"/>
      </w:rPr>
    </w:lvl>
    <w:lvl w:ilvl="5">
      <w:start w:val="1"/>
      <w:numFmt w:val="none"/>
      <w:lvlText w:val=""/>
      <w:lvlJc w:val="left"/>
      <w:pPr>
        <w:ind w:left="1704" w:hanging="284"/>
      </w:pPr>
    </w:lvl>
    <w:lvl w:ilvl="6">
      <w:start w:val="1"/>
      <w:numFmt w:val="none"/>
      <w:lvlText w:val=""/>
      <w:lvlJc w:val="left"/>
      <w:pPr>
        <w:ind w:left="1988" w:hanging="284"/>
      </w:pPr>
    </w:lvl>
    <w:lvl w:ilvl="7">
      <w:start w:val="1"/>
      <w:numFmt w:val="none"/>
      <w:lvlText w:val=""/>
      <w:lvlJc w:val="left"/>
      <w:pPr>
        <w:ind w:left="2272" w:hanging="284"/>
      </w:pPr>
    </w:lvl>
    <w:lvl w:ilvl="8">
      <w:start w:val="1"/>
      <w:numFmt w:val="none"/>
      <w:lvlText w:val=""/>
      <w:lvlJc w:val="left"/>
      <w:pPr>
        <w:ind w:left="2556" w:hanging="284"/>
      </w:pPr>
    </w:lvl>
  </w:abstractNum>
  <w:abstractNum w:abstractNumId="5" w15:restartNumberingAfterBreak="0">
    <w:nsid w:val="16CC4E5D"/>
    <w:multiLevelType w:val="multilevel"/>
    <w:tmpl w:val="D10E9CF6"/>
    <w:numStyleLink w:val="OneLevelList"/>
  </w:abstractNum>
  <w:abstractNum w:abstractNumId="6" w15:restartNumberingAfterBreak="0">
    <w:nsid w:val="17DF7717"/>
    <w:multiLevelType w:val="multilevel"/>
    <w:tmpl w:val="B91AC3AC"/>
    <w:lvl w:ilvl="0">
      <w:start w:val="1"/>
      <w:numFmt w:val="decimal"/>
      <w:pStyle w:val="Heading1Numbered"/>
      <w:lvlText w:val="%1."/>
      <w:lvlJc w:val="left"/>
      <w:pPr>
        <w:ind w:left="360" w:hanging="360"/>
      </w:pPr>
      <w:rPr>
        <w:rFonts w:hint="default"/>
      </w:rPr>
    </w:lvl>
    <w:lvl w:ilvl="1">
      <w:start w:val="1"/>
      <w:numFmt w:val="decimal"/>
      <w:pStyle w:val="Heading2Numbered"/>
      <w:lvlText w:val="%1.%2"/>
      <w:lvlJc w:val="left"/>
      <w:pPr>
        <w:ind w:left="720" w:hanging="360"/>
      </w:pPr>
      <w:rPr>
        <w:rFonts w:hint="default"/>
      </w:rPr>
    </w:lvl>
    <w:lvl w:ilvl="2">
      <w:start w:val="1"/>
      <w:numFmt w:val="decimal"/>
      <w:pStyle w:val="Heading3Numbered"/>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E0149A7"/>
    <w:multiLevelType w:val="hybridMultilevel"/>
    <w:tmpl w:val="D056EC1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8" w15:restartNumberingAfterBreak="0">
    <w:nsid w:val="249A6161"/>
    <w:multiLevelType w:val="hybridMultilevel"/>
    <w:tmpl w:val="04548AD0"/>
    <w:lvl w:ilvl="0" w:tplc="BAAE25EE">
      <w:start w:val="1"/>
      <w:numFmt w:val="bullet"/>
      <w:lvlText w:val="•"/>
      <w:lvlJc w:val="left"/>
      <w:pPr>
        <w:tabs>
          <w:tab w:val="num" w:pos="720"/>
        </w:tabs>
        <w:ind w:left="720" w:hanging="360"/>
      </w:pPr>
      <w:rPr>
        <w:rFonts w:ascii="Arial" w:hAnsi="Arial" w:hint="default"/>
      </w:rPr>
    </w:lvl>
    <w:lvl w:ilvl="1" w:tplc="A3441438" w:tentative="1">
      <w:start w:val="1"/>
      <w:numFmt w:val="bullet"/>
      <w:lvlText w:val="•"/>
      <w:lvlJc w:val="left"/>
      <w:pPr>
        <w:tabs>
          <w:tab w:val="num" w:pos="1440"/>
        </w:tabs>
        <w:ind w:left="1440" w:hanging="360"/>
      </w:pPr>
      <w:rPr>
        <w:rFonts w:ascii="Arial" w:hAnsi="Arial" w:hint="default"/>
      </w:rPr>
    </w:lvl>
    <w:lvl w:ilvl="2" w:tplc="20CEEB52" w:tentative="1">
      <w:start w:val="1"/>
      <w:numFmt w:val="bullet"/>
      <w:lvlText w:val="•"/>
      <w:lvlJc w:val="left"/>
      <w:pPr>
        <w:tabs>
          <w:tab w:val="num" w:pos="2160"/>
        </w:tabs>
        <w:ind w:left="2160" w:hanging="360"/>
      </w:pPr>
      <w:rPr>
        <w:rFonts w:ascii="Arial" w:hAnsi="Arial" w:hint="default"/>
      </w:rPr>
    </w:lvl>
    <w:lvl w:ilvl="3" w:tplc="716E051A" w:tentative="1">
      <w:start w:val="1"/>
      <w:numFmt w:val="bullet"/>
      <w:lvlText w:val="•"/>
      <w:lvlJc w:val="left"/>
      <w:pPr>
        <w:tabs>
          <w:tab w:val="num" w:pos="2880"/>
        </w:tabs>
        <w:ind w:left="2880" w:hanging="360"/>
      </w:pPr>
      <w:rPr>
        <w:rFonts w:ascii="Arial" w:hAnsi="Arial" w:hint="default"/>
      </w:rPr>
    </w:lvl>
    <w:lvl w:ilvl="4" w:tplc="0CA0A68E" w:tentative="1">
      <w:start w:val="1"/>
      <w:numFmt w:val="bullet"/>
      <w:lvlText w:val="•"/>
      <w:lvlJc w:val="left"/>
      <w:pPr>
        <w:tabs>
          <w:tab w:val="num" w:pos="3600"/>
        </w:tabs>
        <w:ind w:left="3600" w:hanging="360"/>
      </w:pPr>
      <w:rPr>
        <w:rFonts w:ascii="Arial" w:hAnsi="Arial" w:hint="default"/>
      </w:rPr>
    </w:lvl>
    <w:lvl w:ilvl="5" w:tplc="021085E0" w:tentative="1">
      <w:start w:val="1"/>
      <w:numFmt w:val="bullet"/>
      <w:lvlText w:val="•"/>
      <w:lvlJc w:val="left"/>
      <w:pPr>
        <w:tabs>
          <w:tab w:val="num" w:pos="4320"/>
        </w:tabs>
        <w:ind w:left="4320" w:hanging="360"/>
      </w:pPr>
      <w:rPr>
        <w:rFonts w:ascii="Arial" w:hAnsi="Arial" w:hint="default"/>
      </w:rPr>
    </w:lvl>
    <w:lvl w:ilvl="6" w:tplc="782468EC" w:tentative="1">
      <w:start w:val="1"/>
      <w:numFmt w:val="bullet"/>
      <w:lvlText w:val="•"/>
      <w:lvlJc w:val="left"/>
      <w:pPr>
        <w:tabs>
          <w:tab w:val="num" w:pos="5040"/>
        </w:tabs>
        <w:ind w:left="5040" w:hanging="360"/>
      </w:pPr>
      <w:rPr>
        <w:rFonts w:ascii="Arial" w:hAnsi="Arial" w:hint="default"/>
      </w:rPr>
    </w:lvl>
    <w:lvl w:ilvl="7" w:tplc="9FCE0E90" w:tentative="1">
      <w:start w:val="1"/>
      <w:numFmt w:val="bullet"/>
      <w:lvlText w:val="•"/>
      <w:lvlJc w:val="left"/>
      <w:pPr>
        <w:tabs>
          <w:tab w:val="num" w:pos="5760"/>
        </w:tabs>
        <w:ind w:left="5760" w:hanging="360"/>
      </w:pPr>
      <w:rPr>
        <w:rFonts w:ascii="Arial" w:hAnsi="Arial" w:hint="default"/>
      </w:rPr>
    </w:lvl>
    <w:lvl w:ilvl="8" w:tplc="0E6CC1CE"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7826BF0"/>
    <w:multiLevelType w:val="multilevel"/>
    <w:tmpl w:val="6D0AA75C"/>
    <w:lvl w:ilvl="0">
      <w:start w:val="1"/>
      <w:numFmt w:val="lowerRoman"/>
      <w:pStyle w:val="Romannumeral"/>
      <w:lvlText w:val="%1."/>
      <w:lvlJc w:val="left"/>
      <w:pPr>
        <w:tabs>
          <w:tab w:val="num" w:pos="720"/>
        </w:tabs>
        <w:ind w:left="720" w:hanging="720"/>
      </w:pPr>
      <w:rPr>
        <w:rFonts w:hint="default"/>
      </w:rPr>
    </w:lvl>
    <w:lvl w:ilvl="1">
      <w:start w:val="1"/>
      <w:numFmt w:val="lowerLetter"/>
      <w:pStyle w:val="AlphaParagraph"/>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BF625A8"/>
    <w:multiLevelType w:val="multilevel"/>
    <w:tmpl w:val="5B16BA5C"/>
    <w:lvl w:ilvl="0">
      <w:start w:val="1"/>
      <w:numFmt w:val="bullet"/>
      <w:lvlText w:val="•"/>
      <w:lvlJc w:val="left"/>
      <w:pPr>
        <w:tabs>
          <w:tab w:val="num" w:pos="520"/>
        </w:tabs>
        <w:ind w:left="520" w:hanging="520"/>
      </w:pPr>
      <w:rPr>
        <w:rFonts w:ascii="Times New Roman" w:hAnsi="Times New Roman" w:cs="Times New Roman"/>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989" w:hanging="360"/>
      </w:pPr>
    </w:lvl>
    <w:lvl w:ilvl="4">
      <w:start w:val="1"/>
      <w:numFmt w:val="lowerLetter"/>
      <w:lvlText w:val="(%5)"/>
      <w:lvlJc w:val="left"/>
      <w:pPr>
        <w:ind w:left="2349" w:hanging="360"/>
      </w:pPr>
    </w:lvl>
    <w:lvl w:ilvl="5">
      <w:start w:val="1"/>
      <w:numFmt w:val="lowerRoman"/>
      <w:lvlText w:val="(%6)"/>
      <w:lvlJc w:val="left"/>
      <w:pPr>
        <w:ind w:left="2709" w:hanging="360"/>
      </w:pPr>
    </w:lvl>
    <w:lvl w:ilvl="6">
      <w:start w:val="1"/>
      <w:numFmt w:val="decimal"/>
      <w:lvlText w:val="%7."/>
      <w:lvlJc w:val="left"/>
      <w:pPr>
        <w:ind w:left="3069" w:hanging="360"/>
      </w:pPr>
    </w:lvl>
    <w:lvl w:ilvl="7">
      <w:start w:val="1"/>
      <w:numFmt w:val="lowerLetter"/>
      <w:lvlText w:val="%8."/>
      <w:lvlJc w:val="left"/>
      <w:pPr>
        <w:ind w:left="3429" w:hanging="360"/>
      </w:pPr>
    </w:lvl>
    <w:lvl w:ilvl="8">
      <w:start w:val="1"/>
      <w:numFmt w:val="lowerRoman"/>
      <w:lvlText w:val="%9."/>
      <w:lvlJc w:val="left"/>
      <w:pPr>
        <w:ind w:left="3789" w:hanging="360"/>
      </w:pPr>
    </w:lvl>
  </w:abstractNum>
  <w:abstractNum w:abstractNumId="11" w15:restartNumberingAfterBreak="0">
    <w:nsid w:val="308C2710"/>
    <w:multiLevelType w:val="multilevel"/>
    <w:tmpl w:val="0D723674"/>
    <w:styleLink w:val="BulletedList"/>
    <w:lvl w:ilvl="0">
      <w:start w:val="1"/>
      <w:numFmt w:val="bullet"/>
      <w:lvlRestart w:val="0"/>
      <w:pStyle w:val="Bullet"/>
      <w:lvlText w:val="•"/>
      <w:lvlJc w:val="left"/>
      <w:pPr>
        <w:tabs>
          <w:tab w:val="num" w:pos="283"/>
        </w:tabs>
        <w:ind w:left="283" w:hanging="283"/>
      </w:pPr>
      <w:rPr>
        <w:rFonts w:ascii="Times New Roman" w:hAnsi="Times New Roman" w:cs="Times New Roman" w:hint="default"/>
        <w:b w:val="0"/>
        <w:i w:val="0"/>
      </w:rPr>
    </w:lvl>
    <w:lvl w:ilvl="1">
      <w:start w:val="1"/>
      <w:numFmt w:val="bullet"/>
      <w:pStyle w:val="Dash"/>
      <w:lvlText w:val="–"/>
      <w:lvlJc w:val="left"/>
      <w:pPr>
        <w:tabs>
          <w:tab w:val="num" w:pos="567"/>
        </w:tabs>
        <w:ind w:left="567" w:hanging="284"/>
      </w:pPr>
      <w:rPr>
        <w:rFonts w:ascii="Times New Roman" w:hAnsi="Times New Roman" w:cs="Times New Roman" w:hint="default"/>
        <w:b w:val="0"/>
        <w:i w:val="0"/>
      </w:rPr>
    </w:lvl>
    <w:lvl w:ilvl="2">
      <w:start w:val="1"/>
      <w:numFmt w:val="bullet"/>
      <w:pStyle w:val="DoubleDot"/>
      <w:lvlText w:val=":"/>
      <w:lvlJc w:val="left"/>
      <w:pPr>
        <w:tabs>
          <w:tab w:val="num" w:pos="850"/>
        </w:tabs>
        <w:ind w:left="850" w:hanging="283"/>
      </w:pPr>
      <w:rPr>
        <w:rFonts w:ascii="Times New Roman" w:hAnsi="Times New Roman" w:cs="Times New Roman"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2" w15:restartNumberingAfterBreak="0">
    <w:nsid w:val="3238442C"/>
    <w:multiLevelType w:val="multilevel"/>
    <w:tmpl w:val="20C6D62C"/>
    <w:styleLink w:val="ChartandTableFootnoteAlphaList"/>
    <w:lvl w:ilvl="0">
      <w:start w:val="1"/>
      <w:numFmt w:val="lowerLetter"/>
      <w:pStyle w:val="ChartandTableFootnoteAlpha"/>
      <w:lvlText w:val="(%1)"/>
      <w:lvlJc w:val="left"/>
      <w:pPr>
        <w:tabs>
          <w:tab w:val="num" w:pos="284"/>
        </w:tabs>
        <w:ind w:left="284" w:hanging="284"/>
      </w:pPr>
      <w:rPr>
        <w:rFonts w:ascii="Arial" w:hAnsi="Arial" w:hint="default"/>
        <w:b w:val="0"/>
        <w:i w:val="0"/>
        <w:sz w:val="1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330C16AD"/>
    <w:multiLevelType w:val="multilevel"/>
    <w:tmpl w:val="D10E9CF6"/>
    <w:styleLink w:val="OneLevelList"/>
    <w:lvl w:ilvl="0">
      <w:start w:val="1"/>
      <w:numFmt w:val="decimal"/>
      <w:pStyle w:val="OneLevelNumberedParagraph"/>
      <w:lvlText w:val="%1."/>
      <w:lvlJc w:val="left"/>
      <w:pPr>
        <w:tabs>
          <w:tab w:val="num" w:pos="284"/>
        </w:tabs>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61F091C"/>
    <w:multiLevelType w:val="multilevel"/>
    <w:tmpl w:val="45F65B74"/>
    <w:lvl w:ilvl="0">
      <w:start w:val="1"/>
      <w:numFmt w:val="bullet"/>
      <w:lvlText w:val=""/>
      <w:lvlJc w:val="left"/>
      <w:pPr>
        <w:tabs>
          <w:tab w:val="num" w:pos="661"/>
        </w:tabs>
        <w:ind w:left="661" w:hanging="661"/>
      </w:pPr>
      <w:rPr>
        <w:rFonts w:ascii="Symbol" w:hAnsi="Symbol" w:hint="default"/>
      </w:rPr>
    </w:lvl>
    <w:lvl w:ilvl="1">
      <w:start w:val="1"/>
      <w:numFmt w:val="decimal"/>
      <w:lvlText w:val="%1.%2."/>
      <w:lvlJc w:val="left"/>
      <w:pPr>
        <w:tabs>
          <w:tab w:val="num" w:pos="1322"/>
        </w:tabs>
        <w:ind w:left="1322" w:hanging="661"/>
      </w:pPr>
    </w:lvl>
    <w:lvl w:ilvl="2">
      <w:start w:val="1"/>
      <w:numFmt w:val="decimal"/>
      <w:lvlText w:val="%1.%2.%3."/>
      <w:lvlJc w:val="left"/>
      <w:pPr>
        <w:tabs>
          <w:tab w:val="num" w:pos="1983"/>
        </w:tabs>
        <w:ind w:left="1983" w:hanging="661"/>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BBB4575"/>
    <w:multiLevelType w:val="multilevel"/>
    <w:tmpl w:val="1F38328A"/>
    <w:lvl w:ilvl="0">
      <w:start w:val="1"/>
      <w:numFmt w:val="decimal"/>
      <w:lvlText w:val="%1"/>
      <w:lvlJc w:val="left"/>
      <w:pPr>
        <w:ind w:left="360" w:hanging="360"/>
      </w:pPr>
      <w:rPr>
        <w:rFonts w:hint="default"/>
        <w:sz w:val="28"/>
      </w:rPr>
    </w:lvl>
    <w:lvl w:ilvl="1">
      <w:start w:val="1"/>
      <w:numFmt w:val="decimal"/>
      <w:pStyle w:val="CABNumberedParagraph"/>
      <w:lvlText w:val="%1.%2"/>
      <w:lvlJc w:val="left"/>
      <w:pPr>
        <w:tabs>
          <w:tab w:val="num" w:pos="340"/>
        </w:tabs>
        <w:ind w:left="340" w:firstLine="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FBD7996"/>
    <w:multiLevelType w:val="multilevel"/>
    <w:tmpl w:val="889679C8"/>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43B66651"/>
    <w:multiLevelType w:val="hybridMultilevel"/>
    <w:tmpl w:val="0E78809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8" w15:restartNumberingAfterBreak="0">
    <w:nsid w:val="4899549E"/>
    <w:multiLevelType w:val="hybridMultilevel"/>
    <w:tmpl w:val="ABEE35D4"/>
    <w:lvl w:ilvl="0" w:tplc="64D6DCBC">
      <w:start w:val="1"/>
      <w:numFmt w:val="lowerLetter"/>
      <w:pStyle w:val="CABRecommendationsList"/>
      <w:lvlText w:val="(%1)"/>
      <w:lvlJc w:val="left"/>
      <w:pPr>
        <w:ind w:left="802" w:hanging="405"/>
      </w:pPr>
      <w:rPr>
        <w:rFonts w:hint="default"/>
      </w:rPr>
    </w:lvl>
    <w:lvl w:ilvl="1" w:tplc="962A6952">
      <w:start w:val="1"/>
      <w:numFmt w:val="lowerLetter"/>
      <w:lvlText w:val="%2."/>
      <w:lvlJc w:val="left"/>
      <w:pPr>
        <w:ind w:left="1477" w:hanging="360"/>
      </w:pPr>
    </w:lvl>
    <w:lvl w:ilvl="2" w:tplc="0D5CE5A6" w:tentative="1">
      <w:start w:val="1"/>
      <w:numFmt w:val="lowerRoman"/>
      <w:lvlText w:val="%3."/>
      <w:lvlJc w:val="right"/>
      <w:pPr>
        <w:ind w:left="2197" w:hanging="180"/>
      </w:pPr>
    </w:lvl>
    <w:lvl w:ilvl="3" w:tplc="A47CA5BA" w:tentative="1">
      <w:start w:val="1"/>
      <w:numFmt w:val="decimal"/>
      <w:lvlText w:val="%4."/>
      <w:lvlJc w:val="left"/>
      <w:pPr>
        <w:ind w:left="2917" w:hanging="360"/>
      </w:pPr>
    </w:lvl>
    <w:lvl w:ilvl="4" w:tplc="4B185550" w:tentative="1">
      <w:start w:val="1"/>
      <w:numFmt w:val="lowerLetter"/>
      <w:lvlText w:val="%5."/>
      <w:lvlJc w:val="left"/>
      <w:pPr>
        <w:ind w:left="3637" w:hanging="360"/>
      </w:pPr>
    </w:lvl>
    <w:lvl w:ilvl="5" w:tplc="56569408" w:tentative="1">
      <w:start w:val="1"/>
      <w:numFmt w:val="lowerRoman"/>
      <w:lvlText w:val="%6."/>
      <w:lvlJc w:val="right"/>
      <w:pPr>
        <w:ind w:left="4357" w:hanging="180"/>
      </w:pPr>
    </w:lvl>
    <w:lvl w:ilvl="6" w:tplc="754A3D9E" w:tentative="1">
      <w:start w:val="1"/>
      <w:numFmt w:val="decimal"/>
      <w:lvlText w:val="%7."/>
      <w:lvlJc w:val="left"/>
      <w:pPr>
        <w:ind w:left="5077" w:hanging="360"/>
      </w:pPr>
    </w:lvl>
    <w:lvl w:ilvl="7" w:tplc="4B3E1C04" w:tentative="1">
      <w:start w:val="1"/>
      <w:numFmt w:val="lowerLetter"/>
      <w:lvlText w:val="%8."/>
      <w:lvlJc w:val="left"/>
      <w:pPr>
        <w:ind w:left="5797" w:hanging="360"/>
      </w:pPr>
    </w:lvl>
    <w:lvl w:ilvl="8" w:tplc="1D64F382" w:tentative="1">
      <w:start w:val="1"/>
      <w:numFmt w:val="lowerRoman"/>
      <w:lvlText w:val="%9."/>
      <w:lvlJc w:val="right"/>
      <w:pPr>
        <w:ind w:left="6517" w:hanging="180"/>
      </w:pPr>
    </w:lvl>
  </w:abstractNum>
  <w:abstractNum w:abstractNumId="19" w15:restartNumberingAfterBreak="0">
    <w:nsid w:val="49CC5A75"/>
    <w:multiLevelType w:val="multilevel"/>
    <w:tmpl w:val="FADEB686"/>
    <w:lvl w:ilvl="0">
      <w:start w:val="1"/>
      <w:numFmt w:val="decimal"/>
      <w:lvlText w:val="%1."/>
      <w:lvlJc w:val="left"/>
      <w:pPr>
        <w:tabs>
          <w:tab w:val="num" w:pos="661"/>
        </w:tabs>
        <w:ind w:left="661" w:hanging="661"/>
      </w:pPr>
    </w:lvl>
    <w:lvl w:ilvl="1">
      <w:start w:val="1"/>
      <w:numFmt w:val="decimal"/>
      <w:lvlText w:val="%1.%2."/>
      <w:lvlJc w:val="left"/>
      <w:pPr>
        <w:tabs>
          <w:tab w:val="num" w:pos="1322"/>
        </w:tabs>
        <w:ind w:left="1322" w:hanging="661"/>
      </w:pPr>
    </w:lvl>
    <w:lvl w:ilvl="2">
      <w:start w:val="1"/>
      <w:numFmt w:val="decimal"/>
      <w:lvlText w:val="%1.%2.%3."/>
      <w:lvlJc w:val="left"/>
      <w:pPr>
        <w:tabs>
          <w:tab w:val="num" w:pos="1983"/>
        </w:tabs>
        <w:ind w:left="1983" w:hanging="661"/>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4CFC1B56"/>
    <w:multiLevelType w:val="multilevel"/>
    <w:tmpl w:val="111221DC"/>
    <w:lvl w:ilvl="0">
      <w:start w:val="1"/>
      <w:numFmt w:val="decimal"/>
      <w:pStyle w:val="HeadingTOC1"/>
      <w:lvlText w:val="%1."/>
      <w:lvlJc w:val="left"/>
      <w:pPr>
        <w:ind w:left="360" w:hanging="360"/>
      </w:pPr>
    </w:lvl>
    <w:lvl w:ilvl="1">
      <w:start w:val="1"/>
      <w:numFmt w:val="decimal"/>
      <w:lvlText w:val="%1.%2."/>
      <w:lvlJc w:val="left"/>
      <w:pPr>
        <w:ind w:left="1283" w:hanging="432"/>
      </w:pPr>
    </w:lvl>
    <w:lvl w:ilvl="2">
      <w:start w:val="1"/>
      <w:numFmt w:val="decimal"/>
      <w:lvlText w:val="%1.%2.%3."/>
      <w:lvlJc w:val="left"/>
      <w:pPr>
        <w:ind w:left="788"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10D2021"/>
    <w:multiLevelType w:val="multilevel"/>
    <w:tmpl w:val="72F8140E"/>
    <w:numStyleLink w:val="OutlineList"/>
  </w:abstractNum>
  <w:abstractNum w:abstractNumId="22" w15:restartNumberingAfterBreak="0">
    <w:nsid w:val="586436EE"/>
    <w:multiLevelType w:val="hybridMultilevel"/>
    <w:tmpl w:val="2A041FA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3" w15:restartNumberingAfterBreak="0">
    <w:nsid w:val="632B3547"/>
    <w:multiLevelType w:val="hybridMultilevel"/>
    <w:tmpl w:val="18CEF438"/>
    <w:lvl w:ilvl="0" w:tplc="3D648A12">
      <w:start w:val="1"/>
      <w:numFmt w:val="lowerLetter"/>
      <w:pStyle w:val="CABList"/>
      <w:lvlText w:val="%1)"/>
      <w:lvlJc w:val="left"/>
      <w:pPr>
        <w:ind w:left="720" w:hanging="360"/>
      </w:pPr>
    </w:lvl>
    <w:lvl w:ilvl="1" w:tplc="42901D9E" w:tentative="1">
      <w:start w:val="1"/>
      <w:numFmt w:val="lowerLetter"/>
      <w:lvlText w:val="%2."/>
      <w:lvlJc w:val="left"/>
      <w:pPr>
        <w:ind w:left="1440" w:hanging="360"/>
      </w:pPr>
    </w:lvl>
    <w:lvl w:ilvl="2" w:tplc="973427C2" w:tentative="1">
      <w:start w:val="1"/>
      <w:numFmt w:val="lowerRoman"/>
      <w:lvlText w:val="%3."/>
      <w:lvlJc w:val="right"/>
      <w:pPr>
        <w:ind w:left="2160" w:hanging="180"/>
      </w:pPr>
    </w:lvl>
    <w:lvl w:ilvl="3" w:tplc="BFC0E102" w:tentative="1">
      <w:start w:val="1"/>
      <w:numFmt w:val="decimal"/>
      <w:lvlText w:val="%4."/>
      <w:lvlJc w:val="left"/>
      <w:pPr>
        <w:ind w:left="2880" w:hanging="360"/>
      </w:pPr>
    </w:lvl>
    <w:lvl w:ilvl="4" w:tplc="A7D07B42" w:tentative="1">
      <w:start w:val="1"/>
      <w:numFmt w:val="lowerLetter"/>
      <w:lvlText w:val="%5."/>
      <w:lvlJc w:val="left"/>
      <w:pPr>
        <w:ind w:left="3600" w:hanging="360"/>
      </w:pPr>
    </w:lvl>
    <w:lvl w:ilvl="5" w:tplc="15F83664" w:tentative="1">
      <w:start w:val="1"/>
      <w:numFmt w:val="lowerRoman"/>
      <w:lvlText w:val="%6."/>
      <w:lvlJc w:val="right"/>
      <w:pPr>
        <w:ind w:left="4320" w:hanging="180"/>
      </w:pPr>
    </w:lvl>
    <w:lvl w:ilvl="6" w:tplc="0D70EC96" w:tentative="1">
      <w:start w:val="1"/>
      <w:numFmt w:val="decimal"/>
      <w:lvlText w:val="%7."/>
      <w:lvlJc w:val="left"/>
      <w:pPr>
        <w:ind w:left="5040" w:hanging="360"/>
      </w:pPr>
    </w:lvl>
    <w:lvl w:ilvl="7" w:tplc="DFDEDD20" w:tentative="1">
      <w:start w:val="1"/>
      <w:numFmt w:val="lowerLetter"/>
      <w:lvlText w:val="%8."/>
      <w:lvlJc w:val="left"/>
      <w:pPr>
        <w:ind w:left="5760" w:hanging="360"/>
      </w:pPr>
    </w:lvl>
    <w:lvl w:ilvl="8" w:tplc="C040DB7C" w:tentative="1">
      <w:start w:val="1"/>
      <w:numFmt w:val="lowerRoman"/>
      <w:lvlText w:val="%9."/>
      <w:lvlJc w:val="right"/>
      <w:pPr>
        <w:ind w:left="6480" w:hanging="180"/>
      </w:pPr>
    </w:lvl>
  </w:abstractNum>
  <w:abstractNum w:abstractNumId="24" w15:restartNumberingAfterBreak="0">
    <w:nsid w:val="6A5F0AAA"/>
    <w:multiLevelType w:val="multilevel"/>
    <w:tmpl w:val="A336BEF0"/>
    <w:name w:val="StandardBulletedList"/>
    <w:lvl w:ilvl="0">
      <w:start w:val="1"/>
      <w:numFmt w:val="bullet"/>
      <w:lvlText w:val="•"/>
      <w:lvlJc w:val="left"/>
      <w:pPr>
        <w:tabs>
          <w:tab w:val="num" w:pos="520"/>
        </w:tabs>
        <w:ind w:left="520" w:hanging="520"/>
      </w:pPr>
      <w:rPr>
        <w:rFonts w:ascii="Times New Roman" w:hAnsi="Times New Roman" w:cs="Times New Roman"/>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837" w:hanging="360"/>
      </w:pPr>
    </w:lvl>
    <w:lvl w:ilvl="4">
      <w:start w:val="1"/>
      <w:numFmt w:val="lowerLetter"/>
      <w:lvlText w:val="(%5)"/>
      <w:lvlJc w:val="left"/>
      <w:pPr>
        <w:ind w:left="2197" w:hanging="360"/>
      </w:pPr>
    </w:lvl>
    <w:lvl w:ilvl="5">
      <w:start w:val="1"/>
      <w:numFmt w:val="lowerRoman"/>
      <w:lvlText w:val="(%6)"/>
      <w:lvlJc w:val="left"/>
      <w:pPr>
        <w:ind w:left="2557" w:hanging="360"/>
      </w:pPr>
    </w:lvl>
    <w:lvl w:ilvl="6">
      <w:start w:val="1"/>
      <w:numFmt w:val="decimal"/>
      <w:lvlText w:val="%7."/>
      <w:lvlJc w:val="left"/>
      <w:pPr>
        <w:ind w:left="2917" w:hanging="360"/>
      </w:pPr>
    </w:lvl>
    <w:lvl w:ilvl="7">
      <w:start w:val="1"/>
      <w:numFmt w:val="lowerLetter"/>
      <w:lvlText w:val="%8."/>
      <w:lvlJc w:val="left"/>
      <w:pPr>
        <w:ind w:left="3277" w:hanging="360"/>
      </w:pPr>
    </w:lvl>
    <w:lvl w:ilvl="8">
      <w:start w:val="1"/>
      <w:numFmt w:val="lowerRoman"/>
      <w:lvlText w:val="%9."/>
      <w:lvlJc w:val="left"/>
      <w:pPr>
        <w:ind w:left="3637" w:hanging="360"/>
      </w:pPr>
    </w:lvl>
  </w:abstractNum>
  <w:abstractNum w:abstractNumId="25" w15:restartNumberingAfterBreak="0">
    <w:nsid w:val="6D0931A5"/>
    <w:multiLevelType w:val="hybridMultilevel"/>
    <w:tmpl w:val="96F6ECAA"/>
    <w:lvl w:ilvl="0" w:tplc="BB52D13C">
      <w:start w:val="1"/>
      <w:numFmt w:val="lowerLetter"/>
      <w:lvlText w:val="%1)"/>
      <w:lvlJc w:val="left"/>
      <w:pPr>
        <w:ind w:left="360" w:hanging="360"/>
      </w:pPr>
      <w:rPr>
        <w:rFonts w:cstheme="minorHAnsi" w:hint="default"/>
        <w:b w:val="0"/>
        <w:bCs w:val="0"/>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 w15:restartNumberingAfterBreak="0">
    <w:nsid w:val="6E2664B8"/>
    <w:multiLevelType w:val="multilevel"/>
    <w:tmpl w:val="7710F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0EB2A14"/>
    <w:multiLevelType w:val="multilevel"/>
    <w:tmpl w:val="E9F4F62C"/>
    <w:numStyleLink w:val="BulletsOAIC"/>
  </w:abstractNum>
  <w:abstractNum w:abstractNumId="28" w15:restartNumberingAfterBreak="0">
    <w:nsid w:val="730D7EC4"/>
    <w:multiLevelType w:val="multilevel"/>
    <w:tmpl w:val="6C3EF690"/>
    <w:name w:val="StandardNumberedList"/>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1134"/>
        </w:tabs>
        <w:ind w:left="1134" w:hanging="567"/>
      </w:pPr>
      <w:rPr>
        <w:rFonts w:hint="default"/>
      </w:rPr>
    </w:lvl>
    <w:lvl w:ilvl="2">
      <w:start w:val="1"/>
      <w:numFmt w:val="decimal"/>
      <w:lvlText w:val="%1.%2.%3."/>
      <w:lvlJc w:val="left"/>
      <w:pPr>
        <w:tabs>
          <w:tab w:val="num" w:pos="1701"/>
        </w:tabs>
        <w:ind w:left="1701" w:hanging="567"/>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76F26231"/>
    <w:multiLevelType w:val="hybridMultilevel"/>
    <w:tmpl w:val="E8627772"/>
    <w:lvl w:ilvl="0" w:tplc="B720BAB2">
      <w:start w:val="1"/>
      <w:numFmt w:val="bullet"/>
      <w:pStyle w:val="CABBulletList"/>
      <w:lvlText w:val=""/>
      <w:lvlJc w:val="left"/>
      <w:pPr>
        <w:ind w:left="284" w:hanging="284"/>
      </w:pPr>
      <w:rPr>
        <w:rFonts w:ascii="Symbol" w:hAnsi="Symbol" w:hint="default"/>
        <w:color w:val="002C47" w:themeColor="accent1"/>
      </w:rPr>
    </w:lvl>
    <w:lvl w:ilvl="1" w:tplc="DC24EC3E" w:tentative="1">
      <w:start w:val="1"/>
      <w:numFmt w:val="bullet"/>
      <w:lvlText w:val="o"/>
      <w:lvlJc w:val="left"/>
      <w:pPr>
        <w:ind w:left="1440" w:hanging="360"/>
      </w:pPr>
      <w:rPr>
        <w:rFonts w:ascii="Courier New" w:hAnsi="Courier New" w:hint="default"/>
      </w:rPr>
    </w:lvl>
    <w:lvl w:ilvl="2" w:tplc="C084349C" w:tentative="1">
      <w:start w:val="1"/>
      <w:numFmt w:val="bullet"/>
      <w:lvlText w:val=""/>
      <w:lvlJc w:val="left"/>
      <w:pPr>
        <w:ind w:left="2160" w:hanging="360"/>
      </w:pPr>
      <w:rPr>
        <w:rFonts w:ascii="Wingdings" w:hAnsi="Wingdings" w:hint="default"/>
      </w:rPr>
    </w:lvl>
    <w:lvl w:ilvl="3" w:tplc="D64E1D40" w:tentative="1">
      <w:start w:val="1"/>
      <w:numFmt w:val="bullet"/>
      <w:lvlText w:val=""/>
      <w:lvlJc w:val="left"/>
      <w:pPr>
        <w:ind w:left="2880" w:hanging="360"/>
      </w:pPr>
      <w:rPr>
        <w:rFonts w:ascii="Symbol" w:hAnsi="Symbol" w:hint="default"/>
      </w:rPr>
    </w:lvl>
    <w:lvl w:ilvl="4" w:tplc="9092C7F0" w:tentative="1">
      <w:start w:val="1"/>
      <w:numFmt w:val="bullet"/>
      <w:lvlText w:val="o"/>
      <w:lvlJc w:val="left"/>
      <w:pPr>
        <w:ind w:left="3600" w:hanging="360"/>
      </w:pPr>
      <w:rPr>
        <w:rFonts w:ascii="Courier New" w:hAnsi="Courier New" w:hint="default"/>
      </w:rPr>
    </w:lvl>
    <w:lvl w:ilvl="5" w:tplc="F09662FC" w:tentative="1">
      <w:start w:val="1"/>
      <w:numFmt w:val="bullet"/>
      <w:lvlText w:val=""/>
      <w:lvlJc w:val="left"/>
      <w:pPr>
        <w:ind w:left="4320" w:hanging="360"/>
      </w:pPr>
      <w:rPr>
        <w:rFonts w:ascii="Wingdings" w:hAnsi="Wingdings" w:hint="default"/>
      </w:rPr>
    </w:lvl>
    <w:lvl w:ilvl="6" w:tplc="D14E1F5A" w:tentative="1">
      <w:start w:val="1"/>
      <w:numFmt w:val="bullet"/>
      <w:lvlText w:val=""/>
      <w:lvlJc w:val="left"/>
      <w:pPr>
        <w:ind w:left="5040" w:hanging="360"/>
      </w:pPr>
      <w:rPr>
        <w:rFonts w:ascii="Symbol" w:hAnsi="Symbol" w:hint="default"/>
      </w:rPr>
    </w:lvl>
    <w:lvl w:ilvl="7" w:tplc="3702B93A" w:tentative="1">
      <w:start w:val="1"/>
      <w:numFmt w:val="bullet"/>
      <w:lvlText w:val="o"/>
      <w:lvlJc w:val="left"/>
      <w:pPr>
        <w:ind w:left="5760" w:hanging="360"/>
      </w:pPr>
      <w:rPr>
        <w:rFonts w:ascii="Courier New" w:hAnsi="Courier New" w:hint="default"/>
      </w:rPr>
    </w:lvl>
    <w:lvl w:ilvl="8" w:tplc="9A449E86" w:tentative="1">
      <w:start w:val="1"/>
      <w:numFmt w:val="bullet"/>
      <w:lvlText w:val=""/>
      <w:lvlJc w:val="left"/>
      <w:pPr>
        <w:ind w:left="6480" w:hanging="360"/>
      </w:pPr>
      <w:rPr>
        <w:rFonts w:ascii="Wingdings" w:hAnsi="Wingdings" w:hint="default"/>
      </w:rPr>
    </w:lvl>
  </w:abstractNum>
  <w:abstractNum w:abstractNumId="30" w15:restartNumberingAfterBreak="0">
    <w:nsid w:val="7D6B5224"/>
    <w:multiLevelType w:val="multilevel"/>
    <w:tmpl w:val="CA8E2AC8"/>
    <w:lvl w:ilvl="0">
      <w:start w:val="1"/>
      <w:numFmt w:val="bullet"/>
      <w:lvlText w:val="•"/>
      <w:lvlJc w:val="left"/>
      <w:pPr>
        <w:tabs>
          <w:tab w:val="num" w:pos="520"/>
        </w:tabs>
        <w:ind w:left="520" w:hanging="520"/>
      </w:pPr>
      <w:rPr>
        <w:rFonts w:ascii="Times New Roman" w:hAnsi="Times New Roman" w:cs="Times New Roman"/>
        <w:color w:val="auto"/>
        <w:sz w:val="24"/>
        <w:szCs w:val="22"/>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1"/>
  </w:num>
  <w:num w:numId="2">
    <w:abstractNumId w:val="2"/>
  </w:num>
  <w:num w:numId="3">
    <w:abstractNumId w:val="13"/>
  </w:num>
  <w:num w:numId="4">
    <w:abstractNumId w:val="3"/>
  </w:num>
  <w:num w:numId="5">
    <w:abstractNumId w:val="5"/>
  </w:num>
  <w:num w:numId="6">
    <w:abstractNumId w:val="21"/>
  </w:num>
  <w:num w:numId="7">
    <w:abstractNumId w:val="12"/>
    <w:lvlOverride w:ilvl="0">
      <w:lvl w:ilvl="0">
        <w:start w:val="1"/>
        <w:numFmt w:val="lowerLetter"/>
        <w:pStyle w:val="ChartandTableFootnoteAlpha"/>
        <w:lvlText w:val="(%1)"/>
        <w:lvlJc w:val="left"/>
        <w:pPr>
          <w:ind w:left="360" w:hanging="360"/>
        </w:pPr>
        <w:rPr>
          <w:rFonts w:ascii="Calibri" w:hAnsi="Calibri" w:hint="default"/>
          <w:b w:val="0"/>
          <w:i w:val="0"/>
          <w:caps w:val="0"/>
          <w:strike w:val="0"/>
          <w:dstrike w:val="0"/>
          <w:vanish w:val="0"/>
          <w:sz w:val="18"/>
          <w:vertAlign w:val="baseline"/>
        </w:r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8">
    <w:abstractNumId w:val="6"/>
  </w:num>
  <w:num w:numId="9">
    <w:abstractNumId w:val="9"/>
  </w:num>
  <w:num w:numId="10">
    <w:abstractNumId w:val="12"/>
  </w:num>
  <w:num w:numId="11">
    <w:abstractNumId w:val="15"/>
  </w:num>
  <w:num w:numId="12">
    <w:abstractNumId w:val="29"/>
  </w:num>
  <w:num w:numId="13">
    <w:abstractNumId w:val="18"/>
  </w:num>
  <w:num w:numId="14">
    <w:abstractNumId w:val="23"/>
  </w:num>
  <w:num w:numId="15">
    <w:abstractNumId w:val="24"/>
  </w:num>
  <w:num w:numId="16">
    <w:abstractNumId w:val="20"/>
  </w:num>
  <w:num w:numId="17">
    <w:abstractNumId w:val="3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5"/>
  </w:num>
  <w:num w:numId="19">
    <w:abstractNumId w:val="10"/>
  </w:num>
  <w:num w:numId="20">
    <w:abstractNumId w:val="4"/>
  </w:num>
  <w:num w:numId="21">
    <w:abstractNumId w:val="27"/>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22">
    <w:abstractNumId w:val="7"/>
  </w:num>
  <w:num w:numId="23">
    <w:abstractNumId w:val="7"/>
  </w:num>
  <w:num w:numId="24">
    <w:abstractNumId w:val="17"/>
  </w:num>
  <w:num w:numId="25">
    <w:abstractNumId w:val="17"/>
  </w:num>
  <w:num w:numId="26">
    <w:abstractNumId w:val="22"/>
  </w:num>
  <w:num w:numId="27">
    <w:abstractNumId w:val="22"/>
  </w:num>
  <w:num w:numId="28">
    <w:abstractNumId w:val="1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num>
  <w:num w:numId="30">
    <w:abstractNumId w:val="8"/>
  </w:num>
  <w:num w:numId="31">
    <w:abstractNumId w:val="16"/>
  </w:num>
  <w:num w:numId="32">
    <w:abstractNumId w:val="19"/>
  </w:num>
  <w:num w:numId="33">
    <w:abstractNumId w:val="14"/>
  </w:num>
  <w:num w:numId="34">
    <w:abstractNumId w:val="26"/>
  </w:num>
  <w:num w:numId="35">
    <w:abstractNumId w:val="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AAE"/>
    <w:rsid w:val="0000004D"/>
    <w:rsid w:val="00000682"/>
    <w:rsid w:val="00000B0F"/>
    <w:rsid w:val="00000FD9"/>
    <w:rsid w:val="0000161D"/>
    <w:rsid w:val="000021C1"/>
    <w:rsid w:val="000024AE"/>
    <w:rsid w:val="000024CD"/>
    <w:rsid w:val="00002546"/>
    <w:rsid w:val="000027D0"/>
    <w:rsid w:val="00002A09"/>
    <w:rsid w:val="00002A58"/>
    <w:rsid w:val="00002AA6"/>
    <w:rsid w:val="000033D9"/>
    <w:rsid w:val="0000347C"/>
    <w:rsid w:val="00003874"/>
    <w:rsid w:val="000048CD"/>
    <w:rsid w:val="00004BF3"/>
    <w:rsid w:val="00005308"/>
    <w:rsid w:val="00005342"/>
    <w:rsid w:val="00005985"/>
    <w:rsid w:val="000064F5"/>
    <w:rsid w:val="00006526"/>
    <w:rsid w:val="00006F4E"/>
    <w:rsid w:val="00007416"/>
    <w:rsid w:val="00010412"/>
    <w:rsid w:val="00010769"/>
    <w:rsid w:val="00010EA3"/>
    <w:rsid w:val="000110E4"/>
    <w:rsid w:val="00011360"/>
    <w:rsid w:val="000113EE"/>
    <w:rsid w:val="00011725"/>
    <w:rsid w:val="00012521"/>
    <w:rsid w:val="000127FD"/>
    <w:rsid w:val="00012C19"/>
    <w:rsid w:val="00012C62"/>
    <w:rsid w:val="0001338D"/>
    <w:rsid w:val="0001349C"/>
    <w:rsid w:val="00013593"/>
    <w:rsid w:val="0001365A"/>
    <w:rsid w:val="000137C5"/>
    <w:rsid w:val="00013909"/>
    <w:rsid w:val="0001396A"/>
    <w:rsid w:val="00013B72"/>
    <w:rsid w:val="00013F7B"/>
    <w:rsid w:val="00014469"/>
    <w:rsid w:val="000149E1"/>
    <w:rsid w:val="0001552C"/>
    <w:rsid w:val="00015BC7"/>
    <w:rsid w:val="00015C82"/>
    <w:rsid w:val="00015CFD"/>
    <w:rsid w:val="000162B1"/>
    <w:rsid w:val="0001644B"/>
    <w:rsid w:val="00016788"/>
    <w:rsid w:val="00017287"/>
    <w:rsid w:val="00017B9B"/>
    <w:rsid w:val="00017F81"/>
    <w:rsid w:val="00020212"/>
    <w:rsid w:val="00020404"/>
    <w:rsid w:val="00020E1C"/>
    <w:rsid w:val="000213DF"/>
    <w:rsid w:val="00021C56"/>
    <w:rsid w:val="00022EE8"/>
    <w:rsid w:val="00024488"/>
    <w:rsid w:val="00024F10"/>
    <w:rsid w:val="00024FD1"/>
    <w:rsid w:val="0002544D"/>
    <w:rsid w:val="00025495"/>
    <w:rsid w:val="00025713"/>
    <w:rsid w:val="00025D17"/>
    <w:rsid w:val="000262B4"/>
    <w:rsid w:val="0002640F"/>
    <w:rsid w:val="00026944"/>
    <w:rsid w:val="000272DF"/>
    <w:rsid w:val="00027C98"/>
    <w:rsid w:val="00027D32"/>
    <w:rsid w:val="0003096C"/>
    <w:rsid w:val="00030AF0"/>
    <w:rsid w:val="00030BD3"/>
    <w:rsid w:val="00031819"/>
    <w:rsid w:val="00031DF7"/>
    <w:rsid w:val="00031FE7"/>
    <w:rsid w:val="0003219E"/>
    <w:rsid w:val="00032231"/>
    <w:rsid w:val="00032DB5"/>
    <w:rsid w:val="0003308B"/>
    <w:rsid w:val="000338F0"/>
    <w:rsid w:val="00033B46"/>
    <w:rsid w:val="00033C37"/>
    <w:rsid w:val="000342CE"/>
    <w:rsid w:val="000347C3"/>
    <w:rsid w:val="00034CB4"/>
    <w:rsid w:val="000352ED"/>
    <w:rsid w:val="00035396"/>
    <w:rsid w:val="0003544E"/>
    <w:rsid w:val="0003548D"/>
    <w:rsid w:val="00035D06"/>
    <w:rsid w:val="000364E8"/>
    <w:rsid w:val="000369D0"/>
    <w:rsid w:val="0003705A"/>
    <w:rsid w:val="00037177"/>
    <w:rsid w:val="000372D4"/>
    <w:rsid w:val="000374D2"/>
    <w:rsid w:val="00037A21"/>
    <w:rsid w:val="00037AAE"/>
    <w:rsid w:val="00037D36"/>
    <w:rsid w:val="00037E2A"/>
    <w:rsid w:val="00037FF4"/>
    <w:rsid w:val="00040070"/>
    <w:rsid w:val="00040496"/>
    <w:rsid w:val="00040C11"/>
    <w:rsid w:val="00041370"/>
    <w:rsid w:val="000414E1"/>
    <w:rsid w:val="000415D7"/>
    <w:rsid w:val="000421F1"/>
    <w:rsid w:val="000424FE"/>
    <w:rsid w:val="0004274D"/>
    <w:rsid w:val="00042956"/>
    <w:rsid w:val="00043071"/>
    <w:rsid w:val="00043348"/>
    <w:rsid w:val="0004335E"/>
    <w:rsid w:val="0004344F"/>
    <w:rsid w:val="00043AFA"/>
    <w:rsid w:val="00043C5A"/>
    <w:rsid w:val="0004462E"/>
    <w:rsid w:val="0004465B"/>
    <w:rsid w:val="00044824"/>
    <w:rsid w:val="0004483F"/>
    <w:rsid w:val="00044D43"/>
    <w:rsid w:val="00045DB3"/>
    <w:rsid w:val="0004646B"/>
    <w:rsid w:val="0004658F"/>
    <w:rsid w:val="0004681E"/>
    <w:rsid w:val="00046B2B"/>
    <w:rsid w:val="00047403"/>
    <w:rsid w:val="000474EE"/>
    <w:rsid w:val="0004763B"/>
    <w:rsid w:val="00047BE3"/>
    <w:rsid w:val="00047D8B"/>
    <w:rsid w:val="00047F87"/>
    <w:rsid w:val="000501C8"/>
    <w:rsid w:val="000504A2"/>
    <w:rsid w:val="000504ED"/>
    <w:rsid w:val="0005070C"/>
    <w:rsid w:val="000508C2"/>
    <w:rsid w:val="00050B06"/>
    <w:rsid w:val="00050E9B"/>
    <w:rsid w:val="00051050"/>
    <w:rsid w:val="00051202"/>
    <w:rsid w:val="0005132A"/>
    <w:rsid w:val="0005138B"/>
    <w:rsid w:val="00051A0A"/>
    <w:rsid w:val="00051A89"/>
    <w:rsid w:val="000522B7"/>
    <w:rsid w:val="000529BC"/>
    <w:rsid w:val="00052A0C"/>
    <w:rsid w:val="00052CAE"/>
    <w:rsid w:val="00053296"/>
    <w:rsid w:val="000537A0"/>
    <w:rsid w:val="000539F1"/>
    <w:rsid w:val="00054B2F"/>
    <w:rsid w:val="00054BCF"/>
    <w:rsid w:val="00054C8F"/>
    <w:rsid w:val="00054FAE"/>
    <w:rsid w:val="00055821"/>
    <w:rsid w:val="000566AD"/>
    <w:rsid w:val="00056880"/>
    <w:rsid w:val="00056B65"/>
    <w:rsid w:val="0005709B"/>
    <w:rsid w:val="000571D4"/>
    <w:rsid w:val="00057255"/>
    <w:rsid w:val="000572BB"/>
    <w:rsid w:val="0005778D"/>
    <w:rsid w:val="00060068"/>
    <w:rsid w:val="00060548"/>
    <w:rsid w:val="00060A06"/>
    <w:rsid w:val="00060B2B"/>
    <w:rsid w:val="00060DBF"/>
    <w:rsid w:val="00061021"/>
    <w:rsid w:val="00061158"/>
    <w:rsid w:val="00061381"/>
    <w:rsid w:val="000613EA"/>
    <w:rsid w:val="000614BE"/>
    <w:rsid w:val="000616D7"/>
    <w:rsid w:val="000618E7"/>
    <w:rsid w:val="00061911"/>
    <w:rsid w:val="00061A31"/>
    <w:rsid w:val="00061C67"/>
    <w:rsid w:val="00061D3D"/>
    <w:rsid w:val="00062B90"/>
    <w:rsid w:val="00062C23"/>
    <w:rsid w:val="00062D42"/>
    <w:rsid w:val="00062F4F"/>
    <w:rsid w:val="000635B3"/>
    <w:rsid w:val="00063F40"/>
    <w:rsid w:val="000646D8"/>
    <w:rsid w:val="00064810"/>
    <w:rsid w:val="00064903"/>
    <w:rsid w:val="00064D87"/>
    <w:rsid w:val="00065156"/>
    <w:rsid w:val="000655C5"/>
    <w:rsid w:val="00065906"/>
    <w:rsid w:val="00065D9C"/>
    <w:rsid w:val="0006667B"/>
    <w:rsid w:val="00066CCD"/>
    <w:rsid w:val="00066D2C"/>
    <w:rsid w:val="00067124"/>
    <w:rsid w:val="00067480"/>
    <w:rsid w:val="000675D1"/>
    <w:rsid w:val="000677E3"/>
    <w:rsid w:val="0006796C"/>
    <w:rsid w:val="00067F73"/>
    <w:rsid w:val="00070059"/>
    <w:rsid w:val="000713A2"/>
    <w:rsid w:val="0007161D"/>
    <w:rsid w:val="00071715"/>
    <w:rsid w:val="00071989"/>
    <w:rsid w:val="00071CF7"/>
    <w:rsid w:val="00071FAE"/>
    <w:rsid w:val="0007216B"/>
    <w:rsid w:val="00072371"/>
    <w:rsid w:val="00072A25"/>
    <w:rsid w:val="00072E17"/>
    <w:rsid w:val="000731DD"/>
    <w:rsid w:val="00073521"/>
    <w:rsid w:val="00073563"/>
    <w:rsid w:val="0007460A"/>
    <w:rsid w:val="00074B2F"/>
    <w:rsid w:val="00074B5D"/>
    <w:rsid w:val="00074C13"/>
    <w:rsid w:val="00075BC0"/>
    <w:rsid w:val="00075DF6"/>
    <w:rsid w:val="00075E1A"/>
    <w:rsid w:val="00075EE9"/>
    <w:rsid w:val="000767CC"/>
    <w:rsid w:val="00077223"/>
    <w:rsid w:val="000775DE"/>
    <w:rsid w:val="00077736"/>
    <w:rsid w:val="000777E4"/>
    <w:rsid w:val="00077B54"/>
    <w:rsid w:val="000801ED"/>
    <w:rsid w:val="00080CE7"/>
    <w:rsid w:val="00080DFA"/>
    <w:rsid w:val="00081E09"/>
    <w:rsid w:val="00082053"/>
    <w:rsid w:val="0008249F"/>
    <w:rsid w:val="00082AD4"/>
    <w:rsid w:val="00082CD6"/>
    <w:rsid w:val="00082E83"/>
    <w:rsid w:val="000832BA"/>
    <w:rsid w:val="000832D9"/>
    <w:rsid w:val="0008363E"/>
    <w:rsid w:val="00084280"/>
    <w:rsid w:val="0008465F"/>
    <w:rsid w:val="0008476C"/>
    <w:rsid w:val="00085050"/>
    <w:rsid w:val="0008524F"/>
    <w:rsid w:val="0008560A"/>
    <w:rsid w:val="000859C1"/>
    <w:rsid w:val="00085BDC"/>
    <w:rsid w:val="00086490"/>
    <w:rsid w:val="000870F8"/>
    <w:rsid w:val="000872D2"/>
    <w:rsid w:val="000875E8"/>
    <w:rsid w:val="00087890"/>
    <w:rsid w:val="00087FAF"/>
    <w:rsid w:val="000901A8"/>
    <w:rsid w:val="0009049E"/>
    <w:rsid w:val="00090BF7"/>
    <w:rsid w:val="00091358"/>
    <w:rsid w:val="000915E4"/>
    <w:rsid w:val="0009218E"/>
    <w:rsid w:val="000928EA"/>
    <w:rsid w:val="00094486"/>
    <w:rsid w:val="000944BF"/>
    <w:rsid w:val="000944DA"/>
    <w:rsid w:val="00094A31"/>
    <w:rsid w:val="00095919"/>
    <w:rsid w:val="00095924"/>
    <w:rsid w:val="000964FA"/>
    <w:rsid w:val="00096648"/>
    <w:rsid w:val="000968DF"/>
    <w:rsid w:val="00096C3D"/>
    <w:rsid w:val="00097180"/>
    <w:rsid w:val="0009730F"/>
    <w:rsid w:val="00097A48"/>
    <w:rsid w:val="000A0906"/>
    <w:rsid w:val="000A0988"/>
    <w:rsid w:val="000A0E4C"/>
    <w:rsid w:val="000A0FB4"/>
    <w:rsid w:val="000A10BF"/>
    <w:rsid w:val="000A12FD"/>
    <w:rsid w:val="000A147C"/>
    <w:rsid w:val="000A1726"/>
    <w:rsid w:val="000A1734"/>
    <w:rsid w:val="000A17E0"/>
    <w:rsid w:val="000A199B"/>
    <w:rsid w:val="000A2763"/>
    <w:rsid w:val="000A2DE4"/>
    <w:rsid w:val="000A308C"/>
    <w:rsid w:val="000A36E6"/>
    <w:rsid w:val="000A3AAF"/>
    <w:rsid w:val="000A3D12"/>
    <w:rsid w:val="000A4330"/>
    <w:rsid w:val="000A44A3"/>
    <w:rsid w:val="000A4531"/>
    <w:rsid w:val="000A47F4"/>
    <w:rsid w:val="000A4947"/>
    <w:rsid w:val="000A51BB"/>
    <w:rsid w:val="000A520A"/>
    <w:rsid w:val="000A5332"/>
    <w:rsid w:val="000A54B0"/>
    <w:rsid w:val="000A55DE"/>
    <w:rsid w:val="000A6BC7"/>
    <w:rsid w:val="000A6E46"/>
    <w:rsid w:val="000A6F39"/>
    <w:rsid w:val="000A77E4"/>
    <w:rsid w:val="000A7A97"/>
    <w:rsid w:val="000B04B0"/>
    <w:rsid w:val="000B0E04"/>
    <w:rsid w:val="000B0E3C"/>
    <w:rsid w:val="000B18E4"/>
    <w:rsid w:val="000B1F4E"/>
    <w:rsid w:val="000B2282"/>
    <w:rsid w:val="000B22BE"/>
    <w:rsid w:val="000B2352"/>
    <w:rsid w:val="000B245E"/>
    <w:rsid w:val="000B2505"/>
    <w:rsid w:val="000B2BDC"/>
    <w:rsid w:val="000B4524"/>
    <w:rsid w:val="000B5084"/>
    <w:rsid w:val="000B50DF"/>
    <w:rsid w:val="000B5397"/>
    <w:rsid w:val="000B591D"/>
    <w:rsid w:val="000B5A6E"/>
    <w:rsid w:val="000B5C03"/>
    <w:rsid w:val="000B5CAE"/>
    <w:rsid w:val="000B5E07"/>
    <w:rsid w:val="000B641A"/>
    <w:rsid w:val="000B6675"/>
    <w:rsid w:val="000B7563"/>
    <w:rsid w:val="000B78F6"/>
    <w:rsid w:val="000C0539"/>
    <w:rsid w:val="000C0B8F"/>
    <w:rsid w:val="000C1BA1"/>
    <w:rsid w:val="000C2137"/>
    <w:rsid w:val="000C252E"/>
    <w:rsid w:val="000C256B"/>
    <w:rsid w:val="000C28BA"/>
    <w:rsid w:val="000C2B8B"/>
    <w:rsid w:val="000C2E8A"/>
    <w:rsid w:val="000C303D"/>
    <w:rsid w:val="000C3286"/>
    <w:rsid w:val="000C43C4"/>
    <w:rsid w:val="000C4597"/>
    <w:rsid w:val="000C4E26"/>
    <w:rsid w:val="000C51F2"/>
    <w:rsid w:val="000C53CA"/>
    <w:rsid w:val="000C54BA"/>
    <w:rsid w:val="000C564E"/>
    <w:rsid w:val="000C571D"/>
    <w:rsid w:val="000C5869"/>
    <w:rsid w:val="000C598B"/>
    <w:rsid w:val="000C5C75"/>
    <w:rsid w:val="000C5E87"/>
    <w:rsid w:val="000C5F40"/>
    <w:rsid w:val="000C6996"/>
    <w:rsid w:val="000C6EEB"/>
    <w:rsid w:val="000C76FB"/>
    <w:rsid w:val="000C7888"/>
    <w:rsid w:val="000C79B8"/>
    <w:rsid w:val="000C7C41"/>
    <w:rsid w:val="000C7EA9"/>
    <w:rsid w:val="000C7FBB"/>
    <w:rsid w:val="000D006E"/>
    <w:rsid w:val="000D0119"/>
    <w:rsid w:val="000D023D"/>
    <w:rsid w:val="000D036F"/>
    <w:rsid w:val="000D046C"/>
    <w:rsid w:val="000D0B60"/>
    <w:rsid w:val="000D0BD5"/>
    <w:rsid w:val="000D0DE2"/>
    <w:rsid w:val="000D150D"/>
    <w:rsid w:val="000D2A76"/>
    <w:rsid w:val="000D2F2B"/>
    <w:rsid w:val="000D3937"/>
    <w:rsid w:val="000D39A1"/>
    <w:rsid w:val="000D3C2B"/>
    <w:rsid w:val="000D45FC"/>
    <w:rsid w:val="000D4621"/>
    <w:rsid w:val="000D4659"/>
    <w:rsid w:val="000D57AB"/>
    <w:rsid w:val="000D5B13"/>
    <w:rsid w:val="000D5BE5"/>
    <w:rsid w:val="000D6178"/>
    <w:rsid w:val="000D6495"/>
    <w:rsid w:val="000D6848"/>
    <w:rsid w:val="000D6E43"/>
    <w:rsid w:val="000D7159"/>
    <w:rsid w:val="000D7B1B"/>
    <w:rsid w:val="000D7CA0"/>
    <w:rsid w:val="000E04C4"/>
    <w:rsid w:val="000E074D"/>
    <w:rsid w:val="000E0877"/>
    <w:rsid w:val="000E0B1F"/>
    <w:rsid w:val="000E0B74"/>
    <w:rsid w:val="000E0D2D"/>
    <w:rsid w:val="000E0DDE"/>
    <w:rsid w:val="000E11BC"/>
    <w:rsid w:val="000E15D3"/>
    <w:rsid w:val="000E203A"/>
    <w:rsid w:val="000E20A5"/>
    <w:rsid w:val="000E2379"/>
    <w:rsid w:val="000E27FB"/>
    <w:rsid w:val="000E2A72"/>
    <w:rsid w:val="000E2C11"/>
    <w:rsid w:val="000E30A2"/>
    <w:rsid w:val="000E3217"/>
    <w:rsid w:val="000E40D4"/>
    <w:rsid w:val="000E4222"/>
    <w:rsid w:val="000E4480"/>
    <w:rsid w:val="000E4B63"/>
    <w:rsid w:val="000E5012"/>
    <w:rsid w:val="000E5147"/>
    <w:rsid w:val="000E55DE"/>
    <w:rsid w:val="000E5C18"/>
    <w:rsid w:val="000E5CB1"/>
    <w:rsid w:val="000E5E05"/>
    <w:rsid w:val="000E5E2C"/>
    <w:rsid w:val="000E6C42"/>
    <w:rsid w:val="000E6F38"/>
    <w:rsid w:val="000E75D7"/>
    <w:rsid w:val="000E764A"/>
    <w:rsid w:val="000E76EB"/>
    <w:rsid w:val="000E7901"/>
    <w:rsid w:val="000E7999"/>
    <w:rsid w:val="000E7AC0"/>
    <w:rsid w:val="000E7B4A"/>
    <w:rsid w:val="000E7BC9"/>
    <w:rsid w:val="000F0022"/>
    <w:rsid w:val="000F03E5"/>
    <w:rsid w:val="000F1253"/>
    <w:rsid w:val="000F140E"/>
    <w:rsid w:val="000F1537"/>
    <w:rsid w:val="000F15FA"/>
    <w:rsid w:val="000F21AD"/>
    <w:rsid w:val="000F335C"/>
    <w:rsid w:val="000F3408"/>
    <w:rsid w:val="000F40F7"/>
    <w:rsid w:val="000F463D"/>
    <w:rsid w:val="000F4C07"/>
    <w:rsid w:val="000F4E73"/>
    <w:rsid w:val="000F51D2"/>
    <w:rsid w:val="000F51E0"/>
    <w:rsid w:val="000F571C"/>
    <w:rsid w:val="000F5760"/>
    <w:rsid w:val="000F5794"/>
    <w:rsid w:val="000F59C9"/>
    <w:rsid w:val="000F62F0"/>
    <w:rsid w:val="000F65E2"/>
    <w:rsid w:val="000F686E"/>
    <w:rsid w:val="000F6AB5"/>
    <w:rsid w:val="000F6CA3"/>
    <w:rsid w:val="000F726A"/>
    <w:rsid w:val="000F72AD"/>
    <w:rsid w:val="000F7838"/>
    <w:rsid w:val="000F78CD"/>
    <w:rsid w:val="000F7D3E"/>
    <w:rsid w:val="0010006A"/>
    <w:rsid w:val="001006A3"/>
    <w:rsid w:val="00101289"/>
    <w:rsid w:val="001016CD"/>
    <w:rsid w:val="00101F0C"/>
    <w:rsid w:val="001023E4"/>
    <w:rsid w:val="00102792"/>
    <w:rsid w:val="00102873"/>
    <w:rsid w:val="00102FDC"/>
    <w:rsid w:val="00103522"/>
    <w:rsid w:val="00103672"/>
    <w:rsid w:val="00103AD3"/>
    <w:rsid w:val="00103CCA"/>
    <w:rsid w:val="00103D46"/>
    <w:rsid w:val="00104355"/>
    <w:rsid w:val="001047ED"/>
    <w:rsid w:val="00104FB5"/>
    <w:rsid w:val="001056F4"/>
    <w:rsid w:val="001063B4"/>
    <w:rsid w:val="00106578"/>
    <w:rsid w:val="001068D8"/>
    <w:rsid w:val="00106D2C"/>
    <w:rsid w:val="00107006"/>
    <w:rsid w:val="001072C9"/>
    <w:rsid w:val="001079D2"/>
    <w:rsid w:val="00107E14"/>
    <w:rsid w:val="00107F8E"/>
    <w:rsid w:val="00110262"/>
    <w:rsid w:val="001105B6"/>
    <w:rsid w:val="001109B0"/>
    <w:rsid w:val="001109D5"/>
    <w:rsid w:val="00110BEA"/>
    <w:rsid w:val="00110C2B"/>
    <w:rsid w:val="00110F6F"/>
    <w:rsid w:val="00111935"/>
    <w:rsid w:val="001122DF"/>
    <w:rsid w:val="0011238E"/>
    <w:rsid w:val="001124F5"/>
    <w:rsid w:val="00112555"/>
    <w:rsid w:val="00112EDD"/>
    <w:rsid w:val="001131BE"/>
    <w:rsid w:val="0011358F"/>
    <w:rsid w:val="00113767"/>
    <w:rsid w:val="00113D03"/>
    <w:rsid w:val="00114D5E"/>
    <w:rsid w:val="00115058"/>
    <w:rsid w:val="001153F9"/>
    <w:rsid w:val="00115C20"/>
    <w:rsid w:val="00115C2D"/>
    <w:rsid w:val="0011630B"/>
    <w:rsid w:val="0012070A"/>
    <w:rsid w:val="00120783"/>
    <w:rsid w:val="00120980"/>
    <w:rsid w:val="001209E5"/>
    <w:rsid w:val="00121501"/>
    <w:rsid w:val="0012189C"/>
    <w:rsid w:val="00121CE2"/>
    <w:rsid w:val="00121D2C"/>
    <w:rsid w:val="00122204"/>
    <w:rsid w:val="0012282F"/>
    <w:rsid w:val="00122C2C"/>
    <w:rsid w:val="00122C8C"/>
    <w:rsid w:val="00122D64"/>
    <w:rsid w:val="00123271"/>
    <w:rsid w:val="001232D8"/>
    <w:rsid w:val="001233A4"/>
    <w:rsid w:val="001235AC"/>
    <w:rsid w:val="001239EE"/>
    <w:rsid w:val="00123AC3"/>
    <w:rsid w:val="00123DA6"/>
    <w:rsid w:val="00123F2B"/>
    <w:rsid w:val="00123FE5"/>
    <w:rsid w:val="0012521E"/>
    <w:rsid w:val="00125820"/>
    <w:rsid w:val="0012585F"/>
    <w:rsid w:val="00125F6F"/>
    <w:rsid w:val="00126332"/>
    <w:rsid w:val="00126603"/>
    <w:rsid w:val="00126639"/>
    <w:rsid w:val="00126817"/>
    <w:rsid w:val="0012681D"/>
    <w:rsid w:val="00127111"/>
    <w:rsid w:val="001272AC"/>
    <w:rsid w:val="001272C6"/>
    <w:rsid w:val="001278D1"/>
    <w:rsid w:val="00127AF0"/>
    <w:rsid w:val="00127E21"/>
    <w:rsid w:val="00130048"/>
    <w:rsid w:val="001300B2"/>
    <w:rsid w:val="001303F8"/>
    <w:rsid w:val="00130571"/>
    <w:rsid w:val="00130928"/>
    <w:rsid w:val="001316EB"/>
    <w:rsid w:val="00131AA2"/>
    <w:rsid w:val="00131BAF"/>
    <w:rsid w:val="00131C70"/>
    <w:rsid w:val="00131DC3"/>
    <w:rsid w:val="001320E0"/>
    <w:rsid w:val="00132A29"/>
    <w:rsid w:val="00133E3C"/>
    <w:rsid w:val="001348C8"/>
    <w:rsid w:val="00134CA7"/>
    <w:rsid w:val="00135242"/>
    <w:rsid w:val="00135E4C"/>
    <w:rsid w:val="0013677A"/>
    <w:rsid w:val="001371DD"/>
    <w:rsid w:val="001372BF"/>
    <w:rsid w:val="001373F5"/>
    <w:rsid w:val="00137DC7"/>
    <w:rsid w:val="00137ED3"/>
    <w:rsid w:val="00140561"/>
    <w:rsid w:val="00140796"/>
    <w:rsid w:val="00140CB0"/>
    <w:rsid w:val="00141197"/>
    <w:rsid w:val="001412E7"/>
    <w:rsid w:val="00141B6A"/>
    <w:rsid w:val="001421FB"/>
    <w:rsid w:val="00142CFC"/>
    <w:rsid w:val="00142FE8"/>
    <w:rsid w:val="001438A3"/>
    <w:rsid w:val="00143BDE"/>
    <w:rsid w:val="00143CB6"/>
    <w:rsid w:val="0014406B"/>
    <w:rsid w:val="00144133"/>
    <w:rsid w:val="001443FA"/>
    <w:rsid w:val="0014495D"/>
    <w:rsid w:val="00144E27"/>
    <w:rsid w:val="00145AB6"/>
    <w:rsid w:val="00145DBA"/>
    <w:rsid w:val="0014658A"/>
    <w:rsid w:val="00146782"/>
    <w:rsid w:val="00146D31"/>
    <w:rsid w:val="00146FEA"/>
    <w:rsid w:val="00147217"/>
    <w:rsid w:val="001472CF"/>
    <w:rsid w:val="00147CB0"/>
    <w:rsid w:val="0015005B"/>
    <w:rsid w:val="001505E6"/>
    <w:rsid w:val="001509CE"/>
    <w:rsid w:val="00150ADC"/>
    <w:rsid w:val="001511CE"/>
    <w:rsid w:val="001511D2"/>
    <w:rsid w:val="001514EC"/>
    <w:rsid w:val="00151718"/>
    <w:rsid w:val="00152AF3"/>
    <w:rsid w:val="00152D3C"/>
    <w:rsid w:val="00153075"/>
    <w:rsid w:val="00153144"/>
    <w:rsid w:val="00153792"/>
    <w:rsid w:val="00153C40"/>
    <w:rsid w:val="00153D4A"/>
    <w:rsid w:val="00153ECF"/>
    <w:rsid w:val="00153F78"/>
    <w:rsid w:val="00154710"/>
    <w:rsid w:val="0015481D"/>
    <w:rsid w:val="00155084"/>
    <w:rsid w:val="001558BF"/>
    <w:rsid w:val="001559C8"/>
    <w:rsid w:val="00155ABC"/>
    <w:rsid w:val="00156015"/>
    <w:rsid w:val="00156254"/>
    <w:rsid w:val="00156373"/>
    <w:rsid w:val="001564F4"/>
    <w:rsid w:val="00156B8E"/>
    <w:rsid w:val="001570D4"/>
    <w:rsid w:val="00157258"/>
    <w:rsid w:val="001574C0"/>
    <w:rsid w:val="00157900"/>
    <w:rsid w:val="00157CE7"/>
    <w:rsid w:val="00160550"/>
    <w:rsid w:val="001606CF"/>
    <w:rsid w:val="00160997"/>
    <w:rsid w:val="001610E0"/>
    <w:rsid w:val="0016128D"/>
    <w:rsid w:val="00161A14"/>
    <w:rsid w:val="00161B3F"/>
    <w:rsid w:val="00161CBF"/>
    <w:rsid w:val="00161DC1"/>
    <w:rsid w:val="00161F5C"/>
    <w:rsid w:val="00162B7A"/>
    <w:rsid w:val="0016328D"/>
    <w:rsid w:val="00163905"/>
    <w:rsid w:val="0016512A"/>
    <w:rsid w:val="0016567C"/>
    <w:rsid w:val="00165684"/>
    <w:rsid w:val="001656FF"/>
    <w:rsid w:val="00165A6D"/>
    <w:rsid w:val="00165ACC"/>
    <w:rsid w:val="00165D27"/>
    <w:rsid w:val="00165F64"/>
    <w:rsid w:val="001663D3"/>
    <w:rsid w:val="00166490"/>
    <w:rsid w:val="00166631"/>
    <w:rsid w:val="00166AC1"/>
    <w:rsid w:val="00166CF2"/>
    <w:rsid w:val="0016791F"/>
    <w:rsid w:val="001700FC"/>
    <w:rsid w:val="001704B8"/>
    <w:rsid w:val="00170567"/>
    <w:rsid w:val="0017089D"/>
    <w:rsid w:val="001712E9"/>
    <w:rsid w:val="001718B1"/>
    <w:rsid w:val="00171A20"/>
    <w:rsid w:val="00171B99"/>
    <w:rsid w:val="00172213"/>
    <w:rsid w:val="00172462"/>
    <w:rsid w:val="00173263"/>
    <w:rsid w:val="00173888"/>
    <w:rsid w:val="00173B8F"/>
    <w:rsid w:val="00173CEF"/>
    <w:rsid w:val="00173E15"/>
    <w:rsid w:val="00173F92"/>
    <w:rsid w:val="0017453D"/>
    <w:rsid w:val="00174696"/>
    <w:rsid w:val="00174730"/>
    <w:rsid w:val="00174E6A"/>
    <w:rsid w:val="00175227"/>
    <w:rsid w:val="00175392"/>
    <w:rsid w:val="00175710"/>
    <w:rsid w:val="00176831"/>
    <w:rsid w:val="00176EDB"/>
    <w:rsid w:val="00176F1D"/>
    <w:rsid w:val="00177106"/>
    <w:rsid w:val="001771AB"/>
    <w:rsid w:val="001772AB"/>
    <w:rsid w:val="00177454"/>
    <w:rsid w:val="00177B75"/>
    <w:rsid w:val="00177DF4"/>
    <w:rsid w:val="00180646"/>
    <w:rsid w:val="00180786"/>
    <w:rsid w:val="001816F4"/>
    <w:rsid w:val="00181C1C"/>
    <w:rsid w:val="00181C46"/>
    <w:rsid w:val="00181D90"/>
    <w:rsid w:val="00181DA2"/>
    <w:rsid w:val="0018234D"/>
    <w:rsid w:val="001828AB"/>
    <w:rsid w:val="00182EFE"/>
    <w:rsid w:val="001831FB"/>
    <w:rsid w:val="00183729"/>
    <w:rsid w:val="00183946"/>
    <w:rsid w:val="00183AE5"/>
    <w:rsid w:val="001847E1"/>
    <w:rsid w:val="00185909"/>
    <w:rsid w:val="00185B35"/>
    <w:rsid w:val="00185C4C"/>
    <w:rsid w:val="00185CDD"/>
    <w:rsid w:val="00185FBE"/>
    <w:rsid w:val="00186127"/>
    <w:rsid w:val="001869F7"/>
    <w:rsid w:val="0018770C"/>
    <w:rsid w:val="00190058"/>
    <w:rsid w:val="001905F8"/>
    <w:rsid w:val="00190AA3"/>
    <w:rsid w:val="00190C37"/>
    <w:rsid w:val="00190C3D"/>
    <w:rsid w:val="0019101A"/>
    <w:rsid w:val="0019113E"/>
    <w:rsid w:val="00191307"/>
    <w:rsid w:val="00191932"/>
    <w:rsid w:val="0019196E"/>
    <w:rsid w:val="00192003"/>
    <w:rsid w:val="001920BD"/>
    <w:rsid w:val="00192644"/>
    <w:rsid w:val="001927FD"/>
    <w:rsid w:val="00192A41"/>
    <w:rsid w:val="00192C0B"/>
    <w:rsid w:val="00193275"/>
    <w:rsid w:val="00194D46"/>
    <w:rsid w:val="001950EC"/>
    <w:rsid w:val="00195587"/>
    <w:rsid w:val="00195706"/>
    <w:rsid w:val="00195B11"/>
    <w:rsid w:val="001967C6"/>
    <w:rsid w:val="0019690A"/>
    <w:rsid w:val="00196B81"/>
    <w:rsid w:val="00196F37"/>
    <w:rsid w:val="00196F8F"/>
    <w:rsid w:val="00196FF4"/>
    <w:rsid w:val="001972D2"/>
    <w:rsid w:val="00197EAB"/>
    <w:rsid w:val="001A01DC"/>
    <w:rsid w:val="001A0541"/>
    <w:rsid w:val="001A0C52"/>
    <w:rsid w:val="001A0F58"/>
    <w:rsid w:val="001A19A8"/>
    <w:rsid w:val="001A19FC"/>
    <w:rsid w:val="001A1FD9"/>
    <w:rsid w:val="001A209A"/>
    <w:rsid w:val="001A29AE"/>
    <w:rsid w:val="001A2A5B"/>
    <w:rsid w:val="001A2B27"/>
    <w:rsid w:val="001A32DE"/>
    <w:rsid w:val="001A3348"/>
    <w:rsid w:val="001A34F3"/>
    <w:rsid w:val="001A3548"/>
    <w:rsid w:val="001A380D"/>
    <w:rsid w:val="001A3D6F"/>
    <w:rsid w:val="001A46D3"/>
    <w:rsid w:val="001A4C7B"/>
    <w:rsid w:val="001A4FA2"/>
    <w:rsid w:val="001A52A9"/>
    <w:rsid w:val="001A5933"/>
    <w:rsid w:val="001A60D8"/>
    <w:rsid w:val="001A6A6F"/>
    <w:rsid w:val="001A6B34"/>
    <w:rsid w:val="001A7366"/>
    <w:rsid w:val="001A73C9"/>
    <w:rsid w:val="001A7882"/>
    <w:rsid w:val="001A7B01"/>
    <w:rsid w:val="001A7B89"/>
    <w:rsid w:val="001A7BC1"/>
    <w:rsid w:val="001A7ECF"/>
    <w:rsid w:val="001A7F9C"/>
    <w:rsid w:val="001B07D2"/>
    <w:rsid w:val="001B09F5"/>
    <w:rsid w:val="001B0A9C"/>
    <w:rsid w:val="001B14A1"/>
    <w:rsid w:val="001B1A67"/>
    <w:rsid w:val="001B240B"/>
    <w:rsid w:val="001B251A"/>
    <w:rsid w:val="001B25CF"/>
    <w:rsid w:val="001B26FF"/>
    <w:rsid w:val="001B2D09"/>
    <w:rsid w:val="001B2F54"/>
    <w:rsid w:val="001B31C8"/>
    <w:rsid w:val="001B3ABD"/>
    <w:rsid w:val="001B491D"/>
    <w:rsid w:val="001B4D5C"/>
    <w:rsid w:val="001B5D24"/>
    <w:rsid w:val="001B6005"/>
    <w:rsid w:val="001B6345"/>
    <w:rsid w:val="001B6456"/>
    <w:rsid w:val="001B70D7"/>
    <w:rsid w:val="001B71B8"/>
    <w:rsid w:val="001B7412"/>
    <w:rsid w:val="001B7FA0"/>
    <w:rsid w:val="001C0431"/>
    <w:rsid w:val="001C04D9"/>
    <w:rsid w:val="001C0824"/>
    <w:rsid w:val="001C089A"/>
    <w:rsid w:val="001C0990"/>
    <w:rsid w:val="001C0A78"/>
    <w:rsid w:val="001C1624"/>
    <w:rsid w:val="001C169D"/>
    <w:rsid w:val="001C219C"/>
    <w:rsid w:val="001C2215"/>
    <w:rsid w:val="001C2A73"/>
    <w:rsid w:val="001C2BC9"/>
    <w:rsid w:val="001C311F"/>
    <w:rsid w:val="001C3153"/>
    <w:rsid w:val="001C358D"/>
    <w:rsid w:val="001C3637"/>
    <w:rsid w:val="001C37C0"/>
    <w:rsid w:val="001C401E"/>
    <w:rsid w:val="001C4250"/>
    <w:rsid w:val="001C44E5"/>
    <w:rsid w:val="001C4D7B"/>
    <w:rsid w:val="001C558F"/>
    <w:rsid w:val="001C5AAE"/>
    <w:rsid w:val="001C6587"/>
    <w:rsid w:val="001C6716"/>
    <w:rsid w:val="001C6953"/>
    <w:rsid w:val="001C6E16"/>
    <w:rsid w:val="001C6F14"/>
    <w:rsid w:val="001C72BF"/>
    <w:rsid w:val="001C7596"/>
    <w:rsid w:val="001C76B8"/>
    <w:rsid w:val="001C79F9"/>
    <w:rsid w:val="001D0E60"/>
    <w:rsid w:val="001D1543"/>
    <w:rsid w:val="001D16F0"/>
    <w:rsid w:val="001D2546"/>
    <w:rsid w:val="001D28CB"/>
    <w:rsid w:val="001D2B40"/>
    <w:rsid w:val="001D2E51"/>
    <w:rsid w:val="001D39D0"/>
    <w:rsid w:val="001D3CBE"/>
    <w:rsid w:val="001D3D59"/>
    <w:rsid w:val="001D3E96"/>
    <w:rsid w:val="001D4955"/>
    <w:rsid w:val="001D4B79"/>
    <w:rsid w:val="001D4D8A"/>
    <w:rsid w:val="001D4F35"/>
    <w:rsid w:val="001D5602"/>
    <w:rsid w:val="001D561E"/>
    <w:rsid w:val="001D5C96"/>
    <w:rsid w:val="001D61FF"/>
    <w:rsid w:val="001D62AE"/>
    <w:rsid w:val="001D673B"/>
    <w:rsid w:val="001D6787"/>
    <w:rsid w:val="001D7180"/>
    <w:rsid w:val="001D771E"/>
    <w:rsid w:val="001D79CD"/>
    <w:rsid w:val="001D7C9F"/>
    <w:rsid w:val="001E06A7"/>
    <w:rsid w:val="001E0CCE"/>
    <w:rsid w:val="001E0D5B"/>
    <w:rsid w:val="001E0F3F"/>
    <w:rsid w:val="001E0F6E"/>
    <w:rsid w:val="001E12F3"/>
    <w:rsid w:val="001E151B"/>
    <w:rsid w:val="001E16A9"/>
    <w:rsid w:val="001E1A0D"/>
    <w:rsid w:val="001E1D08"/>
    <w:rsid w:val="001E2030"/>
    <w:rsid w:val="001E2697"/>
    <w:rsid w:val="001E2ED8"/>
    <w:rsid w:val="001E30EB"/>
    <w:rsid w:val="001E3EC2"/>
    <w:rsid w:val="001E4389"/>
    <w:rsid w:val="001E4A13"/>
    <w:rsid w:val="001E4D0E"/>
    <w:rsid w:val="001E51CB"/>
    <w:rsid w:val="001E5C64"/>
    <w:rsid w:val="001E5D5E"/>
    <w:rsid w:val="001E5ECC"/>
    <w:rsid w:val="001E6394"/>
    <w:rsid w:val="001E68D3"/>
    <w:rsid w:val="001E6B45"/>
    <w:rsid w:val="001E6D96"/>
    <w:rsid w:val="001E6F3D"/>
    <w:rsid w:val="001E6FE5"/>
    <w:rsid w:val="001E7A11"/>
    <w:rsid w:val="001E7B30"/>
    <w:rsid w:val="001E7C59"/>
    <w:rsid w:val="001F0308"/>
    <w:rsid w:val="001F0611"/>
    <w:rsid w:val="001F0686"/>
    <w:rsid w:val="001F1161"/>
    <w:rsid w:val="001F13CA"/>
    <w:rsid w:val="001F1408"/>
    <w:rsid w:val="001F1B27"/>
    <w:rsid w:val="001F1E8F"/>
    <w:rsid w:val="001F2023"/>
    <w:rsid w:val="001F289D"/>
    <w:rsid w:val="001F2EBD"/>
    <w:rsid w:val="001F3515"/>
    <w:rsid w:val="001F3AC7"/>
    <w:rsid w:val="001F3B02"/>
    <w:rsid w:val="001F3D7B"/>
    <w:rsid w:val="001F4D07"/>
    <w:rsid w:val="001F4F82"/>
    <w:rsid w:val="001F5640"/>
    <w:rsid w:val="001F5EAA"/>
    <w:rsid w:val="001F6180"/>
    <w:rsid w:val="001F6BD0"/>
    <w:rsid w:val="001F6C83"/>
    <w:rsid w:val="001F6FEE"/>
    <w:rsid w:val="001F71B7"/>
    <w:rsid w:val="001F7299"/>
    <w:rsid w:val="001F7467"/>
    <w:rsid w:val="001F78E0"/>
    <w:rsid w:val="001F7FD7"/>
    <w:rsid w:val="00200212"/>
    <w:rsid w:val="00200B3A"/>
    <w:rsid w:val="00201029"/>
    <w:rsid w:val="002012C3"/>
    <w:rsid w:val="0020136A"/>
    <w:rsid w:val="002013C5"/>
    <w:rsid w:val="00201465"/>
    <w:rsid w:val="002014AA"/>
    <w:rsid w:val="00201D5D"/>
    <w:rsid w:val="00202295"/>
    <w:rsid w:val="0020241C"/>
    <w:rsid w:val="00202611"/>
    <w:rsid w:val="002031B2"/>
    <w:rsid w:val="0020357C"/>
    <w:rsid w:val="002035EC"/>
    <w:rsid w:val="00203D17"/>
    <w:rsid w:val="0020407A"/>
    <w:rsid w:val="00204750"/>
    <w:rsid w:val="00204755"/>
    <w:rsid w:val="002047BF"/>
    <w:rsid w:val="0020496C"/>
    <w:rsid w:val="00204994"/>
    <w:rsid w:val="00204B74"/>
    <w:rsid w:val="00204CF2"/>
    <w:rsid w:val="0020691C"/>
    <w:rsid w:val="00206D30"/>
    <w:rsid w:val="0020742B"/>
    <w:rsid w:val="00207C9A"/>
    <w:rsid w:val="00207D5E"/>
    <w:rsid w:val="0021003B"/>
    <w:rsid w:val="0021025B"/>
    <w:rsid w:val="002104AD"/>
    <w:rsid w:val="00210609"/>
    <w:rsid w:val="00210759"/>
    <w:rsid w:val="00210985"/>
    <w:rsid w:val="002109DB"/>
    <w:rsid w:val="00210B23"/>
    <w:rsid w:val="00210FDE"/>
    <w:rsid w:val="002112A1"/>
    <w:rsid w:val="00211841"/>
    <w:rsid w:val="00211CA6"/>
    <w:rsid w:val="00212EC1"/>
    <w:rsid w:val="0021329B"/>
    <w:rsid w:val="002134D7"/>
    <w:rsid w:val="002137E2"/>
    <w:rsid w:val="00213C83"/>
    <w:rsid w:val="002149A8"/>
    <w:rsid w:val="00214AB0"/>
    <w:rsid w:val="00215104"/>
    <w:rsid w:val="0021557A"/>
    <w:rsid w:val="002159EB"/>
    <w:rsid w:val="00215D47"/>
    <w:rsid w:val="00215EC1"/>
    <w:rsid w:val="00215FD9"/>
    <w:rsid w:val="0021600C"/>
    <w:rsid w:val="00216183"/>
    <w:rsid w:val="00216765"/>
    <w:rsid w:val="00216831"/>
    <w:rsid w:val="00216A89"/>
    <w:rsid w:val="00216E55"/>
    <w:rsid w:val="002178F5"/>
    <w:rsid w:val="0022058A"/>
    <w:rsid w:val="00220B21"/>
    <w:rsid w:val="00220C40"/>
    <w:rsid w:val="00220F70"/>
    <w:rsid w:val="00221097"/>
    <w:rsid w:val="00221EC0"/>
    <w:rsid w:val="00222089"/>
    <w:rsid w:val="00222891"/>
    <w:rsid w:val="00222F8B"/>
    <w:rsid w:val="0022334F"/>
    <w:rsid w:val="00223627"/>
    <w:rsid w:val="00223820"/>
    <w:rsid w:val="00223C0F"/>
    <w:rsid w:val="002241FA"/>
    <w:rsid w:val="00224255"/>
    <w:rsid w:val="00224334"/>
    <w:rsid w:val="00224AE5"/>
    <w:rsid w:val="00225706"/>
    <w:rsid w:val="00225774"/>
    <w:rsid w:val="002261D2"/>
    <w:rsid w:val="002261D3"/>
    <w:rsid w:val="002266FF"/>
    <w:rsid w:val="002267B5"/>
    <w:rsid w:val="00226AED"/>
    <w:rsid w:val="00226C03"/>
    <w:rsid w:val="00226E73"/>
    <w:rsid w:val="00230236"/>
    <w:rsid w:val="00230270"/>
    <w:rsid w:val="002309BF"/>
    <w:rsid w:val="00230CDF"/>
    <w:rsid w:val="00231049"/>
    <w:rsid w:val="00231241"/>
    <w:rsid w:val="002314D2"/>
    <w:rsid w:val="002316EE"/>
    <w:rsid w:val="00231F9E"/>
    <w:rsid w:val="002320EB"/>
    <w:rsid w:val="00232299"/>
    <w:rsid w:val="002323F4"/>
    <w:rsid w:val="00232884"/>
    <w:rsid w:val="00232C8A"/>
    <w:rsid w:val="00232F3B"/>
    <w:rsid w:val="0023305C"/>
    <w:rsid w:val="00233223"/>
    <w:rsid w:val="0023370E"/>
    <w:rsid w:val="00233E5B"/>
    <w:rsid w:val="002341D6"/>
    <w:rsid w:val="00235BCC"/>
    <w:rsid w:val="00235C30"/>
    <w:rsid w:val="002360E7"/>
    <w:rsid w:val="00236717"/>
    <w:rsid w:val="00236EEE"/>
    <w:rsid w:val="0023708A"/>
    <w:rsid w:val="002370BB"/>
    <w:rsid w:val="00237509"/>
    <w:rsid w:val="0023758E"/>
    <w:rsid w:val="002376E3"/>
    <w:rsid w:val="00237B01"/>
    <w:rsid w:val="002400B4"/>
    <w:rsid w:val="00240419"/>
    <w:rsid w:val="00240ABF"/>
    <w:rsid w:val="00240ACB"/>
    <w:rsid w:val="002413D4"/>
    <w:rsid w:val="0024151C"/>
    <w:rsid w:val="00241767"/>
    <w:rsid w:val="00241881"/>
    <w:rsid w:val="00242868"/>
    <w:rsid w:val="0024294C"/>
    <w:rsid w:val="00242B55"/>
    <w:rsid w:val="00242D0A"/>
    <w:rsid w:val="00242F4D"/>
    <w:rsid w:val="00242FF1"/>
    <w:rsid w:val="002430EE"/>
    <w:rsid w:val="00243442"/>
    <w:rsid w:val="0024350E"/>
    <w:rsid w:val="0024385D"/>
    <w:rsid w:val="00243BE7"/>
    <w:rsid w:val="00243C53"/>
    <w:rsid w:val="002440B2"/>
    <w:rsid w:val="00244148"/>
    <w:rsid w:val="00244BAB"/>
    <w:rsid w:val="0024503B"/>
    <w:rsid w:val="0024576F"/>
    <w:rsid w:val="002457C7"/>
    <w:rsid w:val="00245B62"/>
    <w:rsid w:val="00245D1A"/>
    <w:rsid w:val="00245FA5"/>
    <w:rsid w:val="0024602C"/>
    <w:rsid w:val="002466F5"/>
    <w:rsid w:val="00246714"/>
    <w:rsid w:val="00246AAF"/>
    <w:rsid w:val="00246ABA"/>
    <w:rsid w:val="00246C11"/>
    <w:rsid w:val="00246C32"/>
    <w:rsid w:val="00246E12"/>
    <w:rsid w:val="00246E5F"/>
    <w:rsid w:val="002471A6"/>
    <w:rsid w:val="002474D4"/>
    <w:rsid w:val="002503DE"/>
    <w:rsid w:val="00250CC1"/>
    <w:rsid w:val="00250E9B"/>
    <w:rsid w:val="002511C8"/>
    <w:rsid w:val="002517EE"/>
    <w:rsid w:val="00251D26"/>
    <w:rsid w:val="0025219C"/>
    <w:rsid w:val="00252A22"/>
    <w:rsid w:val="00252DF5"/>
    <w:rsid w:val="00253569"/>
    <w:rsid w:val="00253E7F"/>
    <w:rsid w:val="00253EA4"/>
    <w:rsid w:val="002546E6"/>
    <w:rsid w:val="00254C04"/>
    <w:rsid w:val="002554C1"/>
    <w:rsid w:val="002555BE"/>
    <w:rsid w:val="00255711"/>
    <w:rsid w:val="00256079"/>
    <w:rsid w:val="00256126"/>
    <w:rsid w:val="0025652F"/>
    <w:rsid w:val="002575A2"/>
    <w:rsid w:val="00257A14"/>
    <w:rsid w:val="002602A0"/>
    <w:rsid w:val="002603E7"/>
    <w:rsid w:val="00261224"/>
    <w:rsid w:val="00261526"/>
    <w:rsid w:val="00261581"/>
    <w:rsid w:val="00262277"/>
    <w:rsid w:val="0026284F"/>
    <w:rsid w:val="00262C13"/>
    <w:rsid w:val="00262C1A"/>
    <w:rsid w:val="00263B6C"/>
    <w:rsid w:val="00263C66"/>
    <w:rsid w:val="00264030"/>
    <w:rsid w:val="00264838"/>
    <w:rsid w:val="00264E31"/>
    <w:rsid w:val="0026523D"/>
    <w:rsid w:val="0026530F"/>
    <w:rsid w:val="0026575B"/>
    <w:rsid w:val="00265834"/>
    <w:rsid w:val="00266376"/>
    <w:rsid w:val="002664A8"/>
    <w:rsid w:val="00266B26"/>
    <w:rsid w:val="002672C4"/>
    <w:rsid w:val="002677D7"/>
    <w:rsid w:val="00267DD5"/>
    <w:rsid w:val="0027044E"/>
    <w:rsid w:val="0027059A"/>
    <w:rsid w:val="00270813"/>
    <w:rsid w:val="00270EFC"/>
    <w:rsid w:val="00271C90"/>
    <w:rsid w:val="00271E41"/>
    <w:rsid w:val="00271EAE"/>
    <w:rsid w:val="00271F0E"/>
    <w:rsid w:val="002723E0"/>
    <w:rsid w:val="002724D5"/>
    <w:rsid w:val="002725AD"/>
    <w:rsid w:val="00272939"/>
    <w:rsid w:val="00272AA6"/>
    <w:rsid w:val="00273042"/>
    <w:rsid w:val="002737CA"/>
    <w:rsid w:val="002739D7"/>
    <w:rsid w:val="00273AF2"/>
    <w:rsid w:val="00273F0B"/>
    <w:rsid w:val="00274217"/>
    <w:rsid w:val="002748D0"/>
    <w:rsid w:val="00274EFB"/>
    <w:rsid w:val="002750A0"/>
    <w:rsid w:val="0027569E"/>
    <w:rsid w:val="0027590B"/>
    <w:rsid w:val="00276BAF"/>
    <w:rsid w:val="00276E45"/>
    <w:rsid w:val="00276E62"/>
    <w:rsid w:val="00277241"/>
    <w:rsid w:val="0027753E"/>
    <w:rsid w:val="00277711"/>
    <w:rsid w:val="00277C89"/>
    <w:rsid w:val="00277E1C"/>
    <w:rsid w:val="002803BD"/>
    <w:rsid w:val="002804A1"/>
    <w:rsid w:val="002805B1"/>
    <w:rsid w:val="00280641"/>
    <w:rsid w:val="00280CB2"/>
    <w:rsid w:val="00280EF7"/>
    <w:rsid w:val="00281157"/>
    <w:rsid w:val="0028132D"/>
    <w:rsid w:val="00281B1A"/>
    <w:rsid w:val="00281EE6"/>
    <w:rsid w:val="00281FFD"/>
    <w:rsid w:val="002822AB"/>
    <w:rsid w:val="0028233B"/>
    <w:rsid w:val="00282733"/>
    <w:rsid w:val="0028360C"/>
    <w:rsid w:val="00283A6D"/>
    <w:rsid w:val="00283B4E"/>
    <w:rsid w:val="00283CB2"/>
    <w:rsid w:val="00283E30"/>
    <w:rsid w:val="00285132"/>
    <w:rsid w:val="002855B9"/>
    <w:rsid w:val="002858EF"/>
    <w:rsid w:val="00285969"/>
    <w:rsid w:val="00285C6C"/>
    <w:rsid w:val="00285E36"/>
    <w:rsid w:val="00286470"/>
    <w:rsid w:val="0028697A"/>
    <w:rsid w:val="00286F3C"/>
    <w:rsid w:val="00286FC2"/>
    <w:rsid w:val="0028732E"/>
    <w:rsid w:val="00287C04"/>
    <w:rsid w:val="00287CA4"/>
    <w:rsid w:val="002900CE"/>
    <w:rsid w:val="0029059F"/>
    <w:rsid w:val="00290C4A"/>
    <w:rsid w:val="00290E70"/>
    <w:rsid w:val="00290EE6"/>
    <w:rsid w:val="00290FC4"/>
    <w:rsid w:val="00291CA1"/>
    <w:rsid w:val="00292006"/>
    <w:rsid w:val="0029214D"/>
    <w:rsid w:val="00292D6F"/>
    <w:rsid w:val="0029321F"/>
    <w:rsid w:val="002932F5"/>
    <w:rsid w:val="002938EE"/>
    <w:rsid w:val="00293907"/>
    <w:rsid w:val="00293B90"/>
    <w:rsid w:val="00293F24"/>
    <w:rsid w:val="00294040"/>
    <w:rsid w:val="002943EA"/>
    <w:rsid w:val="00294A51"/>
    <w:rsid w:val="00294DA3"/>
    <w:rsid w:val="0029514A"/>
    <w:rsid w:val="00295226"/>
    <w:rsid w:val="002952ED"/>
    <w:rsid w:val="00295E37"/>
    <w:rsid w:val="00295EAD"/>
    <w:rsid w:val="00295FA9"/>
    <w:rsid w:val="002964D1"/>
    <w:rsid w:val="002965EE"/>
    <w:rsid w:val="00297EB7"/>
    <w:rsid w:val="00297F96"/>
    <w:rsid w:val="002A0B9E"/>
    <w:rsid w:val="002A1084"/>
    <w:rsid w:val="002A1C52"/>
    <w:rsid w:val="002A225A"/>
    <w:rsid w:val="002A252D"/>
    <w:rsid w:val="002A2952"/>
    <w:rsid w:val="002A2B42"/>
    <w:rsid w:val="002A2BB9"/>
    <w:rsid w:val="002A2FD2"/>
    <w:rsid w:val="002A312B"/>
    <w:rsid w:val="002A37A1"/>
    <w:rsid w:val="002A3814"/>
    <w:rsid w:val="002A406A"/>
    <w:rsid w:val="002A468C"/>
    <w:rsid w:val="002A4767"/>
    <w:rsid w:val="002A4998"/>
    <w:rsid w:val="002A4F8F"/>
    <w:rsid w:val="002A507F"/>
    <w:rsid w:val="002A557F"/>
    <w:rsid w:val="002A5919"/>
    <w:rsid w:val="002A5C81"/>
    <w:rsid w:val="002A5D13"/>
    <w:rsid w:val="002A60DA"/>
    <w:rsid w:val="002A6546"/>
    <w:rsid w:val="002A654F"/>
    <w:rsid w:val="002A697A"/>
    <w:rsid w:val="002A73AD"/>
    <w:rsid w:val="002A74EF"/>
    <w:rsid w:val="002A759F"/>
    <w:rsid w:val="002A7FCE"/>
    <w:rsid w:val="002B0509"/>
    <w:rsid w:val="002B06A9"/>
    <w:rsid w:val="002B0B97"/>
    <w:rsid w:val="002B0D0F"/>
    <w:rsid w:val="002B0F83"/>
    <w:rsid w:val="002B0F95"/>
    <w:rsid w:val="002B1213"/>
    <w:rsid w:val="002B1490"/>
    <w:rsid w:val="002B16EE"/>
    <w:rsid w:val="002B18C3"/>
    <w:rsid w:val="002B1E8E"/>
    <w:rsid w:val="002B24E5"/>
    <w:rsid w:val="002B2C31"/>
    <w:rsid w:val="002B2F7E"/>
    <w:rsid w:val="002B3760"/>
    <w:rsid w:val="002B3829"/>
    <w:rsid w:val="002B3F7A"/>
    <w:rsid w:val="002B40EB"/>
    <w:rsid w:val="002B413B"/>
    <w:rsid w:val="002B4911"/>
    <w:rsid w:val="002B4CC8"/>
    <w:rsid w:val="002B51D6"/>
    <w:rsid w:val="002B51F6"/>
    <w:rsid w:val="002B520B"/>
    <w:rsid w:val="002B54C2"/>
    <w:rsid w:val="002B56F6"/>
    <w:rsid w:val="002B5F4E"/>
    <w:rsid w:val="002B5FA6"/>
    <w:rsid w:val="002B61C0"/>
    <w:rsid w:val="002B646F"/>
    <w:rsid w:val="002B64F2"/>
    <w:rsid w:val="002B667F"/>
    <w:rsid w:val="002B75FF"/>
    <w:rsid w:val="002B76C0"/>
    <w:rsid w:val="002B778F"/>
    <w:rsid w:val="002B7DA8"/>
    <w:rsid w:val="002B7FEC"/>
    <w:rsid w:val="002C0349"/>
    <w:rsid w:val="002C0980"/>
    <w:rsid w:val="002C0E99"/>
    <w:rsid w:val="002C22EF"/>
    <w:rsid w:val="002C22F2"/>
    <w:rsid w:val="002C2663"/>
    <w:rsid w:val="002C2691"/>
    <w:rsid w:val="002C2A85"/>
    <w:rsid w:val="002C318B"/>
    <w:rsid w:val="002C3234"/>
    <w:rsid w:val="002C3254"/>
    <w:rsid w:val="002C356C"/>
    <w:rsid w:val="002C4083"/>
    <w:rsid w:val="002C41AC"/>
    <w:rsid w:val="002C460E"/>
    <w:rsid w:val="002C469A"/>
    <w:rsid w:val="002C504F"/>
    <w:rsid w:val="002C5CD9"/>
    <w:rsid w:val="002C62A8"/>
    <w:rsid w:val="002C6386"/>
    <w:rsid w:val="002C66AC"/>
    <w:rsid w:val="002C67E1"/>
    <w:rsid w:val="002C6962"/>
    <w:rsid w:val="002C6A8F"/>
    <w:rsid w:val="002C6DA0"/>
    <w:rsid w:val="002C6FEB"/>
    <w:rsid w:val="002C723C"/>
    <w:rsid w:val="002D05FD"/>
    <w:rsid w:val="002D0BA1"/>
    <w:rsid w:val="002D1252"/>
    <w:rsid w:val="002D19E4"/>
    <w:rsid w:val="002D1F87"/>
    <w:rsid w:val="002D2721"/>
    <w:rsid w:val="002D2DB8"/>
    <w:rsid w:val="002D2E96"/>
    <w:rsid w:val="002D3100"/>
    <w:rsid w:val="002D36A2"/>
    <w:rsid w:val="002D4F8A"/>
    <w:rsid w:val="002D51AD"/>
    <w:rsid w:val="002D59AA"/>
    <w:rsid w:val="002D5B23"/>
    <w:rsid w:val="002D5DF0"/>
    <w:rsid w:val="002D663D"/>
    <w:rsid w:val="002D696C"/>
    <w:rsid w:val="002D69CB"/>
    <w:rsid w:val="002D6BBA"/>
    <w:rsid w:val="002D6BFF"/>
    <w:rsid w:val="002D78F4"/>
    <w:rsid w:val="002D7B27"/>
    <w:rsid w:val="002E079A"/>
    <w:rsid w:val="002E1081"/>
    <w:rsid w:val="002E1A29"/>
    <w:rsid w:val="002E1DBE"/>
    <w:rsid w:val="002E22C4"/>
    <w:rsid w:val="002E24EB"/>
    <w:rsid w:val="002E25C2"/>
    <w:rsid w:val="002E276E"/>
    <w:rsid w:val="002E2EAE"/>
    <w:rsid w:val="002E2F19"/>
    <w:rsid w:val="002E3438"/>
    <w:rsid w:val="002E454C"/>
    <w:rsid w:val="002E4E27"/>
    <w:rsid w:val="002E5FB5"/>
    <w:rsid w:val="002E6BD1"/>
    <w:rsid w:val="002E6D91"/>
    <w:rsid w:val="002E6DBA"/>
    <w:rsid w:val="002E6F74"/>
    <w:rsid w:val="002E75D5"/>
    <w:rsid w:val="002F06C5"/>
    <w:rsid w:val="002F1206"/>
    <w:rsid w:val="002F1405"/>
    <w:rsid w:val="002F1718"/>
    <w:rsid w:val="002F186D"/>
    <w:rsid w:val="002F1F98"/>
    <w:rsid w:val="002F25C4"/>
    <w:rsid w:val="002F2C31"/>
    <w:rsid w:val="002F3094"/>
    <w:rsid w:val="002F3307"/>
    <w:rsid w:val="002F34AE"/>
    <w:rsid w:val="002F3806"/>
    <w:rsid w:val="002F399E"/>
    <w:rsid w:val="002F40A9"/>
    <w:rsid w:val="002F4450"/>
    <w:rsid w:val="002F4463"/>
    <w:rsid w:val="002F4FC8"/>
    <w:rsid w:val="002F504E"/>
    <w:rsid w:val="002F50C6"/>
    <w:rsid w:val="002F5120"/>
    <w:rsid w:val="002F5437"/>
    <w:rsid w:val="002F5474"/>
    <w:rsid w:val="002F5AAE"/>
    <w:rsid w:val="002F617F"/>
    <w:rsid w:val="002F65B9"/>
    <w:rsid w:val="002F6778"/>
    <w:rsid w:val="002F7604"/>
    <w:rsid w:val="002F7ACF"/>
    <w:rsid w:val="002F7D19"/>
    <w:rsid w:val="00300109"/>
    <w:rsid w:val="003005F0"/>
    <w:rsid w:val="003007B7"/>
    <w:rsid w:val="00300A77"/>
    <w:rsid w:val="003014A6"/>
    <w:rsid w:val="00301755"/>
    <w:rsid w:val="00301870"/>
    <w:rsid w:val="00302A65"/>
    <w:rsid w:val="00303600"/>
    <w:rsid w:val="00303B5C"/>
    <w:rsid w:val="00303F3A"/>
    <w:rsid w:val="00304E80"/>
    <w:rsid w:val="00305385"/>
    <w:rsid w:val="003056F6"/>
    <w:rsid w:val="00305776"/>
    <w:rsid w:val="00306644"/>
    <w:rsid w:val="0030665E"/>
    <w:rsid w:val="0030682D"/>
    <w:rsid w:val="00306894"/>
    <w:rsid w:val="00306F64"/>
    <w:rsid w:val="00307448"/>
    <w:rsid w:val="00307E53"/>
    <w:rsid w:val="00310561"/>
    <w:rsid w:val="00310751"/>
    <w:rsid w:val="003109A4"/>
    <w:rsid w:val="00310E8B"/>
    <w:rsid w:val="003110D9"/>
    <w:rsid w:val="0031140A"/>
    <w:rsid w:val="00311CBB"/>
    <w:rsid w:val="00311DBC"/>
    <w:rsid w:val="00311EC9"/>
    <w:rsid w:val="003122F4"/>
    <w:rsid w:val="00312441"/>
    <w:rsid w:val="0031262E"/>
    <w:rsid w:val="0031291F"/>
    <w:rsid w:val="00312D47"/>
    <w:rsid w:val="00313520"/>
    <w:rsid w:val="00314CFE"/>
    <w:rsid w:val="00314E87"/>
    <w:rsid w:val="00314F48"/>
    <w:rsid w:val="00315612"/>
    <w:rsid w:val="0031578B"/>
    <w:rsid w:val="00315CD8"/>
    <w:rsid w:val="00315D8A"/>
    <w:rsid w:val="00315FB3"/>
    <w:rsid w:val="003164EE"/>
    <w:rsid w:val="00316537"/>
    <w:rsid w:val="00316900"/>
    <w:rsid w:val="003174CB"/>
    <w:rsid w:val="003174EA"/>
    <w:rsid w:val="00317B4C"/>
    <w:rsid w:val="00317ED3"/>
    <w:rsid w:val="00317FD8"/>
    <w:rsid w:val="003205C1"/>
    <w:rsid w:val="003209A1"/>
    <w:rsid w:val="00321028"/>
    <w:rsid w:val="00321598"/>
    <w:rsid w:val="003215FD"/>
    <w:rsid w:val="0032207C"/>
    <w:rsid w:val="00322E84"/>
    <w:rsid w:val="003232E7"/>
    <w:rsid w:val="00323A55"/>
    <w:rsid w:val="00324384"/>
    <w:rsid w:val="00324532"/>
    <w:rsid w:val="0032463D"/>
    <w:rsid w:val="0032477C"/>
    <w:rsid w:val="003249AC"/>
    <w:rsid w:val="00324ACE"/>
    <w:rsid w:val="00324E05"/>
    <w:rsid w:val="00325218"/>
    <w:rsid w:val="003255D0"/>
    <w:rsid w:val="00325712"/>
    <w:rsid w:val="00325A17"/>
    <w:rsid w:val="00325B08"/>
    <w:rsid w:val="00325B53"/>
    <w:rsid w:val="00325CEA"/>
    <w:rsid w:val="00325D60"/>
    <w:rsid w:val="00326106"/>
    <w:rsid w:val="00326124"/>
    <w:rsid w:val="0032615E"/>
    <w:rsid w:val="00326824"/>
    <w:rsid w:val="003268D5"/>
    <w:rsid w:val="003271C9"/>
    <w:rsid w:val="003271FB"/>
    <w:rsid w:val="003272B8"/>
    <w:rsid w:val="00327A85"/>
    <w:rsid w:val="003301FF"/>
    <w:rsid w:val="003302E4"/>
    <w:rsid w:val="00330309"/>
    <w:rsid w:val="003303B6"/>
    <w:rsid w:val="00330517"/>
    <w:rsid w:val="00330C5A"/>
    <w:rsid w:val="003310AB"/>
    <w:rsid w:val="0033251B"/>
    <w:rsid w:val="00332E54"/>
    <w:rsid w:val="0033342B"/>
    <w:rsid w:val="003335BB"/>
    <w:rsid w:val="00334078"/>
    <w:rsid w:val="003349AE"/>
    <w:rsid w:val="0033514A"/>
    <w:rsid w:val="00335B30"/>
    <w:rsid w:val="00335B46"/>
    <w:rsid w:val="00335BAB"/>
    <w:rsid w:val="00335C7F"/>
    <w:rsid w:val="003360FC"/>
    <w:rsid w:val="003363AD"/>
    <w:rsid w:val="003365B9"/>
    <w:rsid w:val="0033693C"/>
    <w:rsid w:val="0033697A"/>
    <w:rsid w:val="003372A0"/>
    <w:rsid w:val="00337FE6"/>
    <w:rsid w:val="00340093"/>
    <w:rsid w:val="003401F8"/>
    <w:rsid w:val="00340200"/>
    <w:rsid w:val="00340602"/>
    <w:rsid w:val="00340835"/>
    <w:rsid w:val="00341388"/>
    <w:rsid w:val="0034146F"/>
    <w:rsid w:val="003416D8"/>
    <w:rsid w:val="00341709"/>
    <w:rsid w:val="0034197F"/>
    <w:rsid w:val="00341F7A"/>
    <w:rsid w:val="0034213F"/>
    <w:rsid w:val="0034261F"/>
    <w:rsid w:val="003427F5"/>
    <w:rsid w:val="00343452"/>
    <w:rsid w:val="00343A28"/>
    <w:rsid w:val="00343C27"/>
    <w:rsid w:val="00343C5B"/>
    <w:rsid w:val="003448F6"/>
    <w:rsid w:val="00344AF7"/>
    <w:rsid w:val="00344B40"/>
    <w:rsid w:val="003455EE"/>
    <w:rsid w:val="0034565F"/>
    <w:rsid w:val="003467BF"/>
    <w:rsid w:val="00346A9C"/>
    <w:rsid w:val="003472E1"/>
    <w:rsid w:val="003478D5"/>
    <w:rsid w:val="00347F5F"/>
    <w:rsid w:val="00347F6D"/>
    <w:rsid w:val="00350165"/>
    <w:rsid w:val="00350200"/>
    <w:rsid w:val="0035034F"/>
    <w:rsid w:val="00350550"/>
    <w:rsid w:val="0035061C"/>
    <w:rsid w:val="00350759"/>
    <w:rsid w:val="00350E25"/>
    <w:rsid w:val="00350EC1"/>
    <w:rsid w:val="00351A6A"/>
    <w:rsid w:val="00351EE7"/>
    <w:rsid w:val="00352023"/>
    <w:rsid w:val="00352253"/>
    <w:rsid w:val="00352430"/>
    <w:rsid w:val="003524A2"/>
    <w:rsid w:val="0035266D"/>
    <w:rsid w:val="0035385A"/>
    <w:rsid w:val="00353997"/>
    <w:rsid w:val="00353ECC"/>
    <w:rsid w:val="00353FE3"/>
    <w:rsid w:val="00354A3A"/>
    <w:rsid w:val="00354D27"/>
    <w:rsid w:val="003558BE"/>
    <w:rsid w:val="00356246"/>
    <w:rsid w:val="00356305"/>
    <w:rsid w:val="00356B0D"/>
    <w:rsid w:val="00356D97"/>
    <w:rsid w:val="00357086"/>
    <w:rsid w:val="003571CB"/>
    <w:rsid w:val="0035738A"/>
    <w:rsid w:val="0035763D"/>
    <w:rsid w:val="00357C22"/>
    <w:rsid w:val="00357E00"/>
    <w:rsid w:val="00360C78"/>
    <w:rsid w:val="00360FBE"/>
    <w:rsid w:val="00361064"/>
    <w:rsid w:val="003620B5"/>
    <w:rsid w:val="00362209"/>
    <w:rsid w:val="0036238E"/>
    <w:rsid w:val="00362435"/>
    <w:rsid w:val="003627C5"/>
    <w:rsid w:val="00362838"/>
    <w:rsid w:val="00363389"/>
    <w:rsid w:val="0036383C"/>
    <w:rsid w:val="00363D3F"/>
    <w:rsid w:val="00363D66"/>
    <w:rsid w:val="00363DB9"/>
    <w:rsid w:val="00364B13"/>
    <w:rsid w:val="003655FA"/>
    <w:rsid w:val="003657E9"/>
    <w:rsid w:val="00365A69"/>
    <w:rsid w:val="00365BAD"/>
    <w:rsid w:val="00365E06"/>
    <w:rsid w:val="00365F0A"/>
    <w:rsid w:val="00366048"/>
    <w:rsid w:val="00366C3D"/>
    <w:rsid w:val="00366F4E"/>
    <w:rsid w:val="00367515"/>
    <w:rsid w:val="00367BF5"/>
    <w:rsid w:val="00367C77"/>
    <w:rsid w:val="00367CBF"/>
    <w:rsid w:val="00370402"/>
    <w:rsid w:val="003718A3"/>
    <w:rsid w:val="00371C51"/>
    <w:rsid w:val="0037241E"/>
    <w:rsid w:val="00372581"/>
    <w:rsid w:val="00372B09"/>
    <w:rsid w:val="00372B3E"/>
    <w:rsid w:val="00372C63"/>
    <w:rsid w:val="00372DCA"/>
    <w:rsid w:val="0037308C"/>
    <w:rsid w:val="00373A92"/>
    <w:rsid w:val="00373C36"/>
    <w:rsid w:val="00373CF4"/>
    <w:rsid w:val="003740AF"/>
    <w:rsid w:val="00374136"/>
    <w:rsid w:val="0037474F"/>
    <w:rsid w:val="003748F8"/>
    <w:rsid w:val="00375057"/>
    <w:rsid w:val="00375457"/>
    <w:rsid w:val="003756C7"/>
    <w:rsid w:val="0037594D"/>
    <w:rsid w:val="00375B00"/>
    <w:rsid w:val="00375DC9"/>
    <w:rsid w:val="0037663F"/>
    <w:rsid w:val="00376B41"/>
    <w:rsid w:val="00377786"/>
    <w:rsid w:val="003777A6"/>
    <w:rsid w:val="00377B22"/>
    <w:rsid w:val="00377C43"/>
    <w:rsid w:val="00377CA1"/>
    <w:rsid w:val="00377EB7"/>
    <w:rsid w:val="00380151"/>
    <w:rsid w:val="0038033E"/>
    <w:rsid w:val="0038040A"/>
    <w:rsid w:val="00380761"/>
    <w:rsid w:val="00380772"/>
    <w:rsid w:val="00380DD2"/>
    <w:rsid w:val="00381654"/>
    <w:rsid w:val="003817C2"/>
    <w:rsid w:val="00381C3C"/>
    <w:rsid w:val="00381F8A"/>
    <w:rsid w:val="003821ED"/>
    <w:rsid w:val="00382A5C"/>
    <w:rsid w:val="00383206"/>
    <w:rsid w:val="00383858"/>
    <w:rsid w:val="003838C6"/>
    <w:rsid w:val="0038391E"/>
    <w:rsid w:val="00383C65"/>
    <w:rsid w:val="00383D14"/>
    <w:rsid w:val="00383E28"/>
    <w:rsid w:val="00383F43"/>
    <w:rsid w:val="003843F6"/>
    <w:rsid w:val="0038461B"/>
    <w:rsid w:val="003848BC"/>
    <w:rsid w:val="00384990"/>
    <w:rsid w:val="00384AEE"/>
    <w:rsid w:val="0038552E"/>
    <w:rsid w:val="003858A6"/>
    <w:rsid w:val="00385A76"/>
    <w:rsid w:val="00385FBE"/>
    <w:rsid w:val="00386629"/>
    <w:rsid w:val="00387426"/>
    <w:rsid w:val="003877C9"/>
    <w:rsid w:val="00387ECD"/>
    <w:rsid w:val="003907CA"/>
    <w:rsid w:val="0039086D"/>
    <w:rsid w:val="00391062"/>
    <w:rsid w:val="003910E6"/>
    <w:rsid w:val="003911D2"/>
    <w:rsid w:val="003912F2"/>
    <w:rsid w:val="00391409"/>
    <w:rsid w:val="003923E9"/>
    <w:rsid w:val="003927B9"/>
    <w:rsid w:val="003927C7"/>
    <w:rsid w:val="00392DCC"/>
    <w:rsid w:val="003935B2"/>
    <w:rsid w:val="003936B9"/>
    <w:rsid w:val="00393C88"/>
    <w:rsid w:val="00393E38"/>
    <w:rsid w:val="00394271"/>
    <w:rsid w:val="00394A97"/>
    <w:rsid w:val="003953A3"/>
    <w:rsid w:val="003953D1"/>
    <w:rsid w:val="00395E2A"/>
    <w:rsid w:val="0039600C"/>
    <w:rsid w:val="003962CF"/>
    <w:rsid w:val="0039654E"/>
    <w:rsid w:val="00396725"/>
    <w:rsid w:val="003967F5"/>
    <w:rsid w:val="003970B3"/>
    <w:rsid w:val="003975A9"/>
    <w:rsid w:val="003978D3"/>
    <w:rsid w:val="00397A17"/>
    <w:rsid w:val="00397E58"/>
    <w:rsid w:val="003A00A9"/>
    <w:rsid w:val="003A0F9B"/>
    <w:rsid w:val="003A1A12"/>
    <w:rsid w:val="003A2B87"/>
    <w:rsid w:val="003A2D7D"/>
    <w:rsid w:val="003A2EF4"/>
    <w:rsid w:val="003A34BE"/>
    <w:rsid w:val="003A376B"/>
    <w:rsid w:val="003A39AC"/>
    <w:rsid w:val="003A3A1A"/>
    <w:rsid w:val="003A3FC7"/>
    <w:rsid w:val="003A4941"/>
    <w:rsid w:val="003A4C0F"/>
    <w:rsid w:val="003A4FAB"/>
    <w:rsid w:val="003A500F"/>
    <w:rsid w:val="003A5124"/>
    <w:rsid w:val="003A51FC"/>
    <w:rsid w:val="003A57BD"/>
    <w:rsid w:val="003A58FA"/>
    <w:rsid w:val="003A5A7A"/>
    <w:rsid w:val="003A5B06"/>
    <w:rsid w:val="003A5B36"/>
    <w:rsid w:val="003A622F"/>
    <w:rsid w:val="003A66C1"/>
    <w:rsid w:val="003A680A"/>
    <w:rsid w:val="003A7096"/>
    <w:rsid w:val="003A7258"/>
    <w:rsid w:val="003A72CA"/>
    <w:rsid w:val="003A72DB"/>
    <w:rsid w:val="003A77E3"/>
    <w:rsid w:val="003A782D"/>
    <w:rsid w:val="003A7BE8"/>
    <w:rsid w:val="003A7F15"/>
    <w:rsid w:val="003B0393"/>
    <w:rsid w:val="003B06A0"/>
    <w:rsid w:val="003B072E"/>
    <w:rsid w:val="003B09AA"/>
    <w:rsid w:val="003B1389"/>
    <w:rsid w:val="003B1B64"/>
    <w:rsid w:val="003B1D74"/>
    <w:rsid w:val="003B215E"/>
    <w:rsid w:val="003B321C"/>
    <w:rsid w:val="003B380B"/>
    <w:rsid w:val="003B3C12"/>
    <w:rsid w:val="003B4185"/>
    <w:rsid w:val="003B4226"/>
    <w:rsid w:val="003B438C"/>
    <w:rsid w:val="003B4618"/>
    <w:rsid w:val="003B4780"/>
    <w:rsid w:val="003B4BD6"/>
    <w:rsid w:val="003B55FA"/>
    <w:rsid w:val="003B5CB1"/>
    <w:rsid w:val="003B6194"/>
    <w:rsid w:val="003B6FF0"/>
    <w:rsid w:val="003B7311"/>
    <w:rsid w:val="003B777B"/>
    <w:rsid w:val="003C07D3"/>
    <w:rsid w:val="003C0BDD"/>
    <w:rsid w:val="003C0CA5"/>
    <w:rsid w:val="003C0DDC"/>
    <w:rsid w:val="003C108A"/>
    <w:rsid w:val="003C1717"/>
    <w:rsid w:val="003C1BE4"/>
    <w:rsid w:val="003C2313"/>
    <w:rsid w:val="003C24B4"/>
    <w:rsid w:val="003C256A"/>
    <w:rsid w:val="003C2809"/>
    <w:rsid w:val="003C2AE2"/>
    <w:rsid w:val="003C2BD1"/>
    <w:rsid w:val="003C2D06"/>
    <w:rsid w:val="003C2DA2"/>
    <w:rsid w:val="003C2DF1"/>
    <w:rsid w:val="003C2FEF"/>
    <w:rsid w:val="003C3062"/>
    <w:rsid w:val="003C319E"/>
    <w:rsid w:val="003C32AB"/>
    <w:rsid w:val="003C357A"/>
    <w:rsid w:val="003C35BA"/>
    <w:rsid w:val="003C3662"/>
    <w:rsid w:val="003C3743"/>
    <w:rsid w:val="003C39FE"/>
    <w:rsid w:val="003C3A8D"/>
    <w:rsid w:val="003C4CF5"/>
    <w:rsid w:val="003C4D9A"/>
    <w:rsid w:val="003C4EE0"/>
    <w:rsid w:val="003C5733"/>
    <w:rsid w:val="003C6B57"/>
    <w:rsid w:val="003C6B7C"/>
    <w:rsid w:val="003C786C"/>
    <w:rsid w:val="003D0271"/>
    <w:rsid w:val="003D04B5"/>
    <w:rsid w:val="003D0D4F"/>
    <w:rsid w:val="003D0DDF"/>
    <w:rsid w:val="003D1040"/>
    <w:rsid w:val="003D13EA"/>
    <w:rsid w:val="003D1468"/>
    <w:rsid w:val="003D1A07"/>
    <w:rsid w:val="003D2ECF"/>
    <w:rsid w:val="003D3764"/>
    <w:rsid w:val="003D3AA4"/>
    <w:rsid w:val="003D47F4"/>
    <w:rsid w:val="003D502C"/>
    <w:rsid w:val="003D5343"/>
    <w:rsid w:val="003D59A7"/>
    <w:rsid w:val="003D5AAC"/>
    <w:rsid w:val="003D5C4D"/>
    <w:rsid w:val="003D5D6E"/>
    <w:rsid w:val="003D60A5"/>
    <w:rsid w:val="003D61EE"/>
    <w:rsid w:val="003D6669"/>
    <w:rsid w:val="003D69CF"/>
    <w:rsid w:val="003D6C48"/>
    <w:rsid w:val="003D6C58"/>
    <w:rsid w:val="003D6C5B"/>
    <w:rsid w:val="003D6FD7"/>
    <w:rsid w:val="003E0237"/>
    <w:rsid w:val="003E0877"/>
    <w:rsid w:val="003E134C"/>
    <w:rsid w:val="003E1D30"/>
    <w:rsid w:val="003E1D5B"/>
    <w:rsid w:val="003E20D6"/>
    <w:rsid w:val="003E218A"/>
    <w:rsid w:val="003E21B5"/>
    <w:rsid w:val="003E28F4"/>
    <w:rsid w:val="003E2AC7"/>
    <w:rsid w:val="003E2B3E"/>
    <w:rsid w:val="003E2D16"/>
    <w:rsid w:val="003E3099"/>
    <w:rsid w:val="003E316F"/>
    <w:rsid w:val="003E381F"/>
    <w:rsid w:val="003E3A83"/>
    <w:rsid w:val="003E3CCC"/>
    <w:rsid w:val="003E3D54"/>
    <w:rsid w:val="003E402E"/>
    <w:rsid w:val="003E4275"/>
    <w:rsid w:val="003E43A1"/>
    <w:rsid w:val="003E45E5"/>
    <w:rsid w:val="003E4D87"/>
    <w:rsid w:val="003E57CA"/>
    <w:rsid w:val="003E58CE"/>
    <w:rsid w:val="003E5940"/>
    <w:rsid w:val="003E5D38"/>
    <w:rsid w:val="003E6792"/>
    <w:rsid w:val="003E6ADA"/>
    <w:rsid w:val="003E6F97"/>
    <w:rsid w:val="003E738D"/>
    <w:rsid w:val="003E7E91"/>
    <w:rsid w:val="003F0189"/>
    <w:rsid w:val="003F01E3"/>
    <w:rsid w:val="003F0471"/>
    <w:rsid w:val="003F0AE2"/>
    <w:rsid w:val="003F2160"/>
    <w:rsid w:val="003F22A7"/>
    <w:rsid w:val="003F2498"/>
    <w:rsid w:val="003F2E91"/>
    <w:rsid w:val="003F3560"/>
    <w:rsid w:val="003F3835"/>
    <w:rsid w:val="003F3885"/>
    <w:rsid w:val="003F3BC4"/>
    <w:rsid w:val="003F3D6B"/>
    <w:rsid w:val="003F4FEE"/>
    <w:rsid w:val="003F5E9C"/>
    <w:rsid w:val="003F6186"/>
    <w:rsid w:val="003F63CC"/>
    <w:rsid w:val="003F69D2"/>
    <w:rsid w:val="003F73A9"/>
    <w:rsid w:val="003F756D"/>
    <w:rsid w:val="003F7693"/>
    <w:rsid w:val="003F7D7D"/>
    <w:rsid w:val="004007E7"/>
    <w:rsid w:val="00400C60"/>
    <w:rsid w:val="00401082"/>
    <w:rsid w:val="00401820"/>
    <w:rsid w:val="00401C76"/>
    <w:rsid w:val="00401C80"/>
    <w:rsid w:val="0040219D"/>
    <w:rsid w:val="00402D74"/>
    <w:rsid w:val="0040360D"/>
    <w:rsid w:val="00403CB6"/>
    <w:rsid w:val="00403F87"/>
    <w:rsid w:val="00404106"/>
    <w:rsid w:val="00404595"/>
    <w:rsid w:val="00404822"/>
    <w:rsid w:val="004049B0"/>
    <w:rsid w:val="00404F8F"/>
    <w:rsid w:val="0040544B"/>
    <w:rsid w:val="00405A5C"/>
    <w:rsid w:val="004066AF"/>
    <w:rsid w:val="00406B0F"/>
    <w:rsid w:val="00407508"/>
    <w:rsid w:val="00407838"/>
    <w:rsid w:val="00407902"/>
    <w:rsid w:val="00410031"/>
    <w:rsid w:val="00410670"/>
    <w:rsid w:val="00410846"/>
    <w:rsid w:val="00410ACB"/>
    <w:rsid w:val="0041127C"/>
    <w:rsid w:val="004112A6"/>
    <w:rsid w:val="00411348"/>
    <w:rsid w:val="00411797"/>
    <w:rsid w:val="004119F6"/>
    <w:rsid w:val="00411B7F"/>
    <w:rsid w:val="00411DC8"/>
    <w:rsid w:val="00411E95"/>
    <w:rsid w:val="00412275"/>
    <w:rsid w:val="00412727"/>
    <w:rsid w:val="00412741"/>
    <w:rsid w:val="00412BB1"/>
    <w:rsid w:val="00412D6B"/>
    <w:rsid w:val="00413C89"/>
    <w:rsid w:val="00413D99"/>
    <w:rsid w:val="00414468"/>
    <w:rsid w:val="00414850"/>
    <w:rsid w:val="00414921"/>
    <w:rsid w:val="00414A5A"/>
    <w:rsid w:val="00414B48"/>
    <w:rsid w:val="00414BCE"/>
    <w:rsid w:val="00415104"/>
    <w:rsid w:val="004153A5"/>
    <w:rsid w:val="0041593A"/>
    <w:rsid w:val="00415C6D"/>
    <w:rsid w:val="00415D2E"/>
    <w:rsid w:val="004162D0"/>
    <w:rsid w:val="00416762"/>
    <w:rsid w:val="00416E55"/>
    <w:rsid w:val="00417375"/>
    <w:rsid w:val="00417F7C"/>
    <w:rsid w:val="004202B1"/>
    <w:rsid w:val="00420930"/>
    <w:rsid w:val="00421274"/>
    <w:rsid w:val="00421397"/>
    <w:rsid w:val="00421486"/>
    <w:rsid w:val="004216E1"/>
    <w:rsid w:val="0042182D"/>
    <w:rsid w:val="00421AFA"/>
    <w:rsid w:val="00422140"/>
    <w:rsid w:val="004221F2"/>
    <w:rsid w:val="0042242F"/>
    <w:rsid w:val="00422BC0"/>
    <w:rsid w:val="00422F63"/>
    <w:rsid w:val="00422FBE"/>
    <w:rsid w:val="00423D32"/>
    <w:rsid w:val="00423F73"/>
    <w:rsid w:val="0042408F"/>
    <w:rsid w:val="0042412A"/>
    <w:rsid w:val="004242FF"/>
    <w:rsid w:val="00424343"/>
    <w:rsid w:val="0042453C"/>
    <w:rsid w:val="00424761"/>
    <w:rsid w:val="00424B37"/>
    <w:rsid w:val="00424D71"/>
    <w:rsid w:val="00424D7E"/>
    <w:rsid w:val="00424E59"/>
    <w:rsid w:val="004250E9"/>
    <w:rsid w:val="0042518A"/>
    <w:rsid w:val="00426AF6"/>
    <w:rsid w:val="00427151"/>
    <w:rsid w:val="004271E5"/>
    <w:rsid w:val="004276A0"/>
    <w:rsid w:val="004278D7"/>
    <w:rsid w:val="00427C7D"/>
    <w:rsid w:val="00427FBE"/>
    <w:rsid w:val="00430415"/>
    <w:rsid w:val="00430BEF"/>
    <w:rsid w:val="00431115"/>
    <w:rsid w:val="004311AD"/>
    <w:rsid w:val="004312DC"/>
    <w:rsid w:val="0043137D"/>
    <w:rsid w:val="00431C0E"/>
    <w:rsid w:val="004323AC"/>
    <w:rsid w:val="00432ACA"/>
    <w:rsid w:val="00433AA3"/>
    <w:rsid w:val="00434D3C"/>
    <w:rsid w:val="00435000"/>
    <w:rsid w:val="00435BDC"/>
    <w:rsid w:val="00435F82"/>
    <w:rsid w:val="00435FA8"/>
    <w:rsid w:val="004367CB"/>
    <w:rsid w:val="00437067"/>
    <w:rsid w:val="0043747D"/>
    <w:rsid w:val="004375F8"/>
    <w:rsid w:val="00437B8C"/>
    <w:rsid w:val="004400C5"/>
    <w:rsid w:val="004405C3"/>
    <w:rsid w:val="004406CA"/>
    <w:rsid w:val="0044135C"/>
    <w:rsid w:val="0044144B"/>
    <w:rsid w:val="00441489"/>
    <w:rsid w:val="00441D36"/>
    <w:rsid w:val="00441E44"/>
    <w:rsid w:val="00441E95"/>
    <w:rsid w:val="00441F8B"/>
    <w:rsid w:val="00442A40"/>
    <w:rsid w:val="00442C15"/>
    <w:rsid w:val="00442FDE"/>
    <w:rsid w:val="004433A2"/>
    <w:rsid w:val="004433A5"/>
    <w:rsid w:val="0044363E"/>
    <w:rsid w:val="004438A8"/>
    <w:rsid w:val="004439EE"/>
    <w:rsid w:val="00443AAC"/>
    <w:rsid w:val="00443C84"/>
    <w:rsid w:val="00445129"/>
    <w:rsid w:val="00445265"/>
    <w:rsid w:val="00445623"/>
    <w:rsid w:val="0044627C"/>
    <w:rsid w:val="00446978"/>
    <w:rsid w:val="004469CD"/>
    <w:rsid w:val="00446C1F"/>
    <w:rsid w:val="00446CB2"/>
    <w:rsid w:val="0044703D"/>
    <w:rsid w:val="004471DC"/>
    <w:rsid w:val="004476B9"/>
    <w:rsid w:val="00447AB3"/>
    <w:rsid w:val="0045077E"/>
    <w:rsid w:val="004508AD"/>
    <w:rsid w:val="00450AE2"/>
    <w:rsid w:val="00450F59"/>
    <w:rsid w:val="004514F4"/>
    <w:rsid w:val="00451818"/>
    <w:rsid w:val="00451911"/>
    <w:rsid w:val="00451B36"/>
    <w:rsid w:val="00451DDD"/>
    <w:rsid w:val="00452149"/>
    <w:rsid w:val="00452FF0"/>
    <w:rsid w:val="00453B1A"/>
    <w:rsid w:val="004548E3"/>
    <w:rsid w:val="00454F9C"/>
    <w:rsid w:val="00455102"/>
    <w:rsid w:val="004557EA"/>
    <w:rsid w:val="004559CE"/>
    <w:rsid w:val="0045633D"/>
    <w:rsid w:val="00456791"/>
    <w:rsid w:val="00456D8D"/>
    <w:rsid w:val="0045707A"/>
    <w:rsid w:val="00457270"/>
    <w:rsid w:val="00457BD9"/>
    <w:rsid w:val="00457DD9"/>
    <w:rsid w:val="00457F18"/>
    <w:rsid w:val="004605BC"/>
    <w:rsid w:val="00460A86"/>
    <w:rsid w:val="00460E1A"/>
    <w:rsid w:val="00460F6C"/>
    <w:rsid w:val="0046110D"/>
    <w:rsid w:val="00461A77"/>
    <w:rsid w:val="00461AFE"/>
    <w:rsid w:val="00461BE8"/>
    <w:rsid w:val="00462404"/>
    <w:rsid w:val="0046245B"/>
    <w:rsid w:val="00462587"/>
    <w:rsid w:val="0046336E"/>
    <w:rsid w:val="004634BD"/>
    <w:rsid w:val="00463DF8"/>
    <w:rsid w:val="0046430A"/>
    <w:rsid w:val="0046452E"/>
    <w:rsid w:val="00464748"/>
    <w:rsid w:val="004647EE"/>
    <w:rsid w:val="00464D63"/>
    <w:rsid w:val="00465A2C"/>
    <w:rsid w:val="00465A73"/>
    <w:rsid w:val="004662E2"/>
    <w:rsid w:val="00466523"/>
    <w:rsid w:val="0046679F"/>
    <w:rsid w:val="00466D39"/>
    <w:rsid w:val="00466E29"/>
    <w:rsid w:val="004670DE"/>
    <w:rsid w:val="00467553"/>
    <w:rsid w:val="00467A5E"/>
    <w:rsid w:val="00467C10"/>
    <w:rsid w:val="00467C6C"/>
    <w:rsid w:val="00467D39"/>
    <w:rsid w:val="004704CE"/>
    <w:rsid w:val="00470A4B"/>
    <w:rsid w:val="00470DA9"/>
    <w:rsid w:val="004710C2"/>
    <w:rsid w:val="00471589"/>
    <w:rsid w:val="00471B64"/>
    <w:rsid w:val="00471EDA"/>
    <w:rsid w:val="0047205C"/>
    <w:rsid w:val="00472B24"/>
    <w:rsid w:val="00472F80"/>
    <w:rsid w:val="00473684"/>
    <w:rsid w:val="004736C4"/>
    <w:rsid w:val="00474B86"/>
    <w:rsid w:val="00475085"/>
    <w:rsid w:val="00475260"/>
    <w:rsid w:val="00475BFD"/>
    <w:rsid w:val="00475ED5"/>
    <w:rsid w:val="00475F6D"/>
    <w:rsid w:val="004761CD"/>
    <w:rsid w:val="0047656E"/>
    <w:rsid w:val="00476CF6"/>
    <w:rsid w:val="00476E1A"/>
    <w:rsid w:val="00476EA8"/>
    <w:rsid w:val="004771AA"/>
    <w:rsid w:val="00477963"/>
    <w:rsid w:val="004779CB"/>
    <w:rsid w:val="00477AA8"/>
    <w:rsid w:val="00480098"/>
    <w:rsid w:val="00480804"/>
    <w:rsid w:val="004808F4"/>
    <w:rsid w:val="00480A5B"/>
    <w:rsid w:val="0048104B"/>
    <w:rsid w:val="00481085"/>
    <w:rsid w:val="004813C9"/>
    <w:rsid w:val="00481A77"/>
    <w:rsid w:val="004820F0"/>
    <w:rsid w:val="00482174"/>
    <w:rsid w:val="0048250B"/>
    <w:rsid w:val="00482890"/>
    <w:rsid w:val="00482C99"/>
    <w:rsid w:val="00482D18"/>
    <w:rsid w:val="00483460"/>
    <w:rsid w:val="00483ADD"/>
    <w:rsid w:val="004840B8"/>
    <w:rsid w:val="00484431"/>
    <w:rsid w:val="00485647"/>
    <w:rsid w:val="00485DE9"/>
    <w:rsid w:val="00485DF7"/>
    <w:rsid w:val="00486362"/>
    <w:rsid w:val="004864AC"/>
    <w:rsid w:val="00487408"/>
    <w:rsid w:val="004875C6"/>
    <w:rsid w:val="004906DD"/>
    <w:rsid w:val="004907E9"/>
    <w:rsid w:val="004907EB"/>
    <w:rsid w:val="00490AF6"/>
    <w:rsid w:val="00490E6C"/>
    <w:rsid w:val="004917DE"/>
    <w:rsid w:val="00491C1E"/>
    <w:rsid w:val="00491D27"/>
    <w:rsid w:val="0049232C"/>
    <w:rsid w:val="00492F0B"/>
    <w:rsid w:val="00492FCB"/>
    <w:rsid w:val="0049314C"/>
    <w:rsid w:val="004934B0"/>
    <w:rsid w:val="00493EEE"/>
    <w:rsid w:val="00494697"/>
    <w:rsid w:val="004946D7"/>
    <w:rsid w:val="00494BE9"/>
    <w:rsid w:val="004952CF"/>
    <w:rsid w:val="004952F9"/>
    <w:rsid w:val="0049532E"/>
    <w:rsid w:val="004955E0"/>
    <w:rsid w:val="0049574C"/>
    <w:rsid w:val="00496A2E"/>
    <w:rsid w:val="00496A99"/>
    <w:rsid w:val="00496B4F"/>
    <w:rsid w:val="004971B2"/>
    <w:rsid w:val="004A07F7"/>
    <w:rsid w:val="004A0900"/>
    <w:rsid w:val="004A0A6D"/>
    <w:rsid w:val="004A0CDD"/>
    <w:rsid w:val="004A0D8A"/>
    <w:rsid w:val="004A0F11"/>
    <w:rsid w:val="004A10CF"/>
    <w:rsid w:val="004A155C"/>
    <w:rsid w:val="004A2217"/>
    <w:rsid w:val="004A221C"/>
    <w:rsid w:val="004A252B"/>
    <w:rsid w:val="004A252D"/>
    <w:rsid w:val="004A307E"/>
    <w:rsid w:val="004A350C"/>
    <w:rsid w:val="004A38FF"/>
    <w:rsid w:val="004A3AEF"/>
    <w:rsid w:val="004A3EAA"/>
    <w:rsid w:val="004A4DC4"/>
    <w:rsid w:val="004A5011"/>
    <w:rsid w:val="004A50D3"/>
    <w:rsid w:val="004A5905"/>
    <w:rsid w:val="004A5D8F"/>
    <w:rsid w:val="004A5E37"/>
    <w:rsid w:val="004A6427"/>
    <w:rsid w:val="004A656D"/>
    <w:rsid w:val="004A6A4C"/>
    <w:rsid w:val="004A6D54"/>
    <w:rsid w:val="004A7354"/>
    <w:rsid w:val="004A7525"/>
    <w:rsid w:val="004A7777"/>
    <w:rsid w:val="004A77A9"/>
    <w:rsid w:val="004A7855"/>
    <w:rsid w:val="004A7D97"/>
    <w:rsid w:val="004A7EB9"/>
    <w:rsid w:val="004A7F41"/>
    <w:rsid w:val="004B0B0E"/>
    <w:rsid w:val="004B0FA8"/>
    <w:rsid w:val="004B11B7"/>
    <w:rsid w:val="004B206E"/>
    <w:rsid w:val="004B29EC"/>
    <w:rsid w:val="004B2FCA"/>
    <w:rsid w:val="004B3A72"/>
    <w:rsid w:val="004B3B72"/>
    <w:rsid w:val="004B3D2B"/>
    <w:rsid w:val="004B46DB"/>
    <w:rsid w:val="004B4903"/>
    <w:rsid w:val="004B4D8C"/>
    <w:rsid w:val="004B4E34"/>
    <w:rsid w:val="004B5133"/>
    <w:rsid w:val="004B527A"/>
    <w:rsid w:val="004B55E7"/>
    <w:rsid w:val="004B5B2B"/>
    <w:rsid w:val="004B5C88"/>
    <w:rsid w:val="004B5D49"/>
    <w:rsid w:val="004B5F9F"/>
    <w:rsid w:val="004B655A"/>
    <w:rsid w:val="004B694D"/>
    <w:rsid w:val="004B6C61"/>
    <w:rsid w:val="004B6F2A"/>
    <w:rsid w:val="004B717D"/>
    <w:rsid w:val="004B7977"/>
    <w:rsid w:val="004B7AE9"/>
    <w:rsid w:val="004B7C73"/>
    <w:rsid w:val="004B7F16"/>
    <w:rsid w:val="004C02C4"/>
    <w:rsid w:val="004C0799"/>
    <w:rsid w:val="004C1800"/>
    <w:rsid w:val="004C1A58"/>
    <w:rsid w:val="004C1D0A"/>
    <w:rsid w:val="004C1D2D"/>
    <w:rsid w:val="004C261A"/>
    <w:rsid w:val="004C2962"/>
    <w:rsid w:val="004C2E22"/>
    <w:rsid w:val="004C2EB8"/>
    <w:rsid w:val="004C37E6"/>
    <w:rsid w:val="004C3AC4"/>
    <w:rsid w:val="004C41B6"/>
    <w:rsid w:val="004C41FD"/>
    <w:rsid w:val="004C4307"/>
    <w:rsid w:val="004C4C83"/>
    <w:rsid w:val="004C4E0E"/>
    <w:rsid w:val="004C535B"/>
    <w:rsid w:val="004C5C9A"/>
    <w:rsid w:val="004C5F97"/>
    <w:rsid w:val="004C60BC"/>
    <w:rsid w:val="004C64FB"/>
    <w:rsid w:val="004C69B3"/>
    <w:rsid w:val="004C69E4"/>
    <w:rsid w:val="004C6BC1"/>
    <w:rsid w:val="004C70DC"/>
    <w:rsid w:val="004C7690"/>
    <w:rsid w:val="004C772A"/>
    <w:rsid w:val="004D0428"/>
    <w:rsid w:val="004D07E2"/>
    <w:rsid w:val="004D0849"/>
    <w:rsid w:val="004D0907"/>
    <w:rsid w:val="004D0DE7"/>
    <w:rsid w:val="004D0E3C"/>
    <w:rsid w:val="004D0F08"/>
    <w:rsid w:val="004D1C51"/>
    <w:rsid w:val="004D1D04"/>
    <w:rsid w:val="004D2303"/>
    <w:rsid w:val="004D23BD"/>
    <w:rsid w:val="004D3C64"/>
    <w:rsid w:val="004D43D8"/>
    <w:rsid w:val="004D4D10"/>
    <w:rsid w:val="004D507F"/>
    <w:rsid w:val="004D50C7"/>
    <w:rsid w:val="004D51BB"/>
    <w:rsid w:val="004D5A89"/>
    <w:rsid w:val="004D5B1E"/>
    <w:rsid w:val="004D5BC9"/>
    <w:rsid w:val="004D5E37"/>
    <w:rsid w:val="004D5F39"/>
    <w:rsid w:val="004D61D7"/>
    <w:rsid w:val="004D6AFA"/>
    <w:rsid w:val="004D6E37"/>
    <w:rsid w:val="004D7128"/>
    <w:rsid w:val="004D7421"/>
    <w:rsid w:val="004D798F"/>
    <w:rsid w:val="004D7BEC"/>
    <w:rsid w:val="004E00AD"/>
    <w:rsid w:val="004E00EA"/>
    <w:rsid w:val="004E013B"/>
    <w:rsid w:val="004E194A"/>
    <w:rsid w:val="004E3A71"/>
    <w:rsid w:val="004E3C05"/>
    <w:rsid w:val="004E3D4C"/>
    <w:rsid w:val="004E3FD1"/>
    <w:rsid w:val="004E4023"/>
    <w:rsid w:val="004E40A0"/>
    <w:rsid w:val="004E4192"/>
    <w:rsid w:val="004E4629"/>
    <w:rsid w:val="004E47BB"/>
    <w:rsid w:val="004E5108"/>
    <w:rsid w:val="004E59F7"/>
    <w:rsid w:val="004E5F45"/>
    <w:rsid w:val="004E660E"/>
    <w:rsid w:val="004E6637"/>
    <w:rsid w:val="004E6C1E"/>
    <w:rsid w:val="004E6F48"/>
    <w:rsid w:val="004E7563"/>
    <w:rsid w:val="004E78FC"/>
    <w:rsid w:val="004E7C48"/>
    <w:rsid w:val="004E7D26"/>
    <w:rsid w:val="004E7FAE"/>
    <w:rsid w:val="004F034B"/>
    <w:rsid w:val="004F0B74"/>
    <w:rsid w:val="004F0B92"/>
    <w:rsid w:val="004F0CE8"/>
    <w:rsid w:val="004F0D39"/>
    <w:rsid w:val="004F1183"/>
    <w:rsid w:val="004F11E2"/>
    <w:rsid w:val="004F16F0"/>
    <w:rsid w:val="004F19DB"/>
    <w:rsid w:val="004F1A88"/>
    <w:rsid w:val="004F1FA5"/>
    <w:rsid w:val="004F201A"/>
    <w:rsid w:val="004F32A8"/>
    <w:rsid w:val="004F3A3E"/>
    <w:rsid w:val="004F3A45"/>
    <w:rsid w:val="004F4170"/>
    <w:rsid w:val="004F4415"/>
    <w:rsid w:val="004F46D1"/>
    <w:rsid w:val="004F4775"/>
    <w:rsid w:val="004F4880"/>
    <w:rsid w:val="004F494F"/>
    <w:rsid w:val="004F4A1C"/>
    <w:rsid w:val="004F4B92"/>
    <w:rsid w:val="004F4CBC"/>
    <w:rsid w:val="004F5319"/>
    <w:rsid w:val="004F57BB"/>
    <w:rsid w:val="004F5FA3"/>
    <w:rsid w:val="004F6626"/>
    <w:rsid w:val="004F6BA3"/>
    <w:rsid w:val="004F6E38"/>
    <w:rsid w:val="004F6FC6"/>
    <w:rsid w:val="004F70ED"/>
    <w:rsid w:val="004F75EB"/>
    <w:rsid w:val="004F78EC"/>
    <w:rsid w:val="004F7A3C"/>
    <w:rsid w:val="004F7B64"/>
    <w:rsid w:val="004F7D53"/>
    <w:rsid w:val="004F7DE8"/>
    <w:rsid w:val="004F7DE9"/>
    <w:rsid w:val="00500292"/>
    <w:rsid w:val="005004F5"/>
    <w:rsid w:val="00500BE3"/>
    <w:rsid w:val="00501359"/>
    <w:rsid w:val="005016D5"/>
    <w:rsid w:val="005017A4"/>
    <w:rsid w:val="00501C28"/>
    <w:rsid w:val="00501F20"/>
    <w:rsid w:val="00502253"/>
    <w:rsid w:val="00502281"/>
    <w:rsid w:val="00502683"/>
    <w:rsid w:val="00502696"/>
    <w:rsid w:val="00502AF0"/>
    <w:rsid w:val="00502D36"/>
    <w:rsid w:val="00502F2A"/>
    <w:rsid w:val="00503567"/>
    <w:rsid w:val="005040DB"/>
    <w:rsid w:val="005046A5"/>
    <w:rsid w:val="005046C7"/>
    <w:rsid w:val="005048D7"/>
    <w:rsid w:val="00504978"/>
    <w:rsid w:val="00504F93"/>
    <w:rsid w:val="00505267"/>
    <w:rsid w:val="0050548B"/>
    <w:rsid w:val="00505A53"/>
    <w:rsid w:val="00505A5A"/>
    <w:rsid w:val="00505AB5"/>
    <w:rsid w:val="00506A1A"/>
    <w:rsid w:val="00506AA4"/>
    <w:rsid w:val="00506C3E"/>
    <w:rsid w:val="00506E80"/>
    <w:rsid w:val="00506F93"/>
    <w:rsid w:val="0050703A"/>
    <w:rsid w:val="005074AA"/>
    <w:rsid w:val="00507566"/>
    <w:rsid w:val="00507637"/>
    <w:rsid w:val="005079EC"/>
    <w:rsid w:val="00507E57"/>
    <w:rsid w:val="00510338"/>
    <w:rsid w:val="00510686"/>
    <w:rsid w:val="00510737"/>
    <w:rsid w:val="005109AD"/>
    <w:rsid w:val="00510A5B"/>
    <w:rsid w:val="00510C3B"/>
    <w:rsid w:val="00511E1A"/>
    <w:rsid w:val="00511F39"/>
    <w:rsid w:val="005121B8"/>
    <w:rsid w:val="005121BB"/>
    <w:rsid w:val="005123CC"/>
    <w:rsid w:val="0051273D"/>
    <w:rsid w:val="00512BE2"/>
    <w:rsid w:val="005132AE"/>
    <w:rsid w:val="0051374A"/>
    <w:rsid w:val="00513A1F"/>
    <w:rsid w:val="00513AED"/>
    <w:rsid w:val="00513F31"/>
    <w:rsid w:val="00513F3C"/>
    <w:rsid w:val="005142DC"/>
    <w:rsid w:val="00514692"/>
    <w:rsid w:val="00514777"/>
    <w:rsid w:val="00514B89"/>
    <w:rsid w:val="005150EA"/>
    <w:rsid w:val="00515580"/>
    <w:rsid w:val="00515873"/>
    <w:rsid w:val="005158BB"/>
    <w:rsid w:val="00515F0C"/>
    <w:rsid w:val="00516785"/>
    <w:rsid w:val="00517046"/>
    <w:rsid w:val="00517547"/>
    <w:rsid w:val="0051770A"/>
    <w:rsid w:val="005177F1"/>
    <w:rsid w:val="00517F59"/>
    <w:rsid w:val="00520193"/>
    <w:rsid w:val="0052047E"/>
    <w:rsid w:val="0052059F"/>
    <w:rsid w:val="00520AA8"/>
    <w:rsid w:val="00521B87"/>
    <w:rsid w:val="00521E50"/>
    <w:rsid w:val="00522394"/>
    <w:rsid w:val="00522439"/>
    <w:rsid w:val="0052258F"/>
    <w:rsid w:val="00523D9A"/>
    <w:rsid w:val="00523DE8"/>
    <w:rsid w:val="0052419D"/>
    <w:rsid w:val="005248FB"/>
    <w:rsid w:val="00524A5D"/>
    <w:rsid w:val="0052501F"/>
    <w:rsid w:val="005256D4"/>
    <w:rsid w:val="00526285"/>
    <w:rsid w:val="0052630D"/>
    <w:rsid w:val="00526741"/>
    <w:rsid w:val="00526C66"/>
    <w:rsid w:val="00527565"/>
    <w:rsid w:val="00527853"/>
    <w:rsid w:val="00527B40"/>
    <w:rsid w:val="00527BA7"/>
    <w:rsid w:val="0053013B"/>
    <w:rsid w:val="005301F8"/>
    <w:rsid w:val="005303FE"/>
    <w:rsid w:val="00530C03"/>
    <w:rsid w:val="00530C45"/>
    <w:rsid w:val="00530CA7"/>
    <w:rsid w:val="005310C1"/>
    <w:rsid w:val="005312FC"/>
    <w:rsid w:val="0053155F"/>
    <w:rsid w:val="00531777"/>
    <w:rsid w:val="00531B5F"/>
    <w:rsid w:val="00531DE6"/>
    <w:rsid w:val="00532221"/>
    <w:rsid w:val="00532297"/>
    <w:rsid w:val="00532A9E"/>
    <w:rsid w:val="005331E2"/>
    <w:rsid w:val="00533673"/>
    <w:rsid w:val="00533A2A"/>
    <w:rsid w:val="00533AF4"/>
    <w:rsid w:val="00533FA7"/>
    <w:rsid w:val="00534073"/>
    <w:rsid w:val="00534563"/>
    <w:rsid w:val="00534A0A"/>
    <w:rsid w:val="00534BB1"/>
    <w:rsid w:val="0053569E"/>
    <w:rsid w:val="0053570F"/>
    <w:rsid w:val="00535C7B"/>
    <w:rsid w:val="0053603D"/>
    <w:rsid w:val="00536685"/>
    <w:rsid w:val="00536FDE"/>
    <w:rsid w:val="0053716E"/>
    <w:rsid w:val="0053742A"/>
    <w:rsid w:val="00537A83"/>
    <w:rsid w:val="00537C85"/>
    <w:rsid w:val="00537D5C"/>
    <w:rsid w:val="00537FE4"/>
    <w:rsid w:val="00540140"/>
    <w:rsid w:val="005406B6"/>
    <w:rsid w:val="0054086F"/>
    <w:rsid w:val="0054154A"/>
    <w:rsid w:val="00541D0E"/>
    <w:rsid w:val="00541D29"/>
    <w:rsid w:val="00543B2B"/>
    <w:rsid w:val="00543F20"/>
    <w:rsid w:val="005441CC"/>
    <w:rsid w:val="0054461F"/>
    <w:rsid w:val="00544646"/>
    <w:rsid w:val="005446A3"/>
    <w:rsid w:val="00544B21"/>
    <w:rsid w:val="00544B31"/>
    <w:rsid w:val="00545D83"/>
    <w:rsid w:val="00545F14"/>
    <w:rsid w:val="005476D5"/>
    <w:rsid w:val="005500B9"/>
    <w:rsid w:val="00550A69"/>
    <w:rsid w:val="00550CA5"/>
    <w:rsid w:val="005513EB"/>
    <w:rsid w:val="00551838"/>
    <w:rsid w:val="00551A18"/>
    <w:rsid w:val="0055209E"/>
    <w:rsid w:val="0055231A"/>
    <w:rsid w:val="00552339"/>
    <w:rsid w:val="00552494"/>
    <w:rsid w:val="005528D3"/>
    <w:rsid w:val="00552A71"/>
    <w:rsid w:val="00552DD1"/>
    <w:rsid w:val="00553054"/>
    <w:rsid w:val="005533C6"/>
    <w:rsid w:val="005539BC"/>
    <w:rsid w:val="00553B2E"/>
    <w:rsid w:val="00553F47"/>
    <w:rsid w:val="00554065"/>
    <w:rsid w:val="005540D1"/>
    <w:rsid w:val="005542CD"/>
    <w:rsid w:val="005548DA"/>
    <w:rsid w:val="00554AEA"/>
    <w:rsid w:val="00555146"/>
    <w:rsid w:val="0055540D"/>
    <w:rsid w:val="0055573E"/>
    <w:rsid w:val="00555EA6"/>
    <w:rsid w:val="005566B5"/>
    <w:rsid w:val="00556831"/>
    <w:rsid w:val="00556A1C"/>
    <w:rsid w:val="00556A20"/>
    <w:rsid w:val="00556AED"/>
    <w:rsid w:val="00557127"/>
    <w:rsid w:val="00557410"/>
    <w:rsid w:val="00557430"/>
    <w:rsid w:val="00557667"/>
    <w:rsid w:val="00557757"/>
    <w:rsid w:val="00557CE5"/>
    <w:rsid w:val="00557DD8"/>
    <w:rsid w:val="00557F47"/>
    <w:rsid w:val="00560964"/>
    <w:rsid w:val="00560BF9"/>
    <w:rsid w:val="00560F3C"/>
    <w:rsid w:val="005615EE"/>
    <w:rsid w:val="005615F7"/>
    <w:rsid w:val="00561943"/>
    <w:rsid w:val="00561C41"/>
    <w:rsid w:val="005622A5"/>
    <w:rsid w:val="00562369"/>
    <w:rsid w:val="0056236C"/>
    <w:rsid w:val="00562605"/>
    <w:rsid w:val="005626E0"/>
    <w:rsid w:val="005626E1"/>
    <w:rsid w:val="00562AF0"/>
    <w:rsid w:val="00562F17"/>
    <w:rsid w:val="0056319E"/>
    <w:rsid w:val="0056323A"/>
    <w:rsid w:val="00563252"/>
    <w:rsid w:val="005633E1"/>
    <w:rsid w:val="005633EE"/>
    <w:rsid w:val="005636F7"/>
    <w:rsid w:val="00563A1A"/>
    <w:rsid w:val="00563A33"/>
    <w:rsid w:val="00563CD0"/>
    <w:rsid w:val="00563F5C"/>
    <w:rsid w:val="0056477E"/>
    <w:rsid w:val="00564A6B"/>
    <w:rsid w:val="00564B49"/>
    <w:rsid w:val="00565528"/>
    <w:rsid w:val="005655F8"/>
    <w:rsid w:val="0056582C"/>
    <w:rsid w:val="00565B30"/>
    <w:rsid w:val="00565E70"/>
    <w:rsid w:val="00565EC2"/>
    <w:rsid w:val="00566D72"/>
    <w:rsid w:val="0056705B"/>
    <w:rsid w:val="00567558"/>
    <w:rsid w:val="0056766B"/>
    <w:rsid w:val="0056785C"/>
    <w:rsid w:val="00567A26"/>
    <w:rsid w:val="00567A70"/>
    <w:rsid w:val="00567C8C"/>
    <w:rsid w:val="00567D62"/>
    <w:rsid w:val="00570193"/>
    <w:rsid w:val="00570254"/>
    <w:rsid w:val="00571071"/>
    <w:rsid w:val="005714A4"/>
    <w:rsid w:val="00571F90"/>
    <w:rsid w:val="005721BC"/>
    <w:rsid w:val="00572462"/>
    <w:rsid w:val="005726A0"/>
    <w:rsid w:val="00572B08"/>
    <w:rsid w:val="00572E8B"/>
    <w:rsid w:val="00572FC6"/>
    <w:rsid w:val="0057312C"/>
    <w:rsid w:val="005738E2"/>
    <w:rsid w:val="00573AD3"/>
    <w:rsid w:val="00573C58"/>
    <w:rsid w:val="0057426D"/>
    <w:rsid w:val="005743F8"/>
    <w:rsid w:val="005746B0"/>
    <w:rsid w:val="005749E7"/>
    <w:rsid w:val="00574EBB"/>
    <w:rsid w:val="00576FE0"/>
    <w:rsid w:val="00577064"/>
    <w:rsid w:val="005775AF"/>
    <w:rsid w:val="0058097A"/>
    <w:rsid w:val="00580BC5"/>
    <w:rsid w:val="00580CF7"/>
    <w:rsid w:val="005810B4"/>
    <w:rsid w:val="0058180E"/>
    <w:rsid w:val="00581894"/>
    <w:rsid w:val="0058254E"/>
    <w:rsid w:val="00582900"/>
    <w:rsid w:val="00582D04"/>
    <w:rsid w:val="00583831"/>
    <w:rsid w:val="00583B36"/>
    <w:rsid w:val="00583CED"/>
    <w:rsid w:val="00583D7B"/>
    <w:rsid w:val="00584CB5"/>
    <w:rsid w:val="00584E5D"/>
    <w:rsid w:val="00584E91"/>
    <w:rsid w:val="0058566D"/>
    <w:rsid w:val="0058584B"/>
    <w:rsid w:val="00585885"/>
    <w:rsid w:val="00585E1A"/>
    <w:rsid w:val="00585F7E"/>
    <w:rsid w:val="00586456"/>
    <w:rsid w:val="005865B3"/>
    <w:rsid w:val="005865DB"/>
    <w:rsid w:val="00586658"/>
    <w:rsid w:val="00586775"/>
    <w:rsid w:val="005868DE"/>
    <w:rsid w:val="00586AEA"/>
    <w:rsid w:val="00586F51"/>
    <w:rsid w:val="005877AC"/>
    <w:rsid w:val="005878E4"/>
    <w:rsid w:val="00587C67"/>
    <w:rsid w:val="00587CEC"/>
    <w:rsid w:val="00587D0E"/>
    <w:rsid w:val="00587F9D"/>
    <w:rsid w:val="005903F7"/>
    <w:rsid w:val="0059080A"/>
    <w:rsid w:val="00590CD6"/>
    <w:rsid w:val="005917AE"/>
    <w:rsid w:val="00591BB8"/>
    <w:rsid w:val="00591DE9"/>
    <w:rsid w:val="0059212E"/>
    <w:rsid w:val="0059309E"/>
    <w:rsid w:val="00593186"/>
    <w:rsid w:val="00593230"/>
    <w:rsid w:val="005932C6"/>
    <w:rsid w:val="00593A50"/>
    <w:rsid w:val="00594FF8"/>
    <w:rsid w:val="005950CA"/>
    <w:rsid w:val="00595499"/>
    <w:rsid w:val="0059549E"/>
    <w:rsid w:val="005958C0"/>
    <w:rsid w:val="00595F15"/>
    <w:rsid w:val="005960F2"/>
    <w:rsid w:val="005966B7"/>
    <w:rsid w:val="00596A1B"/>
    <w:rsid w:val="00596C4D"/>
    <w:rsid w:val="0059740E"/>
    <w:rsid w:val="00597462"/>
    <w:rsid w:val="00597588"/>
    <w:rsid w:val="0059789E"/>
    <w:rsid w:val="00597BCD"/>
    <w:rsid w:val="005A118E"/>
    <w:rsid w:val="005A12CE"/>
    <w:rsid w:val="005A18E3"/>
    <w:rsid w:val="005A1A22"/>
    <w:rsid w:val="005A2628"/>
    <w:rsid w:val="005A271B"/>
    <w:rsid w:val="005A2843"/>
    <w:rsid w:val="005A2A22"/>
    <w:rsid w:val="005A3823"/>
    <w:rsid w:val="005A3AE5"/>
    <w:rsid w:val="005A3F4D"/>
    <w:rsid w:val="005A490D"/>
    <w:rsid w:val="005A510F"/>
    <w:rsid w:val="005A51A3"/>
    <w:rsid w:val="005A5930"/>
    <w:rsid w:val="005A5D68"/>
    <w:rsid w:val="005A5E2E"/>
    <w:rsid w:val="005A5FA9"/>
    <w:rsid w:val="005A6185"/>
    <w:rsid w:val="005A6220"/>
    <w:rsid w:val="005A6A63"/>
    <w:rsid w:val="005A716D"/>
    <w:rsid w:val="005A717E"/>
    <w:rsid w:val="005A72B5"/>
    <w:rsid w:val="005A76B3"/>
    <w:rsid w:val="005A7B32"/>
    <w:rsid w:val="005A7FD2"/>
    <w:rsid w:val="005B0079"/>
    <w:rsid w:val="005B014F"/>
    <w:rsid w:val="005B054D"/>
    <w:rsid w:val="005B098F"/>
    <w:rsid w:val="005B122F"/>
    <w:rsid w:val="005B1586"/>
    <w:rsid w:val="005B1738"/>
    <w:rsid w:val="005B1806"/>
    <w:rsid w:val="005B1B8E"/>
    <w:rsid w:val="005B22C5"/>
    <w:rsid w:val="005B2872"/>
    <w:rsid w:val="005B29DE"/>
    <w:rsid w:val="005B2CD2"/>
    <w:rsid w:val="005B2F72"/>
    <w:rsid w:val="005B31C7"/>
    <w:rsid w:val="005B4547"/>
    <w:rsid w:val="005B454C"/>
    <w:rsid w:val="005B46A6"/>
    <w:rsid w:val="005B47EA"/>
    <w:rsid w:val="005B49C5"/>
    <w:rsid w:val="005B4AC7"/>
    <w:rsid w:val="005B5435"/>
    <w:rsid w:val="005B5465"/>
    <w:rsid w:val="005B546B"/>
    <w:rsid w:val="005B5745"/>
    <w:rsid w:val="005B5773"/>
    <w:rsid w:val="005B5C05"/>
    <w:rsid w:val="005B5DFF"/>
    <w:rsid w:val="005B5E2A"/>
    <w:rsid w:val="005B618B"/>
    <w:rsid w:val="005B6300"/>
    <w:rsid w:val="005B6688"/>
    <w:rsid w:val="005B6EB2"/>
    <w:rsid w:val="005B708C"/>
    <w:rsid w:val="005B70C5"/>
    <w:rsid w:val="005C0144"/>
    <w:rsid w:val="005C02A4"/>
    <w:rsid w:val="005C0B01"/>
    <w:rsid w:val="005C0C47"/>
    <w:rsid w:val="005C0C52"/>
    <w:rsid w:val="005C0E9B"/>
    <w:rsid w:val="005C1192"/>
    <w:rsid w:val="005C1902"/>
    <w:rsid w:val="005C1CC8"/>
    <w:rsid w:val="005C1E9E"/>
    <w:rsid w:val="005C1F40"/>
    <w:rsid w:val="005C1F85"/>
    <w:rsid w:val="005C1FC5"/>
    <w:rsid w:val="005C20D2"/>
    <w:rsid w:val="005C2337"/>
    <w:rsid w:val="005C2464"/>
    <w:rsid w:val="005C2E4C"/>
    <w:rsid w:val="005C32FE"/>
    <w:rsid w:val="005C3341"/>
    <w:rsid w:val="005C3709"/>
    <w:rsid w:val="005C3FEE"/>
    <w:rsid w:val="005C49F7"/>
    <w:rsid w:val="005C4AD1"/>
    <w:rsid w:val="005C4EB0"/>
    <w:rsid w:val="005C503A"/>
    <w:rsid w:val="005C5085"/>
    <w:rsid w:val="005C530F"/>
    <w:rsid w:val="005C5E4F"/>
    <w:rsid w:val="005C6180"/>
    <w:rsid w:val="005C673C"/>
    <w:rsid w:val="005C68E5"/>
    <w:rsid w:val="005C6CAB"/>
    <w:rsid w:val="005C6D38"/>
    <w:rsid w:val="005C6E69"/>
    <w:rsid w:val="005C6EEC"/>
    <w:rsid w:val="005C701F"/>
    <w:rsid w:val="005C70C3"/>
    <w:rsid w:val="005C73E4"/>
    <w:rsid w:val="005C76AE"/>
    <w:rsid w:val="005C79F3"/>
    <w:rsid w:val="005D0025"/>
    <w:rsid w:val="005D024A"/>
    <w:rsid w:val="005D0BC7"/>
    <w:rsid w:val="005D0DB2"/>
    <w:rsid w:val="005D11D1"/>
    <w:rsid w:val="005D15B6"/>
    <w:rsid w:val="005D181B"/>
    <w:rsid w:val="005D1A18"/>
    <w:rsid w:val="005D1D51"/>
    <w:rsid w:val="005D25A6"/>
    <w:rsid w:val="005D26A2"/>
    <w:rsid w:val="005D2BE7"/>
    <w:rsid w:val="005D3C1A"/>
    <w:rsid w:val="005D3C1F"/>
    <w:rsid w:val="005D3DE4"/>
    <w:rsid w:val="005D4049"/>
    <w:rsid w:val="005D426A"/>
    <w:rsid w:val="005D49E9"/>
    <w:rsid w:val="005D4FD4"/>
    <w:rsid w:val="005D5566"/>
    <w:rsid w:val="005D5794"/>
    <w:rsid w:val="005D5BC4"/>
    <w:rsid w:val="005D5C8B"/>
    <w:rsid w:val="005D5D61"/>
    <w:rsid w:val="005D6352"/>
    <w:rsid w:val="005D69DB"/>
    <w:rsid w:val="005D6D64"/>
    <w:rsid w:val="005D713A"/>
    <w:rsid w:val="005D71EC"/>
    <w:rsid w:val="005D731B"/>
    <w:rsid w:val="005D77BA"/>
    <w:rsid w:val="005E0D1A"/>
    <w:rsid w:val="005E0D31"/>
    <w:rsid w:val="005E0EC0"/>
    <w:rsid w:val="005E1396"/>
    <w:rsid w:val="005E1DF9"/>
    <w:rsid w:val="005E2195"/>
    <w:rsid w:val="005E2E82"/>
    <w:rsid w:val="005E3060"/>
    <w:rsid w:val="005E3389"/>
    <w:rsid w:val="005E360C"/>
    <w:rsid w:val="005E3E6B"/>
    <w:rsid w:val="005E475B"/>
    <w:rsid w:val="005E4DBE"/>
    <w:rsid w:val="005E52C8"/>
    <w:rsid w:val="005E59C7"/>
    <w:rsid w:val="005E66E6"/>
    <w:rsid w:val="005E69DC"/>
    <w:rsid w:val="005E6AFF"/>
    <w:rsid w:val="005E6B21"/>
    <w:rsid w:val="005E6B8A"/>
    <w:rsid w:val="005E756B"/>
    <w:rsid w:val="005E78AE"/>
    <w:rsid w:val="005E7AC9"/>
    <w:rsid w:val="005F05A4"/>
    <w:rsid w:val="005F07CE"/>
    <w:rsid w:val="005F0E7C"/>
    <w:rsid w:val="005F0F5D"/>
    <w:rsid w:val="005F16DE"/>
    <w:rsid w:val="005F1C6B"/>
    <w:rsid w:val="005F1F7E"/>
    <w:rsid w:val="005F24DA"/>
    <w:rsid w:val="005F2678"/>
    <w:rsid w:val="005F2AA9"/>
    <w:rsid w:val="005F2CC3"/>
    <w:rsid w:val="005F2F0D"/>
    <w:rsid w:val="005F3513"/>
    <w:rsid w:val="005F3608"/>
    <w:rsid w:val="005F376E"/>
    <w:rsid w:val="005F39EB"/>
    <w:rsid w:val="005F3ADC"/>
    <w:rsid w:val="005F3BBF"/>
    <w:rsid w:val="005F3E7D"/>
    <w:rsid w:val="005F4358"/>
    <w:rsid w:val="005F46D8"/>
    <w:rsid w:val="005F4A47"/>
    <w:rsid w:val="005F53FF"/>
    <w:rsid w:val="005F5508"/>
    <w:rsid w:val="005F5859"/>
    <w:rsid w:val="005F59DD"/>
    <w:rsid w:val="005F640B"/>
    <w:rsid w:val="005F66F9"/>
    <w:rsid w:val="005F6B39"/>
    <w:rsid w:val="005F72E9"/>
    <w:rsid w:val="005F78E2"/>
    <w:rsid w:val="005F7E70"/>
    <w:rsid w:val="006001B3"/>
    <w:rsid w:val="00600E06"/>
    <w:rsid w:val="00600F92"/>
    <w:rsid w:val="0060118D"/>
    <w:rsid w:val="00601377"/>
    <w:rsid w:val="00601650"/>
    <w:rsid w:val="00601923"/>
    <w:rsid w:val="006024A0"/>
    <w:rsid w:val="006024C3"/>
    <w:rsid w:val="00602891"/>
    <w:rsid w:val="00602D9C"/>
    <w:rsid w:val="00602E0A"/>
    <w:rsid w:val="006036A7"/>
    <w:rsid w:val="006037C8"/>
    <w:rsid w:val="006037DE"/>
    <w:rsid w:val="00603802"/>
    <w:rsid w:val="00603812"/>
    <w:rsid w:val="00603892"/>
    <w:rsid w:val="006038D5"/>
    <w:rsid w:val="00603B45"/>
    <w:rsid w:val="00604491"/>
    <w:rsid w:val="006044AD"/>
    <w:rsid w:val="00604CFB"/>
    <w:rsid w:val="00604EEF"/>
    <w:rsid w:val="0060513B"/>
    <w:rsid w:val="006053B4"/>
    <w:rsid w:val="00605634"/>
    <w:rsid w:val="0060580D"/>
    <w:rsid w:val="0060584F"/>
    <w:rsid w:val="00605AFD"/>
    <w:rsid w:val="006060F0"/>
    <w:rsid w:val="006060F9"/>
    <w:rsid w:val="0060745B"/>
    <w:rsid w:val="00607723"/>
    <w:rsid w:val="006078A3"/>
    <w:rsid w:val="00607C16"/>
    <w:rsid w:val="00607D9B"/>
    <w:rsid w:val="00607F6D"/>
    <w:rsid w:val="0061005D"/>
    <w:rsid w:val="00610608"/>
    <w:rsid w:val="006115CB"/>
    <w:rsid w:val="0061173A"/>
    <w:rsid w:val="00611E53"/>
    <w:rsid w:val="00612232"/>
    <w:rsid w:val="006123D4"/>
    <w:rsid w:val="00612829"/>
    <w:rsid w:val="00612BEB"/>
    <w:rsid w:val="00613253"/>
    <w:rsid w:val="0061361B"/>
    <w:rsid w:val="006139A6"/>
    <w:rsid w:val="00613C63"/>
    <w:rsid w:val="00613D9E"/>
    <w:rsid w:val="00614107"/>
    <w:rsid w:val="0061445B"/>
    <w:rsid w:val="0061454D"/>
    <w:rsid w:val="0061479A"/>
    <w:rsid w:val="00615338"/>
    <w:rsid w:val="0061575C"/>
    <w:rsid w:val="00615805"/>
    <w:rsid w:val="006158CD"/>
    <w:rsid w:val="0061598B"/>
    <w:rsid w:val="006160FE"/>
    <w:rsid w:val="00616982"/>
    <w:rsid w:val="00616A64"/>
    <w:rsid w:val="00616BD0"/>
    <w:rsid w:val="00616F4D"/>
    <w:rsid w:val="006172EE"/>
    <w:rsid w:val="0061754E"/>
    <w:rsid w:val="006178A1"/>
    <w:rsid w:val="00617C5D"/>
    <w:rsid w:val="00617FC9"/>
    <w:rsid w:val="0062015A"/>
    <w:rsid w:val="006204E3"/>
    <w:rsid w:val="006207A5"/>
    <w:rsid w:val="00621643"/>
    <w:rsid w:val="00621A4F"/>
    <w:rsid w:val="00621CF9"/>
    <w:rsid w:val="00621D07"/>
    <w:rsid w:val="006221A4"/>
    <w:rsid w:val="006228AF"/>
    <w:rsid w:val="00622C6E"/>
    <w:rsid w:val="0062329D"/>
    <w:rsid w:val="00623310"/>
    <w:rsid w:val="0062405C"/>
    <w:rsid w:val="006247F4"/>
    <w:rsid w:val="00624C4B"/>
    <w:rsid w:val="00625130"/>
    <w:rsid w:val="00625878"/>
    <w:rsid w:val="00625D6C"/>
    <w:rsid w:val="006262DD"/>
    <w:rsid w:val="006263B0"/>
    <w:rsid w:val="00626B33"/>
    <w:rsid w:val="00626FDB"/>
    <w:rsid w:val="006270A5"/>
    <w:rsid w:val="006273B7"/>
    <w:rsid w:val="00627856"/>
    <w:rsid w:val="00627FD5"/>
    <w:rsid w:val="0063000B"/>
    <w:rsid w:val="00630347"/>
    <w:rsid w:val="0063091A"/>
    <w:rsid w:val="00630E0C"/>
    <w:rsid w:val="00631046"/>
    <w:rsid w:val="0063120B"/>
    <w:rsid w:val="00631494"/>
    <w:rsid w:val="00631B38"/>
    <w:rsid w:val="00632222"/>
    <w:rsid w:val="006323EB"/>
    <w:rsid w:val="006326FC"/>
    <w:rsid w:val="00632D1B"/>
    <w:rsid w:val="00632DCE"/>
    <w:rsid w:val="00632E1C"/>
    <w:rsid w:val="00633694"/>
    <w:rsid w:val="00633B27"/>
    <w:rsid w:val="00633F97"/>
    <w:rsid w:val="0063462C"/>
    <w:rsid w:val="00634B94"/>
    <w:rsid w:val="00634BB1"/>
    <w:rsid w:val="00634F14"/>
    <w:rsid w:val="006350F8"/>
    <w:rsid w:val="00635240"/>
    <w:rsid w:val="00635739"/>
    <w:rsid w:val="0063594E"/>
    <w:rsid w:val="00635E33"/>
    <w:rsid w:val="00635F59"/>
    <w:rsid w:val="006360BD"/>
    <w:rsid w:val="0063618A"/>
    <w:rsid w:val="00636287"/>
    <w:rsid w:val="006362B7"/>
    <w:rsid w:val="00637957"/>
    <w:rsid w:val="00637D48"/>
    <w:rsid w:val="00637F4F"/>
    <w:rsid w:val="00637F7B"/>
    <w:rsid w:val="006400A6"/>
    <w:rsid w:val="0064025A"/>
    <w:rsid w:val="0064065C"/>
    <w:rsid w:val="006410C5"/>
    <w:rsid w:val="006412AB"/>
    <w:rsid w:val="00641746"/>
    <w:rsid w:val="00641B0F"/>
    <w:rsid w:val="00641DE0"/>
    <w:rsid w:val="006424BA"/>
    <w:rsid w:val="006426A1"/>
    <w:rsid w:val="00642B28"/>
    <w:rsid w:val="0064319E"/>
    <w:rsid w:val="00643E81"/>
    <w:rsid w:val="00644439"/>
    <w:rsid w:val="0064466C"/>
    <w:rsid w:val="00644708"/>
    <w:rsid w:val="00644AB9"/>
    <w:rsid w:val="00645A67"/>
    <w:rsid w:val="00645BFA"/>
    <w:rsid w:val="006462D5"/>
    <w:rsid w:val="0064647E"/>
    <w:rsid w:val="0064667A"/>
    <w:rsid w:val="00647726"/>
    <w:rsid w:val="00647FC3"/>
    <w:rsid w:val="00650793"/>
    <w:rsid w:val="006507A5"/>
    <w:rsid w:val="00650B80"/>
    <w:rsid w:val="00650D79"/>
    <w:rsid w:val="00651399"/>
    <w:rsid w:val="006515C0"/>
    <w:rsid w:val="00651A0E"/>
    <w:rsid w:val="00651F7A"/>
    <w:rsid w:val="006523E6"/>
    <w:rsid w:val="0065247E"/>
    <w:rsid w:val="0065295B"/>
    <w:rsid w:val="006534F7"/>
    <w:rsid w:val="00653567"/>
    <w:rsid w:val="0065370F"/>
    <w:rsid w:val="00653937"/>
    <w:rsid w:val="0065417E"/>
    <w:rsid w:val="006546DC"/>
    <w:rsid w:val="006547AB"/>
    <w:rsid w:val="00654B80"/>
    <w:rsid w:val="00654CA8"/>
    <w:rsid w:val="00655274"/>
    <w:rsid w:val="00655307"/>
    <w:rsid w:val="00655424"/>
    <w:rsid w:val="00655AF7"/>
    <w:rsid w:val="00655F6D"/>
    <w:rsid w:val="00656158"/>
    <w:rsid w:val="00656170"/>
    <w:rsid w:val="00656452"/>
    <w:rsid w:val="006564D3"/>
    <w:rsid w:val="006567F4"/>
    <w:rsid w:val="00657910"/>
    <w:rsid w:val="006579C5"/>
    <w:rsid w:val="00657C36"/>
    <w:rsid w:val="006600E7"/>
    <w:rsid w:val="006608D7"/>
    <w:rsid w:val="00660BE8"/>
    <w:rsid w:val="00660F6E"/>
    <w:rsid w:val="006615B4"/>
    <w:rsid w:val="006619FE"/>
    <w:rsid w:val="00661C91"/>
    <w:rsid w:val="00661E1F"/>
    <w:rsid w:val="00662BD7"/>
    <w:rsid w:val="00663266"/>
    <w:rsid w:val="00664318"/>
    <w:rsid w:val="006644D7"/>
    <w:rsid w:val="00664531"/>
    <w:rsid w:val="00664537"/>
    <w:rsid w:val="00664A37"/>
    <w:rsid w:val="006651C0"/>
    <w:rsid w:val="006656A3"/>
    <w:rsid w:val="006662E5"/>
    <w:rsid w:val="00666D5B"/>
    <w:rsid w:val="00666DD9"/>
    <w:rsid w:val="006676EB"/>
    <w:rsid w:val="00667A97"/>
    <w:rsid w:val="00667D92"/>
    <w:rsid w:val="00667E09"/>
    <w:rsid w:val="00670712"/>
    <w:rsid w:val="00670F8A"/>
    <w:rsid w:val="006713A7"/>
    <w:rsid w:val="00671F58"/>
    <w:rsid w:val="00672AFF"/>
    <w:rsid w:val="00672BD0"/>
    <w:rsid w:val="00672F4E"/>
    <w:rsid w:val="0067372F"/>
    <w:rsid w:val="006749CA"/>
    <w:rsid w:val="00674F8A"/>
    <w:rsid w:val="006752C7"/>
    <w:rsid w:val="0067538F"/>
    <w:rsid w:val="006759D1"/>
    <w:rsid w:val="00675F39"/>
    <w:rsid w:val="0067622C"/>
    <w:rsid w:val="00676623"/>
    <w:rsid w:val="00676ACF"/>
    <w:rsid w:val="00676C87"/>
    <w:rsid w:val="00677C4B"/>
    <w:rsid w:val="00680760"/>
    <w:rsid w:val="00680ADB"/>
    <w:rsid w:val="00680D00"/>
    <w:rsid w:val="00680E7B"/>
    <w:rsid w:val="00680EA1"/>
    <w:rsid w:val="0068151C"/>
    <w:rsid w:val="00681543"/>
    <w:rsid w:val="0068165B"/>
    <w:rsid w:val="00681D1B"/>
    <w:rsid w:val="006822B9"/>
    <w:rsid w:val="00682972"/>
    <w:rsid w:val="00682B53"/>
    <w:rsid w:val="00682C9D"/>
    <w:rsid w:val="0068352C"/>
    <w:rsid w:val="0068385E"/>
    <w:rsid w:val="00683DA9"/>
    <w:rsid w:val="00683EEA"/>
    <w:rsid w:val="00684280"/>
    <w:rsid w:val="0068445C"/>
    <w:rsid w:val="00684D20"/>
    <w:rsid w:val="006850FE"/>
    <w:rsid w:val="00685226"/>
    <w:rsid w:val="00685972"/>
    <w:rsid w:val="00685A5B"/>
    <w:rsid w:val="00685CF7"/>
    <w:rsid w:val="00686131"/>
    <w:rsid w:val="00686165"/>
    <w:rsid w:val="00686720"/>
    <w:rsid w:val="00686CBE"/>
    <w:rsid w:val="006870C6"/>
    <w:rsid w:val="0068730E"/>
    <w:rsid w:val="0069005C"/>
    <w:rsid w:val="00690127"/>
    <w:rsid w:val="00690A14"/>
    <w:rsid w:val="00690D6B"/>
    <w:rsid w:val="00691A9B"/>
    <w:rsid w:val="00691CB5"/>
    <w:rsid w:val="006923DF"/>
    <w:rsid w:val="0069242D"/>
    <w:rsid w:val="00692AD9"/>
    <w:rsid w:val="006930AE"/>
    <w:rsid w:val="0069319F"/>
    <w:rsid w:val="00693266"/>
    <w:rsid w:val="006941E1"/>
    <w:rsid w:val="00694470"/>
    <w:rsid w:val="0069589F"/>
    <w:rsid w:val="006966F5"/>
    <w:rsid w:val="006969ED"/>
    <w:rsid w:val="00696D3F"/>
    <w:rsid w:val="00697063"/>
    <w:rsid w:val="00697ECE"/>
    <w:rsid w:val="00697F9F"/>
    <w:rsid w:val="006A0234"/>
    <w:rsid w:val="006A04F4"/>
    <w:rsid w:val="006A0553"/>
    <w:rsid w:val="006A0677"/>
    <w:rsid w:val="006A0A09"/>
    <w:rsid w:val="006A14EA"/>
    <w:rsid w:val="006A19EA"/>
    <w:rsid w:val="006A1BE1"/>
    <w:rsid w:val="006A23CC"/>
    <w:rsid w:val="006A2B8C"/>
    <w:rsid w:val="006A2CF0"/>
    <w:rsid w:val="006A2F3D"/>
    <w:rsid w:val="006A2FDD"/>
    <w:rsid w:val="006A3510"/>
    <w:rsid w:val="006A352C"/>
    <w:rsid w:val="006A37F5"/>
    <w:rsid w:val="006A38C1"/>
    <w:rsid w:val="006A3B46"/>
    <w:rsid w:val="006A3F03"/>
    <w:rsid w:val="006A3F40"/>
    <w:rsid w:val="006A3FFD"/>
    <w:rsid w:val="006A4349"/>
    <w:rsid w:val="006A455E"/>
    <w:rsid w:val="006A4E5E"/>
    <w:rsid w:val="006A53EE"/>
    <w:rsid w:val="006A543F"/>
    <w:rsid w:val="006A5668"/>
    <w:rsid w:val="006A5A98"/>
    <w:rsid w:val="006A5BD5"/>
    <w:rsid w:val="006A5FA4"/>
    <w:rsid w:val="006A6283"/>
    <w:rsid w:val="006A62A0"/>
    <w:rsid w:val="006A6591"/>
    <w:rsid w:val="006A756E"/>
    <w:rsid w:val="006B0913"/>
    <w:rsid w:val="006B096F"/>
    <w:rsid w:val="006B1202"/>
    <w:rsid w:val="006B134E"/>
    <w:rsid w:val="006B16BA"/>
    <w:rsid w:val="006B1B82"/>
    <w:rsid w:val="006B1B86"/>
    <w:rsid w:val="006B1E43"/>
    <w:rsid w:val="006B208B"/>
    <w:rsid w:val="006B2D6D"/>
    <w:rsid w:val="006B3262"/>
    <w:rsid w:val="006B371A"/>
    <w:rsid w:val="006B38FF"/>
    <w:rsid w:val="006B3DFA"/>
    <w:rsid w:val="006B3E97"/>
    <w:rsid w:val="006B44EE"/>
    <w:rsid w:val="006B451F"/>
    <w:rsid w:val="006B492F"/>
    <w:rsid w:val="006B4950"/>
    <w:rsid w:val="006B4A72"/>
    <w:rsid w:val="006B50C8"/>
    <w:rsid w:val="006B5386"/>
    <w:rsid w:val="006B54E6"/>
    <w:rsid w:val="006B5B45"/>
    <w:rsid w:val="006B5E1F"/>
    <w:rsid w:val="006B6762"/>
    <w:rsid w:val="006B6A43"/>
    <w:rsid w:val="006B6D1E"/>
    <w:rsid w:val="006B6D55"/>
    <w:rsid w:val="006B7A54"/>
    <w:rsid w:val="006C07F4"/>
    <w:rsid w:val="006C0A5F"/>
    <w:rsid w:val="006C1892"/>
    <w:rsid w:val="006C1BB0"/>
    <w:rsid w:val="006C1D8A"/>
    <w:rsid w:val="006C1E6C"/>
    <w:rsid w:val="006C2022"/>
    <w:rsid w:val="006C20EB"/>
    <w:rsid w:val="006C290C"/>
    <w:rsid w:val="006C2B56"/>
    <w:rsid w:val="006C2EE9"/>
    <w:rsid w:val="006C315F"/>
    <w:rsid w:val="006C40AE"/>
    <w:rsid w:val="006C4647"/>
    <w:rsid w:val="006C471E"/>
    <w:rsid w:val="006C4E0C"/>
    <w:rsid w:val="006C5519"/>
    <w:rsid w:val="006C5570"/>
    <w:rsid w:val="006C5626"/>
    <w:rsid w:val="006C5B73"/>
    <w:rsid w:val="006C645D"/>
    <w:rsid w:val="006C6CB9"/>
    <w:rsid w:val="006C70E4"/>
    <w:rsid w:val="006C715B"/>
    <w:rsid w:val="006C75F7"/>
    <w:rsid w:val="006C7631"/>
    <w:rsid w:val="006C7E13"/>
    <w:rsid w:val="006D0278"/>
    <w:rsid w:val="006D02F0"/>
    <w:rsid w:val="006D12DA"/>
    <w:rsid w:val="006D16E5"/>
    <w:rsid w:val="006D1BCE"/>
    <w:rsid w:val="006D1CAF"/>
    <w:rsid w:val="006D20C9"/>
    <w:rsid w:val="006D23F8"/>
    <w:rsid w:val="006D329E"/>
    <w:rsid w:val="006D3739"/>
    <w:rsid w:val="006D3FA7"/>
    <w:rsid w:val="006D44F1"/>
    <w:rsid w:val="006D45D9"/>
    <w:rsid w:val="006D4B18"/>
    <w:rsid w:val="006D4CB0"/>
    <w:rsid w:val="006D4E36"/>
    <w:rsid w:val="006D59DA"/>
    <w:rsid w:val="006D5F79"/>
    <w:rsid w:val="006D6341"/>
    <w:rsid w:val="006D6560"/>
    <w:rsid w:val="006D71D0"/>
    <w:rsid w:val="006D7352"/>
    <w:rsid w:val="006D7A77"/>
    <w:rsid w:val="006D7F86"/>
    <w:rsid w:val="006E0275"/>
    <w:rsid w:val="006E0A68"/>
    <w:rsid w:val="006E0DFD"/>
    <w:rsid w:val="006E0EFD"/>
    <w:rsid w:val="006E1210"/>
    <w:rsid w:val="006E12FB"/>
    <w:rsid w:val="006E130F"/>
    <w:rsid w:val="006E16A4"/>
    <w:rsid w:val="006E213E"/>
    <w:rsid w:val="006E214A"/>
    <w:rsid w:val="006E2386"/>
    <w:rsid w:val="006E2467"/>
    <w:rsid w:val="006E24F7"/>
    <w:rsid w:val="006E295C"/>
    <w:rsid w:val="006E29A8"/>
    <w:rsid w:val="006E2D2A"/>
    <w:rsid w:val="006E2E9B"/>
    <w:rsid w:val="006E36F2"/>
    <w:rsid w:val="006E3CC3"/>
    <w:rsid w:val="006E448C"/>
    <w:rsid w:val="006E44FB"/>
    <w:rsid w:val="006E54B8"/>
    <w:rsid w:val="006E57BD"/>
    <w:rsid w:val="006E5E20"/>
    <w:rsid w:val="006E5E2A"/>
    <w:rsid w:val="006E5E74"/>
    <w:rsid w:val="006E6340"/>
    <w:rsid w:val="006E796D"/>
    <w:rsid w:val="006E7D95"/>
    <w:rsid w:val="006E7FA5"/>
    <w:rsid w:val="006F0366"/>
    <w:rsid w:val="006F0FCE"/>
    <w:rsid w:val="006F1049"/>
    <w:rsid w:val="006F115A"/>
    <w:rsid w:val="006F20FD"/>
    <w:rsid w:val="006F2208"/>
    <w:rsid w:val="006F2C02"/>
    <w:rsid w:val="006F344B"/>
    <w:rsid w:val="006F38A8"/>
    <w:rsid w:val="006F4772"/>
    <w:rsid w:val="006F4F1E"/>
    <w:rsid w:val="006F4F8E"/>
    <w:rsid w:val="006F4FAC"/>
    <w:rsid w:val="006F5228"/>
    <w:rsid w:val="006F5514"/>
    <w:rsid w:val="006F5CC7"/>
    <w:rsid w:val="006F6080"/>
    <w:rsid w:val="006F608F"/>
    <w:rsid w:val="006F7191"/>
    <w:rsid w:val="006F748A"/>
    <w:rsid w:val="006F7796"/>
    <w:rsid w:val="006F793E"/>
    <w:rsid w:val="006F7B1A"/>
    <w:rsid w:val="006F7B29"/>
    <w:rsid w:val="006F7CDD"/>
    <w:rsid w:val="006F7FB9"/>
    <w:rsid w:val="007000A5"/>
    <w:rsid w:val="00700340"/>
    <w:rsid w:val="00700376"/>
    <w:rsid w:val="007003F5"/>
    <w:rsid w:val="007006B7"/>
    <w:rsid w:val="00700CE4"/>
    <w:rsid w:val="00700D59"/>
    <w:rsid w:val="00700F55"/>
    <w:rsid w:val="00700F5D"/>
    <w:rsid w:val="007017BE"/>
    <w:rsid w:val="007019EC"/>
    <w:rsid w:val="00701B77"/>
    <w:rsid w:val="00701B97"/>
    <w:rsid w:val="00701ED9"/>
    <w:rsid w:val="00701FC8"/>
    <w:rsid w:val="0070210C"/>
    <w:rsid w:val="0070289A"/>
    <w:rsid w:val="00702AF0"/>
    <w:rsid w:val="00702C5D"/>
    <w:rsid w:val="00703678"/>
    <w:rsid w:val="00703BAE"/>
    <w:rsid w:val="00704843"/>
    <w:rsid w:val="007053BB"/>
    <w:rsid w:val="00705500"/>
    <w:rsid w:val="00705568"/>
    <w:rsid w:val="00705665"/>
    <w:rsid w:val="00705F33"/>
    <w:rsid w:val="0070605A"/>
    <w:rsid w:val="007062E8"/>
    <w:rsid w:val="00706645"/>
    <w:rsid w:val="00706E8E"/>
    <w:rsid w:val="00707052"/>
    <w:rsid w:val="00707101"/>
    <w:rsid w:val="00707481"/>
    <w:rsid w:val="007076BA"/>
    <w:rsid w:val="007076E4"/>
    <w:rsid w:val="0070786F"/>
    <w:rsid w:val="007100CD"/>
    <w:rsid w:val="0071074C"/>
    <w:rsid w:val="00710818"/>
    <w:rsid w:val="007109E0"/>
    <w:rsid w:val="00710BCD"/>
    <w:rsid w:val="00710BF3"/>
    <w:rsid w:val="00711087"/>
    <w:rsid w:val="00711C75"/>
    <w:rsid w:val="00712403"/>
    <w:rsid w:val="007127E6"/>
    <w:rsid w:val="00712917"/>
    <w:rsid w:val="00712946"/>
    <w:rsid w:val="00712A17"/>
    <w:rsid w:val="00712AB2"/>
    <w:rsid w:val="00712B5E"/>
    <w:rsid w:val="00712D1E"/>
    <w:rsid w:val="00713568"/>
    <w:rsid w:val="00713816"/>
    <w:rsid w:val="00713D9D"/>
    <w:rsid w:val="00713E9D"/>
    <w:rsid w:val="00713F3D"/>
    <w:rsid w:val="007142C2"/>
    <w:rsid w:val="00714395"/>
    <w:rsid w:val="007144EF"/>
    <w:rsid w:val="0071454E"/>
    <w:rsid w:val="00714935"/>
    <w:rsid w:val="00714C9A"/>
    <w:rsid w:val="00714C9D"/>
    <w:rsid w:val="00714D4F"/>
    <w:rsid w:val="007157F6"/>
    <w:rsid w:val="00715C5A"/>
    <w:rsid w:val="00715CD9"/>
    <w:rsid w:val="00715D54"/>
    <w:rsid w:val="00716026"/>
    <w:rsid w:val="0071639B"/>
    <w:rsid w:val="007163F9"/>
    <w:rsid w:val="00716453"/>
    <w:rsid w:val="007166D4"/>
    <w:rsid w:val="0071684F"/>
    <w:rsid w:val="00716F60"/>
    <w:rsid w:val="00716FCF"/>
    <w:rsid w:val="007170AB"/>
    <w:rsid w:val="00717B8C"/>
    <w:rsid w:val="00717C11"/>
    <w:rsid w:val="00717CB2"/>
    <w:rsid w:val="00717E85"/>
    <w:rsid w:val="0072032E"/>
    <w:rsid w:val="00720468"/>
    <w:rsid w:val="00720876"/>
    <w:rsid w:val="00720C55"/>
    <w:rsid w:val="00720C69"/>
    <w:rsid w:val="00720DA4"/>
    <w:rsid w:val="00720F47"/>
    <w:rsid w:val="0072108B"/>
    <w:rsid w:val="00721219"/>
    <w:rsid w:val="007215A3"/>
    <w:rsid w:val="00721858"/>
    <w:rsid w:val="0072189B"/>
    <w:rsid w:val="00721DCD"/>
    <w:rsid w:val="00722B53"/>
    <w:rsid w:val="00722E6E"/>
    <w:rsid w:val="00723980"/>
    <w:rsid w:val="00724B43"/>
    <w:rsid w:val="00724BE0"/>
    <w:rsid w:val="007253A7"/>
    <w:rsid w:val="007254FB"/>
    <w:rsid w:val="00725B27"/>
    <w:rsid w:val="00725F91"/>
    <w:rsid w:val="00726028"/>
    <w:rsid w:val="00727653"/>
    <w:rsid w:val="00727941"/>
    <w:rsid w:val="00731075"/>
    <w:rsid w:val="00731133"/>
    <w:rsid w:val="00731345"/>
    <w:rsid w:val="00731467"/>
    <w:rsid w:val="0073147E"/>
    <w:rsid w:val="0073148F"/>
    <w:rsid w:val="00731875"/>
    <w:rsid w:val="007318CE"/>
    <w:rsid w:val="007318E0"/>
    <w:rsid w:val="00731958"/>
    <w:rsid w:val="00731D14"/>
    <w:rsid w:val="00731E41"/>
    <w:rsid w:val="00731FDA"/>
    <w:rsid w:val="00732251"/>
    <w:rsid w:val="0073254A"/>
    <w:rsid w:val="0073267E"/>
    <w:rsid w:val="00732758"/>
    <w:rsid w:val="007329CA"/>
    <w:rsid w:val="007330B7"/>
    <w:rsid w:val="007331C0"/>
    <w:rsid w:val="00733460"/>
    <w:rsid w:val="00733A28"/>
    <w:rsid w:val="007342B8"/>
    <w:rsid w:val="007344C4"/>
    <w:rsid w:val="00734E2C"/>
    <w:rsid w:val="00734F40"/>
    <w:rsid w:val="00735054"/>
    <w:rsid w:val="00735481"/>
    <w:rsid w:val="0073585B"/>
    <w:rsid w:val="00735B05"/>
    <w:rsid w:val="00735EAF"/>
    <w:rsid w:val="007360D0"/>
    <w:rsid w:val="007362D9"/>
    <w:rsid w:val="00736683"/>
    <w:rsid w:val="00736696"/>
    <w:rsid w:val="007371BC"/>
    <w:rsid w:val="007375E4"/>
    <w:rsid w:val="0073767B"/>
    <w:rsid w:val="00737CEE"/>
    <w:rsid w:val="0074082F"/>
    <w:rsid w:val="00740855"/>
    <w:rsid w:val="00740C6B"/>
    <w:rsid w:val="00741D24"/>
    <w:rsid w:val="0074212C"/>
    <w:rsid w:val="007426B7"/>
    <w:rsid w:val="00743C4E"/>
    <w:rsid w:val="00743CF8"/>
    <w:rsid w:val="0074405D"/>
    <w:rsid w:val="007440F5"/>
    <w:rsid w:val="007445C3"/>
    <w:rsid w:val="0074484D"/>
    <w:rsid w:val="00744E43"/>
    <w:rsid w:val="007454DC"/>
    <w:rsid w:val="00745A55"/>
    <w:rsid w:val="00745B12"/>
    <w:rsid w:val="00745D31"/>
    <w:rsid w:val="00746617"/>
    <w:rsid w:val="007466A5"/>
    <w:rsid w:val="00746972"/>
    <w:rsid w:val="00746B82"/>
    <w:rsid w:val="00746EE2"/>
    <w:rsid w:val="00747286"/>
    <w:rsid w:val="0075003A"/>
    <w:rsid w:val="00750220"/>
    <w:rsid w:val="0075088E"/>
    <w:rsid w:val="007509DD"/>
    <w:rsid w:val="00750E37"/>
    <w:rsid w:val="00751455"/>
    <w:rsid w:val="007515A4"/>
    <w:rsid w:val="00751783"/>
    <w:rsid w:val="0075213E"/>
    <w:rsid w:val="00752691"/>
    <w:rsid w:val="00752C37"/>
    <w:rsid w:val="00752DC0"/>
    <w:rsid w:val="00752EE7"/>
    <w:rsid w:val="00753588"/>
    <w:rsid w:val="0075372D"/>
    <w:rsid w:val="00753D7E"/>
    <w:rsid w:val="00753E1E"/>
    <w:rsid w:val="007542B6"/>
    <w:rsid w:val="00754753"/>
    <w:rsid w:val="0075477B"/>
    <w:rsid w:val="00754D48"/>
    <w:rsid w:val="007552E6"/>
    <w:rsid w:val="00755468"/>
    <w:rsid w:val="0075549B"/>
    <w:rsid w:val="00755A05"/>
    <w:rsid w:val="00755BA3"/>
    <w:rsid w:val="00756BB3"/>
    <w:rsid w:val="007570AD"/>
    <w:rsid w:val="00757109"/>
    <w:rsid w:val="00757329"/>
    <w:rsid w:val="0075753C"/>
    <w:rsid w:val="00757766"/>
    <w:rsid w:val="00757829"/>
    <w:rsid w:val="00757BE7"/>
    <w:rsid w:val="00757F53"/>
    <w:rsid w:val="00760270"/>
    <w:rsid w:val="00760799"/>
    <w:rsid w:val="00760825"/>
    <w:rsid w:val="00760E24"/>
    <w:rsid w:val="007611AD"/>
    <w:rsid w:val="00761685"/>
    <w:rsid w:val="00761751"/>
    <w:rsid w:val="00761804"/>
    <w:rsid w:val="00761DA8"/>
    <w:rsid w:val="00761ECC"/>
    <w:rsid w:val="00762307"/>
    <w:rsid w:val="00762AAF"/>
    <w:rsid w:val="00762C16"/>
    <w:rsid w:val="00762F7D"/>
    <w:rsid w:val="00762FBC"/>
    <w:rsid w:val="00763258"/>
    <w:rsid w:val="00763474"/>
    <w:rsid w:val="00763671"/>
    <w:rsid w:val="00763A97"/>
    <w:rsid w:val="00763F2D"/>
    <w:rsid w:val="00764129"/>
    <w:rsid w:val="007641A4"/>
    <w:rsid w:val="0076469B"/>
    <w:rsid w:val="0076483F"/>
    <w:rsid w:val="00764CBD"/>
    <w:rsid w:val="00765160"/>
    <w:rsid w:val="0076522D"/>
    <w:rsid w:val="00765E38"/>
    <w:rsid w:val="00766796"/>
    <w:rsid w:val="007671D4"/>
    <w:rsid w:val="007676C5"/>
    <w:rsid w:val="0076775D"/>
    <w:rsid w:val="00767B8A"/>
    <w:rsid w:val="00770186"/>
    <w:rsid w:val="00770A89"/>
    <w:rsid w:val="00770AF5"/>
    <w:rsid w:val="007713C0"/>
    <w:rsid w:val="007716DB"/>
    <w:rsid w:val="00771D85"/>
    <w:rsid w:val="00772FF2"/>
    <w:rsid w:val="007742D7"/>
    <w:rsid w:val="007748D0"/>
    <w:rsid w:val="00774E84"/>
    <w:rsid w:val="00774EBF"/>
    <w:rsid w:val="00775E97"/>
    <w:rsid w:val="00776793"/>
    <w:rsid w:val="00776950"/>
    <w:rsid w:val="00776C16"/>
    <w:rsid w:val="00776F81"/>
    <w:rsid w:val="00777799"/>
    <w:rsid w:val="00777872"/>
    <w:rsid w:val="0077793F"/>
    <w:rsid w:val="00777B3D"/>
    <w:rsid w:val="00777DF6"/>
    <w:rsid w:val="00777F32"/>
    <w:rsid w:val="0078005E"/>
    <w:rsid w:val="00780210"/>
    <w:rsid w:val="00780658"/>
    <w:rsid w:val="007807C7"/>
    <w:rsid w:val="0078082E"/>
    <w:rsid w:val="00782565"/>
    <w:rsid w:val="00782906"/>
    <w:rsid w:val="00782A1D"/>
    <w:rsid w:val="00782A33"/>
    <w:rsid w:val="00782D05"/>
    <w:rsid w:val="007836A2"/>
    <w:rsid w:val="00783955"/>
    <w:rsid w:val="00783A84"/>
    <w:rsid w:val="00783EA6"/>
    <w:rsid w:val="0078451B"/>
    <w:rsid w:val="00784819"/>
    <w:rsid w:val="00784C0A"/>
    <w:rsid w:val="007855ED"/>
    <w:rsid w:val="00785688"/>
    <w:rsid w:val="00785CBD"/>
    <w:rsid w:val="0078645B"/>
    <w:rsid w:val="00786F0C"/>
    <w:rsid w:val="007874D3"/>
    <w:rsid w:val="0078777E"/>
    <w:rsid w:val="00787A1F"/>
    <w:rsid w:val="00790541"/>
    <w:rsid w:val="00791346"/>
    <w:rsid w:val="00791520"/>
    <w:rsid w:val="00791CB6"/>
    <w:rsid w:val="00792188"/>
    <w:rsid w:val="00792355"/>
    <w:rsid w:val="007929BA"/>
    <w:rsid w:val="00792A63"/>
    <w:rsid w:val="00792E79"/>
    <w:rsid w:val="00793CFA"/>
    <w:rsid w:val="00794188"/>
    <w:rsid w:val="007948EB"/>
    <w:rsid w:val="007949B6"/>
    <w:rsid w:val="00794B40"/>
    <w:rsid w:val="00794D2A"/>
    <w:rsid w:val="00794F29"/>
    <w:rsid w:val="00795396"/>
    <w:rsid w:val="00795482"/>
    <w:rsid w:val="00795B0E"/>
    <w:rsid w:val="007960C8"/>
    <w:rsid w:val="007970E4"/>
    <w:rsid w:val="007A01D3"/>
    <w:rsid w:val="007A0232"/>
    <w:rsid w:val="007A1079"/>
    <w:rsid w:val="007A198F"/>
    <w:rsid w:val="007A1CFE"/>
    <w:rsid w:val="007A2714"/>
    <w:rsid w:val="007A2DA4"/>
    <w:rsid w:val="007A3AC6"/>
    <w:rsid w:val="007A3D48"/>
    <w:rsid w:val="007A424B"/>
    <w:rsid w:val="007A4376"/>
    <w:rsid w:val="007A58ED"/>
    <w:rsid w:val="007A5AD4"/>
    <w:rsid w:val="007A5CFF"/>
    <w:rsid w:val="007A641F"/>
    <w:rsid w:val="007A6BA0"/>
    <w:rsid w:val="007A6D71"/>
    <w:rsid w:val="007A6E58"/>
    <w:rsid w:val="007A6F24"/>
    <w:rsid w:val="007A732C"/>
    <w:rsid w:val="007A739D"/>
    <w:rsid w:val="007A73DE"/>
    <w:rsid w:val="007A76C1"/>
    <w:rsid w:val="007A78AB"/>
    <w:rsid w:val="007A7A7C"/>
    <w:rsid w:val="007B0213"/>
    <w:rsid w:val="007B02FF"/>
    <w:rsid w:val="007B0375"/>
    <w:rsid w:val="007B03B6"/>
    <w:rsid w:val="007B08C6"/>
    <w:rsid w:val="007B08E5"/>
    <w:rsid w:val="007B0CD5"/>
    <w:rsid w:val="007B1AA6"/>
    <w:rsid w:val="007B2677"/>
    <w:rsid w:val="007B2B23"/>
    <w:rsid w:val="007B33ED"/>
    <w:rsid w:val="007B34EF"/>
    <w:rsid w:val="007B3945"/>
    <w:rsid w:val="007B3DE8"/>
    <w:rsid w:val="007B3FAF"/>
    <w:rsid w:val="007B3FB9"/>
    <w:rsid w:val="007B4D76"/>
    <w:rsid w:val="007B54C9"/>
    <w:rsid w:val="007B5AD5"/>
    <w:rsid w:val="007B5D0F"/>
    <w:rsid w:val="007B6003"/>
    <w:rsid w:val="007B6263"/>
    <w:rsid w:val="007B64D1"/>
    <w:rsid w:val="007B6880"/>
    <w:rsid w:val="007B6F90"/>
    <w:rsid w:val="007B6FBB"/>
    <w:rsid w:val="007B76AB"/>
    <w:rsid w:val="007B7F8D"/>
    <w:rsid w:val="007C060E"/>
    <w:rsid w:val="007C063D"/>
    <w:rsid w:val="007C0AD0"/>
    <w:rsid w:val="007C1063"/>
    <w:rsid w:val="007C109E"/>
    <w:rsid w:val="007C12F9"/>
    <w:rsid w:val="007C1379"/>
    <w:rsid w:val="007C176B"/>
    <w:rsid w:val="007C1CBB"/>
    <w:rsid w:val="007C277A"/>
    <w:rsid w:val="007C2880"/>
    <w:rsid w:val="007C3C1B"/>
    <w:rsid w:val="007C4E75"/>
    <w:rsid w:val="007C4EC8"/>
    <w:rsid w:val="007C5D21"/>
    <w:rsid w:val="007C63E1"/>
    <w:rsid w:val="007C6548"/>
    <w:rsid w:val="007C65C2"/>
    <w:rsid w:val="007C6AF3"/>
    <w:rsid w:val="007C77F3"/>
    <w:rsid w:val="007C78A4"/>
    <w:rsid w:val="007C7A9C"/>
    <w:rsid w:val="007D03C6"/>
    <w:rsid w:val="007D052E"/>
    <w:rsid w:val="007D059F"/>
    <w:rsid w:val="007D0790"/>
    <w:rsid w:val="007D0B08"/>
    <w:rsid w:val="007D145B"/>
    <w:rsid w:val="007D1591"/>
    <w:rsid w:val="007D1608"/>
    <w:rsid w:val="007D171D"/>
    <w:rsid w:val="007D1878"/>
    <w:rsid w:val="007D2776"/>
    <w:rsid w:val="007D33C3"/>
    <w:rsid w:val="007D344F"/>
    <w:rsid w:val="007D3E79"/>
    <w:rsid w:val="007D4142"/>
    <w:rsid w:val="007D41AE"/>
    <w:rsid w:val="007D447F"/>
    <w:rsid w:val="007D44D5"/>
    <w:rsid w:val="007D4D6E"/>
    <w:rsid w:val="007D4DF1"/>
    <w:rsid w:val="007D51A1"/>
    <w:rsid w:val="007D52FE"/>
    <w:rsid w:val="007D5405"/>
    <w:rsid w:val="007D54BB"/>
    <w:rsid w:val="007D592B"/>
    <w:rsid w:val="007D5AA6"/>
    <w:rsid w:val="007D5EFD"/>
    <w:rsid w:val="007D656F"/>
    <w:rsid w:val="007D65A8"/>
    <w:rsid w:val="007D65C0"/>
    <w:rsid w:val="007D6DDE"/>
    <w:rsid w:val="007D6DEE"/>
    <w:rsid w:val="007D7A91"/>
    <w:rsid w:val="007E0036"/>
    <w:rsid w:val="007E0D8B"/>
    <w:rsid w:val="007E17B7"/>
    <w:rsid w:val="007E18CF"/>
    <w:rsid w:val="007E19DE"/>
    <w:rsid w:val="007E2158"/>
    <w:rsid w:val="007E2428"/>
    <w:rsid w:val="007E2913"/>
    <w:rsid w:val="007E2A0B"/>
    <w:rsid w:val="007E301C"/>
    <w:rsid w:val="007E356F"/>
    <w:rsid w:val="007E37AB"/>
    <w:rsid w:val="007E417D"/>
    <w:rsid w:val="007E46D8"/>
    <w:rsid w:val="007E54A7"/>
    <w:rsid w:val="007E57B8"/>
    <w:rsid w:val="007E60F2"/>
    <w:rsid w:val="007E621D"/>
    <w:rsid w:val="007E6456"/>
    <w:rsid w:val="007E6A2A"/>
    <w:rsid w:val="007E6AEC"/>
    <w:rsid w:val="007E7522"/>
    <w:rsid w:val="007E762D"/>
    <w:rsid w:val="007E7901"/>
    <w:rsid w:val="007E792B"/>
    <w:rsid w:val="007F0563"/>
    <w:rsid w:val="007F066F"/>
    <w:rsid w:val="007F079E"/>
    <w:rsid w:val="007F0C52"/>
    <w:rsid w:val="007F0DCA"/>
    <w:rsid w:val="007F10E6"/>
    <w:rsid w:val="007F1197"/>
    <w:rsid w:val="007F1219"/>
    <w:rsid w:val="007F1AE4"/>
    <w:rsid w:val="007F1EFF"/>
    <w:rsid w:val="007F206C"/>
    <w:rsid w:val="007F2B5D"/>
    <w:rsid w:val="007F2EF4"/>
    <w:rsid w:val="007F3471"/>
    <w:rsid w:val="007F3B43"/>
    <w:rsid w:val="007F415D"/>
    <w:rsid w:val="007F42EC"/>
    <w:rsid w:val="007F42F3"/>
    <w:rsid w:val="007F4350"/>
    <w:rsid w:val="007F50AE"/>
    <w:rsid w:val="007F5224"/>
    <w:rsid w:val="007F5BDC"/>
    <w:rsid w:val="007F5BF1"/>
    <w:rsid w:val="007F5CDD"/>
    <w:rsid w:val="007F623A"/>
    <w:rsid w:val="007F6319"/>
    <w:rsid w:val="007F66D4"/>
    <w:rsid w:val="007F6B12"/>
    <w:rsid w:val="007F6DB8"/>
    <w:rsid w:val="007F71F0"/>
    <w:rsid w:val="007F76FA"/>
    <w:rsid w:val="007F7A12"/>
    <w:rsid w:val="007F7CA7"/>
    <w:rsid w:val="007F7EF4"/>
    <w:rsid w:val="00800750"/>
    <w:rsid w:val="00801374"/>
    <w:rsid w:val="0080178C"/>
    <w:rsid w:val="00801C4E"/>
    <w:rsid w:val="00802040"/>
    <w:rsid w:val="00802436"/>
    <w:rsid w:val="008024E2"/>
    <w:rsid w:val="008031AB"/>
    <w:rsid w:val="00803474"/>
    <w:rsid w:val="0080381D"/>
    <w:rsid w:val="00803DD6"/>
    <w:rsid w:val="00803E10"/>
    <w:rsid w:val="00803EB7"/>
    <w:rsid w:val="00803F0D"/>
    <w:rsid w:val="008040AD"/>
    <w:rsid w:val="008051DA"/>
    <w:rsid w:val="0080553B"/>
    <w:rsid w:val="008055E0"/>
    <w:rsid w:val="00805E41"/>
    <w:rsid w:val="008063C1"/>
    <w:rsid w:val="0080680C"/>
    <w:rsid w:val="008069BA"/>
    <w:rsid w:val="00806CE3"/>
    <w:rsid w:val="008076D1"/>
    <w:rsid w:val="00807C05"/>
    <w:rsid w:val="00807F31"/>
    <w:rsid w:val="00807FEF"/>
    <w:rsid w:val="00810E20"/>
    <w:rsid w:val="00810E29"/>
    <w:rsid w:val="00810E91"/>
    <w:rsid w:val="0081174D"/>
    <w:rsid w:val="0081181A"/>
    <w:rsid w:val="00811943"/>
    <w:rsid w:val="0081194E"/>
    <w:rsid w:val="00811B77"/>
    <w:rsid w:val="00812006"/>
    <w:rsid w:val="00812358"/>
    <w:rsid w:val="008126AF"/>
    <w:rsid w:val="0081271E"/>
    <w:rsid w:val="008130E8"/>
    <w:rsid w:val="00813399"/>
    <w:rsid w:val="0081396B"/>
    <w:rsid w:val="00813CFA"/>
    <w:rsid w:val="00813DDD"/>
    <w:rsid w:val="00813E35"/>
    <w:rsid w:val="008143F4"/>
    <w:rsid w:val="00814BBA"/>
    <w:rsid w:val="00814E1E"/>
    <w:rsid w:val="00814E52"/>
    <w:rsid w:val="00814F82"/>
    <w:rsid w:val="00815B18"/>
    <w:rsid w:val="00816128"/>
    <w:rsid w:val="008161EF"/>
    <w:rsid w:val="00816213"/>
    <w:rsid w:val="0081630B"/>
    <w:rsid w:val="00816B7B"/>
    <w:rsid w:val="008201C7"/>
    <w:rsid w:val="008202E5"/>
    <w:rsid w:val="008205B6"/>
    <w:rsid w:val="00820700"/>
    <w:rsid w:val="00820AF6"/>
    <w:rsid w:val="00820C1B"/>
    <w:rsid w:val="00820C75"/>
    <w:rsid w:val="00820C9C"/>
    <w:rsid w:val="0082103F"/>
    <w:rsid w:val="008214AF"/>
    <w:rsid w:val="0082278D"/>
    <w:rsid w:val="00822884"/>
    <w:rsid w:val="00822CFD"/>
    <w:rsid w:val="00823445"/>
    <w:rsid w:val="00823644"/>
    <w:rsid w:val="00824B6C"/>
    <w:rsid w:val="00824B6F"/>
    <w:rsid w:val="00825115"/>
    <w:rsid w:val="00825294"/>
    <w:rsid w:val="00825AB8"/>
    <w:rsid w:val="00825B07"/>
    <w:rsid w:val="00826168"/>
    <w:rsid w:val="00826294"/>
    <w:rsid w:val="0082632E"/>
    <w:rsid w:val="00826A51"/>
    <w:rsid w:val="00826C2C"/>
    <w:rsid w:val="00826C6B"/>
    <w:rsid w:val="0082718D"/>
    <w:rsid w:val="00827275"/>
    <w:rsid w:val="0082732C"/>
    <w:rsid w:val="008276E7"/>
    <w:rsid w:val="008278F1"/>
    <w:rsid w:val="00827A1A"/>
    <w:rsid w:val="00827D99"/>
    <w:rsid w:val="00827F77"/>
    <w:rsid w:val="00830038"/>
    <w:rsid w:val="008303D2"/>
    <w:rsid w:val="00830857"/>
    <w:rsid w:val="00830A41"/>
    <w:rsid w:val="008311B8"/>
    <w:rsid w:val="008313A8"/>
    <w:rsid w:val="008319F4"/>
    <w:rsid w:val="00831A72"/>
    <w:rsid w:val="008320F7"/>
    <w:rsid w:val="008324B8"/>
    <w:rsid w:val="008325BB"/>
    <w:rsid w:val="00832A36"/>
    <w:rsid w:val="00832EA5"/>
    <w:rsid w:val="00832FD4"/>
    <w:rsid w:val="00833147"/>
    <w:rsid w:val="00833265"/>
    <w:rsid w:val="0083381F"/>
    <w:rsid w:val="00833C86"/>
    <w:rsid w:val="00833FD4"/>
    <w:rsid w:val="00834243"/>
    <w:rsid w:val="008357EE"/>
    <w:rsid w:val="00835D52"/>
    <w:rsid w:val="00835E66"/>
    <w:rsid w:val="00836305"/>
    <w:rsid w:val="00836417"/>
    <w:rsid w:val="008369DA"/>
    <w:rsid w:val="00836B0C"/>
    <w:rsid w:val="00837629"/>
    <w:rsid w:val="00837D13"/>
    <w:rsid w:val="00837D35"/>
    <w:rsid w:val="00837F9F"/>
    <w:rsid w:val="00840127"/>
    <w:rsid w:val="00840336"/>
    <w:rsid w:val="0084055A"/>
    <w:rsid w:val="008406FB"/>
    <w:rsid w:val="0084081F"/>
    <w:rsid w:val="00840A4A"/>
    <w:rsid w:val="00840AFD"/>
    <w:rsid w:val="008418BB"/>
    <w:rsid w:val="00841B9E"/>
    <w:rsid w:val="00842056"/>
    <w:rsid w:val="00842387"/>
    <w:rsid w:val="008426DC"/>
    <w:rsid w:val="00842720"/>
    <w:rsid w:val="00842CA2"/>
    <w:rsid w:val="00842F28"/>
    <w:rsid w:val="00842FE2"/>
    <w:rsid w:val="008430DA"/>
    <w:rsid w:val="00843B3B"/>
    <w:rsid w:val="00844059"/>
    <w:rsid w:val="008442D5"/>
    <w:rsid w:val="008443C3"/>
    <w:rsid w:val="00845468"/>
    <w:rsid w:val="00845684"/>
    <w:rsid w:val="0084604E"/>
    <w:rsid w:val="00846376"/>
    <w:rsid w:val="008467FC"/>
    <w:rsid w:val="00846873"/>
    <w:rsid w:val="00846D1D"/>
    <w:rsid w:val="00846FCE"/>
    <w:rsid w:val="00847059"/>
    <w:rsid w:val="00847C80"/>
    <w:rsid w:val="0085011A"/>
    <w:rsid w:val="00850AEB"/>
    <w:rsid w:val="00850B3E"/>
    <w:rsid w:val="00850CF4"/>
    <w:rsid w:val="00850F10"/>
    <w:rsid w:val="00851929"/>
    <w:rsid w:val="00851C70"/>
    <w:rsid w:val="00852045"/>
    <w:rsid w:val="0085232B"/>
    <w:rsid w:val="008523E0"/>
    <w:rsid w:val="00852874"/>
    <w:rsid w:val="00852AB0"/>
    <w:rsid w:val="00852DB5"/>
    <w:rsid w:val="00853147"/>
    <w:rsid w:val="008536C0"/>
    <w:rsid w:val="0085387B"/>
    <w:rsid w:val="00853A31"/>
    <w:rsid w:val="00853A37"/>
    <w:rsid w:val="00853CD2"/>
    <w:rsid w:val="00853E41"/>
    <w:rsid w:val="00854289"/>
    <w:rsid w:val="008545FB"/>
    <w:rsid w:val="0085461A"/>
    <w:rsid w:val="00854FEA"/>
    <w:rsid w:val="0085529C"/>
    <w:rsid w:val="00855D4B"/>
    <w:rsid w:val="00855DE7"/>
    <w:rsid w:val="008565A4"/>
    <w:rsid w:val="00856ED4"/>
    <w:rsid w:val="0085728C"/>
    <w:rsid w:val="0085737A"/>
    <w:rsid w:val="008573D9"/>
    <w:rsid w:val="0085747C"/>
    <w:rsid w:val="0085750D"/>
    <w:rsid w:val="008576A1"/>
    <w:rsid w:val="00857727"/>
    <w:rsid w:val="00857969"/>
    <w:rsid w:val="00857BB0"/>
    <w:rsid w:val="00857E68"/>
    <w:rsid w:val="008600D8"/>
    <w:rsid w:val="00860296"/>
    <w:rsid w:val="00860770"/>
    <w:rsid w:val="00860836"/>
    <w:rsid w:val="00860BAF"/>
    <w:rsid w:val="00861264"/>
    <w:rsid w:val="00861B2E"/>
    <w:rsid w:val="008624F4"/>
    <w:rsid w:val="008625FD"/>
    <w:rsid w:val="00863111"/>
    <w:rsid w:val="00864194"/>
    <w:rsid w:val="00864208"/>
    <w:rsid w:val="008644A2"/>
    <w:rsid w:val="008647EB"/>
    <w:rsid w:val="008648D8"/>
    <w:rsid w:val="00864969"/>
    <w:rsid w:val="00864D86"/>
    <w:rsid w:val="00864E75"/>
    <w:rsid w:val="00864E95"/>
    <w:rsid w:val="00864F37"/>
    <w:rsid w:val="008651F3"/>
    <w:rsid w:val="0086572A"/>
    <w:rsid w:val="00866C9F"/>
    <w:rsid w:val="008672E6"/>
    <w:rsid w:val="0086757F"/>
    <w:rsid w:val="008676AC"/>
    <w:rsid w:val="00867D52"/>
    <w:rsid w:val="00870C36"/>
    <w:rsid w:val="0087107A"/>
    <w:rsid w:val="008710EE"/>
    <w:rsid w:val="00871CD1"/>
    <w:rsid w:val="00872117"/>
    <w:rsid w:val="00872530"/>
    <w:rsid w:val="0087291E"/>
    <w:rsid w:val="00872ACD"/>
    <w:rsid w:val="008730D6"/>
    <w:rsid w:val="008732EB"/>
    <w:rsid w:val="008734AA"/>
    <w:rsid w:val="0087368D"/>
    <w:rsid w:val="00873810"/>
    <w:rsid w:val="008738D9"/>
    <w:rsid w:val="0087456F"/>
    <w:rsid w:val="00874623"/>
    <w:rsid w:val="0087488D"/>
    <w:rsid w:val="00874F3D"/>
    <w:rsid w:val="0087550B"/>
    <w:rsid w:val="00875909"/>
    <w:rsid w:val="00875979"/>
    <w:rsid w:val="008762DD"/>
    <w:rsid w:val="00876523"/>
    <w:rsid w:val="008766CC"/>
    <w:rsid w:val="00876A0B"/>
    <w:rsid w:val="00876B7A"/>
    <w:rsid w:val="00876C3D"/>
    <w:rsid w:val="0087727B"/>
    <w:rsid w:val="00877406"/>
    <w:rsid w:val="0087795A"/>
    <w:rsid w:val="00877A98"/>
    <w:rsid w:val="00877FAB"/>
    <w:rsid w:val="00877FF8"/>
    <w:rsid w:val="00880607"/>
    <w:rsid w:val="00880D7A"/>
    <w:rsid w:val="00880EB2"/>
    <w:rsid w:val="00881009"/>
    <w:rsid w:val="00881016"/>
    <w:rsid w:val="00881E0A"/>
    <w:rsid w:val="00881FCE"/>
    <w:rsid w:val="00881FEB"/>
    <w:rsid w:val="008822EB"/>
    <w:rsid w:val="0088234C"/>
    <w:rsid w:val="00882A4A"/>
    <w:rsid w:val="00882CC4"/>
    <w:rsid w:val="00883959"/>
    <w:rsid w:val="008839CA"/>
    <w:rsid w:val="00883AA8"/>
    <w:rsid w:val="00883DC6"/>
    <w:rsid w:val="00883E4A"/>
    <w:rsid w:val="00883E84"/>
    <w:rsid w:val="008844AC"/>
    <w:rsid w:val="008844F7"/>
    <w:rsid w:val="008845DA"/>
    <w:rsid w:val="00884C27"/>
    <w:rsid w:val="00885926"/>
    <w:rsid w:val="00885B16"/>
    <w:rsid w:val="00886474"/>
    <w:rsid w:val="00886C4C"/>
    <w:rsid w:val="0088759C"/>
    <w:rsid w:val="008877A3"/>
    <w:rsid w:val="00887F5D"/>
    <w:rsid w:val="008909F4"/>
    <w:rsid w:val="00891CDB"/>
    <w:rsid w:val="00892048"/>
    <w:rsid w:val="00892161"/>
    <w:rsid w:val="00892659"/>
    <w:rsid w:val="00892756"/>
    <w:rsid w:val="0089294A"/>
    <w:rsid w:val="00892A5F"/>
    <w:rsid w:val="00892CB5"/>
    <w:rsid w:val="00892F48"/>
    <w:rsid w:val="00892F8A"/>
    <w:rsid w:val="00893087"/>
    <w:rsid w:val="00893482"/>
    <w:rsid w:val="008939E5"/>
    <w:rsid w:val="00893EC5"/>
    <w:rsid w:val="00893F05"/>
    <w:rsid w:val="00894C70"/>
    <w:rsid w:val="00894E51"/>
    <w:rsid w:val="008952CE"/>
    <w:rsid w:val="00895639"/>
    <w:rsid w:val="008957C3"/>
    <w:rsid w:val="008959DD"/>
    <w:rsid w:val="00895FB7"/>
    <w:rsid w:val="0089650D"/>
    <w:rsid w:val="008965F1"/>
    <w:rsid w:val="00896688"/>
    <w:rsid w:val="00896EA4"/>
    <w:rsid w:val="008A07F9"/>
    <w:rsid w:val="008A099C"/>
    <w:rsid w:val="008A0C9E"/>
    <w:rsid w:val="008A10F5"/>
    <w:rsid w:val="008A1270"/>
    <w:rsid w:val="008A230B"/>
    <w:rsid w:val="008A29AB"/>
    <w:rsid w:val="008A2BA2"/>
    <w:rsid w:val="008A314D"/>
    <w:rsid w:val="008A32AB"/>
    <w:rsid w:val="008A3B19"/>
    <w:rsid w:val="008A3B80"/>
    <w:rsid w:val="008A3C70"/>
    <w:rsid w:val="008A44B1"/>
    <w:rsid w:val="008A495A"/>
    <w:rsid w:val="008A4AD6"/>
    <w:rsid w:val="008A4BAE"/>
    <w:rsid w:val="008A50F3"/>
    <w:rsid w:val="008A5806"/>
    <w:rsid w:val="008A5A7B"/>
    <w:rsid w:val="008A5BA6"/>
    <w:rsid w:val="008A62E8"/>
    <w:rsid w:val="008A6B11"/>
    <w:rsid w:val="008A7381"/>
    <w:rsid w:val="008B0CD9"/>
    <w:rsid w:val="008B0D87"/>
    <w:rsid w:val="008B0DB4"/>
    <w:rsid w:val="008B12E9"/>
    <w:rsid w:val="008B1AD8"/>
    <w:rsid w:val="008B1AF7"/>
    <w:rsid w:val="008B20B3"/>
    <w:rsid w:val="008B2772"/>
    <w:rsid w:val="008B36EF"/>
    <w:rsid w:val="008B3908"/>
    <w:rsid w:val="008B3909"/>
    <w:rsid w:val="008B3957"/>
    <w:rsid w:val="008B43A3"/>
    <w:rsid w:val="008B45BF"/>
    <w:rsid w:val="008B4C2C"/>
    <w:rsid w:val="008B527C"/>
    <w:rsid w:val="008B54CC"/>
    <w:rsid w:val="008B55D4"/>
    <w:rsid w:val="008B57DE"/>
    <w:rsid w:val="008B57EE"/>
    <w:rsid w:val="008B5F1E"/>
    <w:rsid w:val="008B65C3"/>
    <w:rsid w:val="008B699B"/>
    <w:rsid w:val="008B6DC8"/>
    <w:rsid w:val="008B7197"/>
    <w:rsid w:val="008B727C"/>
    <w:rsid w:val="008B78BA"/>
    <w:rsid w:val="008C01FC"/>
    <w:rsid w:val="008C06E8"/>
    <w:rsid w:val="008C0BE4"/>
    <w:rsid w:val="008C1625"/>
    <w:rsid w:val="008C1842"/>
    <w:rsid w:val="008C213B"/>
    <w:rsid w:val="008C2C84"/>
    <w:rsid w:val="008C2D21"/>
    <w:rsid w:val="008C3638"/>
    <w:rsid w:val="008C365B"/>
    <w:rsid w:val="008C3823"/>
    <w:rsid w:val="008C3E77"/>
    <w:rsid w:val="008C42E1"/>
    <w:rsid w:val="008C439E"/>
    <w:rsid w:val="008C4715"/>
    <w:rsid w:val="008C4749"/>
    <w:rsid w:val="008C4841"/>
    <w:rsid w:val="008C4EAE"/>
    <w:rsid w:val="008C51D3"/>
    <w:rsid w:val="008C56E6"/>
    <w:rsid w:val="008C5CB5"/>
    <w:rsid w:val="008C6386"/>
    <w:rsid w:val="008C687D"/>
    <w:rsid w:val="008C69DB"/>
    <w:rsid w:val="008C6A25"/>
    <w:rsid w:val="008C6D09"/>
    <w:rsid w:val="008C6F0E"/>
    <w:rsid w:val="008C7752"/>
    <w:rsid w:val="008C79A4"/>
    <w:rsid w:val="008C7B41"/>
    <w:rsid w:val="008C7C5E"/>
    <w:rsid w:val="008C7F71"/>
    <w:rsid w:val="008D048C"/>
    <w:rsid w:val="008D0FDC"/>
    <w:rsid w:val="008D10E0"/>
    <w:rsid w:val="008D1226"/>
    <w:rsid w:val="008D125B"/>
    <w:rsid w:val="008D13F0"/>
    <w:rsid w:val="008D173D"/>
    <w:rsid w:val="008D1B41"/>
    <w:rsid w:val="008D1B52"/>
    <w:rsid w:val="008D1EF0"/>
    <w:rsid w:val="008D243E"/>
    <w:rsid w:val="008D2487"/>
    <w:rsid w:val="008D249A"/>
    <w:rsid w:val="008D27DF"/>
    <w:rsid w:val="008D2B9D"/>
    <w:rsid w:val="008D3001"/>
    <w:rsid w:val="008D339F"/>
    <w:rsid w:val="008D381A"/>
    <w:rsid w:val="008D3DB3"/>
    <w:rsid w:val="008D3EF8"/>
    <w:rsid w:val="008D3F15"/>
    <w:rsid w:val="008D41F0"/>
    <w:rsid w:val="008D4BB9"/>
    <w:rsid w:val="008D4F9B"/>
    <w:rsid w:val="008D52FE"/>
    <w:rsid w:val="008D5733"/>
    <w:rsid w:val="008D6184"/>
    <w:rsid w:val="008D6241"/>
    <w:rsid w:val="008D6352"/>
    <w:rsid w:val="008D6B27"/>
    <w:rsid w:val="008D6E0C"/>
    <w:rsid w:val="008D7131"/>
    <w:rsid w:val="008D732D"/>
    <w:rsid w:val="008D7556"/>
    <w:rsid w:val="008D7A96"/>
    <w:rsid w:val="008E06FE"/>
    <w:rsid w:val="008E08DC"/>
    <w:rsid w:val="008E1446"/>
    <w:rsid w:val="008E18D0"/>
    <w:rsid w:val="008E2238"/>
    <w:rsid w:val="008E2454"/>
    <w:rsid w:val="008E25F4"/>
    <w:rsid w:val="008E264A"/>
    <w:rsid w:val="008E2E3B"/>
    <w:rsid w:val="008E35A5"/>
    <w:rsid w:val="008E3615"/>
    <w:rsid w:val="008E3FFC"/>
    <w:rsid w:val="008E4984"/>
    <w:rsid w:val="008E4C23"/>
    <w:rsid w:val="008E4CE4"/>
    <w:rsid w:val="008E4F1E"/>
    <w:rsid w:val="008E51D7"/>
    <w:rsid w:val="008E5385"/>
    <w:rsid w:val="008E5956"/>
    <w:rsid w:val="008E5F42"/>
    <w:rsid w:val="008E6292"/>
    <w:rsid w:val="008E6614"/>
    <w:rsid w:val="008E6DE6"/>
    <w:rsid w:val="008E7172"/>
    <w:rsid w:val="008E728F"/>
    <w:rsid w:val="008E7833"/>
    <w:rsid w:val="008E7B35"/>
    <w:rsid w:val="008E7C06"/>
    <w:rsid w:val="008F050A"/>
    <w:rsid w:val="008F0E58"/>
    <w:rsid w:val="008F19CC"/>
    <w:rsid w:val="008F215C"/>
    <w:rsid w:val="008F2341"/>
    <w:rsid w:val="008F23EB"/>
    <w:rsid w:val="008F2445"/>
    <w:rsid w:val="008F2554"/>
    <w:rsid w:val="008F271F"/>
    <w:rsid w:val="008F2B16"/>
    <w:rsid w:val="008F47A1"/>
    <w:rsid w:val="008F488F"/>
    <w:rsid w:val="008F4960"/>
    <w:rsid w:val="008F4B50"/>
    <w:rsid w:val="008F5046"/>
    <w:rsid w:val="008F52F9"/>
    <w:rsid w:val="008F548A"/>
    <w:rsid w:val="008F5740"/>
    <w:rsid w:val="008F5D3B"/>
    <w:rsid w:val="008F5FD1"/>
    <w:rsid w:val="008F6315"/>
    <w:rsid w:val="008F6519"/>
    <w:rsid w:val="008F6575"/>
    <w:rsid w:val="008F6BB3"/>
    <w:rsid w:val="008F795C"/>
    <w:rsid w:val="008F7A4C"/>
    <w:rsid w:val="00900385"/>
    <w:rsid w:val="0090081D"/>
    <w:rsid w:val="00900A4C"/>
    <w:rsid w:val="00901230"/>
    <w:rsid w:val="00901820"/>
    <w:rsid w:val="00901C05"/>
    <w:rsid w:val="00901E2A"/>
    <w:rsid w:val="00902083"/>
    <w:rsid w:val="009020D4"/>
    <w:rsid w:val="00902356"/>
    <w:rsid w:val="009025ED"/>
    <w:rsid w:val="0090279D"/>
    <w:rsid w:val="00902BD8"/>
    <w:rsid w:val="00902C03"/>
    <w:rsid w:val="009032F9"/>
    <w:rsid w:val="00903BD8"/>
    <w:rsid w:val="00904013"/>
    <w:rsid w:val="0090459A"/>
    <w:rsid w:val="00904F92"/>
    <w:rsid w:val="0090520C"/>
    <w:rsid w:val="009052C5"/>
    <w:rsid w:val="00905AC2"/>
    <w:rsid w:val="00905D3C"/>
    <w:rsid w:val="0090615A"/>
    <w:rsid w:val="00906601"/>
    <w:rsid w:val="00906C34"/>
    <w:rsid w:val="00906DD3"/>
    <w:rsid w:val="00906FF2"/>
    <w:rsid w:val="00907216"/>
    <w:rsid w:val="0090727D"/>
    <w:rsid w:val="009077D8"/>
    <w:rsid w:val="00907878"/>
    <w:rsid w:val="00907CE3"/>
    <w:rsid w:val="0091030C"/>
    <w:rsid w:val="00910666"/>
    <w:rsid w:val="0091090C"/>
    <w:rsid w:val="009109CB"/>
    <w:rsid w:val="00910CA4"/>
    <w:rsid w:val="00910CB4"/>
    <w:rsid w:val="00910DDC"/>
    <w:rsid w:val="009110F1"/>
    <w:rsid w:val="0091113E"/>
    <w:rsid w:val="0091136B"/>
    <w:rsid w:val="00911E22"/>
    <w:rsid w:val="00912138"/>
    <w:rsid w:val="009128C4"/>
    <w:rsid w:val="0091341D"/>
    <w:rsid w:val="009135DE"/>
    <w:rsid w:val="00913D10"/>
    <w:rsid w:val="00913FA7"/>
    <w:rsid w:val="009140C2"/>
    <w:rsid w:val="009141E1"/>
    <w:rsid w:val="00914CE6"/>
    <w:rsid w:val="0091611D"/>
    <w:rsid w:val="009179FD"/>
    <w:rsid w:val="00917C00"/>
    <w:rsid w:val="00917E28"/>
    <w:rsid w:val="00920212"/>
    <w:rsid w:val="0092076D"/>
    <w:rsid w:val="009207B7"/>
    <w:rsid w:val="00920A87"/>
    <w:rsid w:val="00920D91"/>
    <w:rsid w:val="00921BB2"/>
    <w:rsid w:val="00921DB6"/>
    <w:rsid w:val="00922733"/>
    <w:rsid w:val="00922B4B"/>
    <w:rsid w:val="00922BA1"/>
    <w:rsid w:val="009230E6"/>
    <w:rsid w:val="0092326A"/>
    <w:rsid w:val="00923449"/>
    <w:rsid w:val="0092395C"/>
    <w:rsid w:val="00923A20"/>
    <w:rsid w:val="0092444F"/>
    <w:rsid w:val="0092478D"/>
    <w:rsid w:val="009249B8"/>
    <w:rsid w:val="00924F5C"/>
    <w:rsid w:val="0092553B"/>
    <w:rsid w:val="00925AA5"/>
    <w:rsid w:val="00925C74"/>
    <w:rsid w:val="00925FB5"/>
    <w:rsid w:val="00926133"/>
    <w:rsid w:val="009261C7"/>
    <w:rsid w:val="0092646A"/>
    <w:rsid w:val="009267D9"/>
    <w:rsid w:val="00926837"/>
    <w:rsid w:val="009273C5"/>
    <w:rsid w:val="00927FE5"/>
    <w:rsid w:val="009302B9"/>
    <w:rsid w:val="00930803"/>
    <w:rsid w:val="00930A0D"/>
    <w:rsid w:val="00930AC2"/>
    <w:rsid w:val="00930B90"/>
    <w:rsid w:val="00930D39"/>
    <w:rsid w:val="009315CF"/>
    <w:rsid w:val="00931A39"/>
    <w:rsid w:val="00931C07"/>
    <w:rsid w:val="00931C29"/>
    <w:rsid w:val="00932810"/>
    <w:rsid w:val="00932CF0"/>
    <w:rsid w:val="00932D6D"/>
    <w:rsid w:val="00932F61"/>
    <w:rsid w:val="00933C90"/>
    <w:rsid w:val="00933E38"/>
    <w:rsid w:val="00933E8A"/>
    <w:rsid w:val="009340BD"/>
    <w:rsid w:val="0093413C"/>
    <w:rsid w:val="0093420F"/>
    <w:rsid w:val="009344C6"/>
    <w:rsid w:val="009345A3"/>
    <w:rsid w:val="00934A33"/>
    <w:rsid w:val="0093540D"/>
    <w:rsid w:val="00935824"/>
    <w:rsid w:val="009359CC"/>
    <w:rsid w:val="00935DD8"/>
    <w:rsid w:val="00935E26"/>
    <w:rsid w:val="009365B7"/>
    <w:rsid w:val="00936F4E"/>
    <w:rsid w:val="0093739E"/>
    <w:rsid w:val="00937B42"/>
    <w:rsid w:val="00937EE4"/>
    <w:rsid w:val="0094019D"/>
    <w:rsid w:val="00940333"/>
    <w:rsid w:val="00941E6C"/>
    <w:rsid w:val="009420B1"/>
    <w:rsid w:val="009425B9"/>
    <w:rsid w:val="00942754"/>
    <w:rsid w:val="009428F9"/>
    <w:rsid w:val="00942C11"/>
    <w:rsid w:val="00942E96"/>
    <w:rsid w:val="00943048"/>
    <w:rsid w:val="009430B4"/>
    <w:rsid w:val="009431C4"/>
    <w:rsid w:val="00943396"/>
    <w:rsid w:val="009434C5"/>
    <w:rsid w:val="0094351F"/>
    <w:rsid w:val="00943BBC"/>
    <w:rsid w:val="009441AA"/>
    <w:rsid w:val="009444E6"/>
    <w:rsid w:val="00944644"/>
    <w:rsid w:val="0094465C"/>
    <w:rsid w:val="00944970"/>
    <w:rsid w:val="009449C3"/>
    <w:rsid w:val="00944F25"/>
    <w:rsid w:val="0094510F"/>
    <w:rsid w:val="0094594F"/>
    <w:rsid w:val="00945BEF"/>
    <w:rsid w:val="00945F25"/>
    <w:rsid w:val="00946220"/>
    <w:rsid w:val="009464C8"/>
    <w:rsid w:val="00946588"/>
    <w:rsid w:val="009466EF"/>
    <w:rsid w:val="00946BFC"/>
    <w:rsid w:val="0094789C"/>
    <w:rsid w:val="00947BB9"/>
    <w:rsid w:val="00947F4D"/>
    <w:rsid w:val="00947FDA"/>
    <w:rsid w:val="00950413"/>
    <w:rsid w:val="009508D4"/>
    <w:rsid w:val="0095127A"/>
    <w:rsid w:val="00951541"/>
    <w:rsid w:val="00951557"/>
    <w:rsid w:val="0095156A"/>
    <w:rsid w:val="00951A25"/>
    <w:rsid w:val="00951B4E"/>
    <w:rsid w:val="009526AA"/>
    <w:rsid w:val="00952A74"/>
    <w:rsid w:val="00952D7F"/>
    <w:rsid w:val="00953B60"/>
    <w:rsid w:val="00953C56"/>
    <w:rsid w:val="009547F8"/>
    <w:rsid w:val="00954814"/>
    <w:rsid w:val="0095481B"/>
    <w:rsid w:val="009548C9"/>
    <w:rsid w:val="0095519A"/>
    <w:rsid w:val="00955779"/>
    <w:rsid w:val="0095582B"/>
    <w:rsid w:val="009559DC"/>
    <w:rsid w:val="00955B68"/>
    <w:rsid w:val="009560DF"/>
    <w:rsid w:val="0095612A"/>
    <w:rsid w:val="009565CE"/>
    <w:rsid w:val="00956D25"/>
    <w:rsid w:val="00956E46"/>
    <w:rsid w:val="009578A5"/>
    <w:rsid w:val="00957BE0"/>
    <w:rsid w:val="009600E7"/>
    <w:rsid w:val="00960203"/>
    <w:rsid w:val="0096044C"/>
    <w:rsid w:val="00960480"/>
    <w:rsid w:val="009606BC"/>
    <w:rsid w:val="0096093B"/>
    <w:rsid w:val="0096100A"/>
    <w:rsid w:val="00961653"/>
    <w:rsid w:val="00961C4D"/>
    <w:rsid w:val="009620A7"/>
    <w:rsid w:val="00962391"/>
    <w:rsid w:val="009625AB"/>
    <w:rsid w:val="00962A35"/>
    <w:rsid w:val="00962CC9"/>
    <w:rsid w:val="00962D9B"/>
    <w:rsid w:val="00963386"/>
    <w:rsid w:val="0096339C"/>
    <w:rsid w:val="0096342B"/>
    <w:rsid w:val="00963F35"/>
    <w:rsid w:val="00964537"/>
    <w:rsid w:val="00964856"/>
    <w:rsid w:val="00964AFE"/>
    <w:rsid w:val="00965167"/>
    <w:rsid w:val="00965832"/>
    <w:rsid w:val="0096589F"/>
    <w:rsid w:val="009659EF"/>
    <w:rsid w:val="00965BCB"/>
    <w:rsid w:val="00965F71"/>
    <w:rsid w:val="009665A6"/>
    <w:rsid w:val="0096681C"/>
    <w:rsid w:val="00966871"/>
    <w:rsid w:val="00966AF4"/>
    <w:rsid w:val="00966DB2"/>
    <w:rsid w:val="00966E8A"/>
    <w:rsid w:val="00967017"/>
    <w:rsid w:val="009671A0"/>
    <w:rsid w:val="00967C3D"/>
    <w:rsid w:val="00967DBD"/>
    <w:rsid w:val="00970030"/>
    <w:rsid w:val="00970055"/>
    <w:rsid w:val="009702C3"/>
    <w:rsid w:val="009706D4"/>
    <w:rsid w:val="009708D1"/>
    <w:rsid w:val="00970CE4"/>
    <w:rsid w:val="00970EEA"/>
    <w:rsid w:val="00970F20"/>
    <w:rsid w:val="00971BD0"/>
    <w:rsid w:val="0097256A"/>
    <w:rsid w:val="009729D4"/>
    <w:rsid w:val="00972A47"/>
    <w:rsid w:val="00972E77"/>
    <w:rsid w:val="00973CDF"/>
    <w:rsid w:val="00973FF0"/>
    <w:rsid w:val="00974116"/>
    <w:rsid w:val="009747D7"/>
    <w:rsid w:val="00974960"/>
    <w:rsid w:val="00974B07"/>
    <w:rsid w:val="0097548E"/>
    <w:rsid w:val="009759CF"/>
    <w:rsid w:val="0097629B"/>
    <w:rsid w:val="009766BF"/>
    <w:rsid w:val="00976738"/>
    <w:rsid w:val="00976781"/>
    <w:rsid w:val="00976FBD"/>
    <w:rsid w:val="0097777A"/>
    <w:rsid w:val="00977B15"/>
    <w:rsid w:val="009800F1"/>
    <w:rsid w:val="00980759"/>
    <w:rsid w:val="00980A55"/>
    <w:rsid w:val="0098152A"/>
    <w:rsid w:val="009817B0"/>
    <w:rsid w:val="009819A0"/>
    <w:rsid w:val="00981B48"/>
    <w:rsid w:val="0098218F"/>
    <w:rsid w:val="009821CE"/>
    <w:rsid w:val="009823DC"/>
    <w:rsid w:val="00982443"/>
    <w:rsid w:val="00982D6A"/>
    <w:rsid w:val="00983568"/>
    <w:rsid w:val="009839A6"/>
    <w:rsid w:val="00983A0D"/>
    <w:rsid w:val="00983E51"/>
    <w:rsid w:val="00984171"/>
    <w:rsid w:val="00984254"/>
    <w:rsid w:val="0098430D"/>
    <w:rsid w:val="00984D64"/>
    <w:rsid w:val="00984E7C"/>
    <w:rsid w:val="00985537"/>
    <w:rsid w:val="00985B43"/>
    <w:rsid w:val="00985CE8"/>
    <w:rsid w:val="00985DFF"/>
    <w:rsid w:val="00985EA8"/>
    <w:rsid w:val="009867C9"/>
    <w:rsid w:val="00986DBD"/>
    <w:rsid w:val="00987349"/>
    <w:rsid w:val="00987567"/>
    <w:rsid w:val="009879A9"/>
    <w:rsid w:val="00990283"/>
    <w:rsid w:val="009902A1"/>
    <w:rsid w:val="00990AE7"/>
    <w:rsid w:val="00990CD2"/>
    <w:rsid w:val="009915AF"/>
    <w:rsid w:val="009918CC"/>
    <w:rsid w:val="00991AD4"/>
    <w:rsid w:val="00991CF3"/>
    <w:rsid w:val="00991E93"/>
    <w:rsid w:val="00991EF2"/>
    <w:rsid w:val="0099314A"/>
    <w:rsid w:val="0099316E"/>
    <w:rsid w:val="00993A86"/>
    <w:rsid w:val="00993E6B"/>
    <w:rsid w:val="00993F87"/>
    <w:rsid w:val="0099485A"/>
    <w:rsid w:val="0099544F"/>
    <w:rsid w:val="0099566F"/>
    <w:rsid w:val="0099594F"/>
    <w:rsid w:val="00995AD2"/>
    <w:rsid w:val="00996A5D"/>
    <w:rsid w:val="00997040"/>
    <w:rsid w:val="00997B2B"/>
    <w:rsid w:val="009A06DB"/>
    <w:rsid w:val="009A0700"/>
    <w:rsid w:val="009A0D4E"/>
    <w:rsid w:val="009A1489"/>
    <w:rsid w:val="009A1616"/>
    <w:rsid w:val="009A1950"/>
    <w:rsid w:val="009A1DF9"/>
    <w:rsid w:val="009A261F"/>
    <w:rsid w:val="009A277C"/>
    <w:rsid w:val="009A2862"/>
    <w:rsid w:val="009A2A62"/>
    <w:rsid w:val="009A2B19"/>
    <w:rsid w:val="009A2F97"/>
    <w:rsid w:val="009A337A"/>
    <w:rsid w:val="009A36A1"/>
    <w:rsid w:val="009A3BB4"/>
    <w:rsid w:val="009A3FDF"/>
    <w:rsid w:val="009A4538"/>
    <w:rsid w:val="009A4C6C"/>
    <w:rsid w:val="009A5197"/>
    <w:rsid w:val="009A52CA"/>
    <w:rsid w:val="009A6041"/>
    <w:rsid w:val="009A619C"/>
    <w:rsid w:val="009A6223"/>
    <w:rsid w:val="009A63AA"/>
    <w:rsid w:val="009A658F"/>
    <w:rsid w:val="009A66A4"/>
    <w:rsid w:val="009A6820"/>
    <w:rsid w:val="009A6B0A"/>
    <w:rsid w:val="009A6B61"/>
    <w:rsid w:val="009A6C8F"/>
    <w:rsid w:val="009A6E6D"/>
    <w:rsid w:val="009A71BA"/>
    <w:rsid w:val="009A7801"/>
    <w:rsid w:val="009A7A6C"/>
    <w:rsid w:val="009B14B0"/>
    <w:rsid w:val="009B14CE"/>
    <w:rsid w:val="009B1538"/>
    <w:rsid w:val="009B1709"/>
    <w:rsid w:val="009B2248"/>
    <w:rsid w:val="009B2A64"/>
    <w:rsid w:val="009B2BDF"/>
    <w:rsid w:val="009B2CE4"/>
    <w:rsid w:val="009B2EC6"/>
    <w:rsid w:val="009B2F68"/>
    <w:rsid w:val="009B2FA5"/>
    <w:rsid w:val="009B36FD"/>
    <w:rsid w:val="009B4415"/>
    <w:rsid w:val="009B465A"/>
    <w:rsid w:val="009B4974"/>
    <w:rsid w:val="009B50F0"/>
    <w:rsid w:val="009B552D"/>
    <w:rsid w:val="009B570A"/>
    <w:rsid w:val="009B5765"/>
    <w:rsid w:val="009B5C26"/>
    <w:rsid w:val="009B5CCB"/>
    <w:rsid w:val="009B5DBE"/>
    <w:rsid w:val="009B5E9F"/>
    <w:rsid w:val="009B65E8"/>
    <w:rsid w:val="009B68D7"/>
    <w:rsid w:val="009B6ABB"/>
    <w:rsid w:val="009B6D1C"/>
    <w:rsid w:val="009B6D36"/>
    <w:rsid w:val="009B6E49"/>
    <w:rsid w:val="009B74C9"/>
    <w:rsid w:val="009B76AD"/>
    <w:rsid w:val="009B7751"/>
    <w:rsid w:val="009C020E"/>
    <w:rsid w:val="009C0F3A"/>
    <w:rsid w:val="009C0FFB"/>
    <w:rsid w:val="009C1CD5"/>
    <w:rsid w:val="009C2293"/>
    <w:rsid w:val="009C23D2"/>
    <w:rsid w:val="009C265C"/>
    <w:rsid w:val="009C2DE7"/>
    <w:rsid w:val="009C32CE"/>
    <w:rsid w:val="009C342C"/>
    <w:rsid w:val="009C36E8"/>
    <w:rsid w:val="009C46C7"/>
    <w:rsid w:val="009C472E"/>
    <w:rsid w:val="009C4C17"/>
    <w:rsid w:val="009C4DB9"/>
    <w:rsid w:val="009C5184"/>
    <w:rsid w:val="009C5D4D"/>
    <w:rsid w:val="009C5D8C"/>
    <w:rsid w:val="009C5F62"/>
    <w:rsid w:val="009C6340"/>
    <w:rsid w:val="009C654C"/>
    <w:rsid w:val="009C6E36"/>
    <w:rsid w:val="009C7130"/>
    <w:rsid w:val="009C768C"/>
    <w:rsid w:val="009C7DE5"/>
    <w:rsid w:val="009D0295"/>
    <w:rsid w:val="009D0757"/>
    <w:rsid w:val="009D0DF5"/>
    <w:rsid w:val="009D0F15"/>
    <w:rsid w:val="009D1028"/>
    <w:rsid w:val="009D125A"/>
    <w:rsid w:val="009D1261"/>
    <w:rsid w:val="009D26B2"/>
    <w:rsid w:val="009D2783"/>
    <w:rsid w:val="009D2A66"/>
    <w:rsid w:val="009D2EB2"/>
    <w:rsid w:val="009D3E68"/>
    <w:rsid w:val="009D47FD"/>
    <w:rsid w:val="009D518A"/>
    <w:rsid w:val="009D5662"/>
    <w:rsid w:val="009D57E1"/>
    <w:rsid w:val="009D5B18"/>
    <w:rsid w:val="009D6055"/>
    <w:rsid w:val="009D617D"/>
    <w:rsid w:val="009D6A5D"/>
    <w:rsid w:val="009D7275"/>
    <w:rsid w:val="009D7964"/>
    <w:rsid w:val="009D7D37"/>
    <w:rsid w:val="009D7FCE"/>
    <w:rsid w:val="009E066E"/>
    <w:rsid w:val="009E074C"/>
    <w:rsid w:val="009E0891"/>
    <w:rsid w:val="009E0DD6"/>
    <w:rsid w:val="009E15F6"/>
    <w:rsid w:val="009E171B"/>
    <w:rsid w:val="009E179B"/>
    <w:rsid w:val="009E1A27"/>
    <w:rsid w:val="009E1AF4"/>
    <w:rsid w:val="009E1C07"/>
    <w:rsid w:val="009E2541"/>
    <w:rsid w:val="009E2ACC"/>
    <w:rsid w:val="009E3610"/>
    <w:rsid w:val="009E42B5"/>
    <w:rsid w:val="009E46D9"/>
    <w:rsid w:val="009E4742"/>
    <w:rsid w:val="009E4CC9"/>
    <w:rsid w:val="009E5210"/>
    <w:rsid w:val="009E55AD"/>
    <w:rsid w:val="009E56F1"/>
    <w:rsid w:val="009E57B2"/>
    <w:rsid w:val="009E5D80"/>
    <w:rsid w:val="009E5E3E"/>
    <w:rsid w:val="009E60C3"/>
    <w:rsid w:val="009E6B59"/>
    <w:rsid w:val="009E6E49"/>
    <w:rsid w:val="009E7060"/>
    <w:rsid w:val="009E7215"/>
    <w:rsid w:val="009E78B2"/>
    <w:rsid w:val="009E7A85"/>
    <w:rsid w:val="009E7BAA"/>
    <w:rsid w:val="009E7BE4"/>
    <w:rsid w:val="009F064A"/>
    <w:rsid w:val="009F08D8"/>
    <w:rsid w:val="009F1454"/>
    <w:rsid w:val="009F2458"/>
    <w:rsid w:val="009F2541"/>
    <w:rsid w:val="009F258D"/>
    <w:rsid w:val="009F2745"/>
    <w:rsid w:val="009F283F"/>
    <w:rsid w:val="009F32DD"/>
    <w:rsid w:val="009F33C7"/>
    <w:rsid w:val="009F3E94"/>
    <w:rsid w:val="009F42DB"/>
    <w:rsid w:val="009F460F"/>
    <w:rsid w:val="009F497F"/>
    <w:rsid w:val="009F4A9C"/>
    <w:rsid w:val="009F4AAF"/>
    <w:rsid w:val="009F4EB9"/>
    <w:rsid w:val="009F503E"/>
    <w:rsid w:val="009F5701"/>
    <w:rsid w:val="009F5CD7"/>
    <w:rsid w:val="009F5D40"/>
    <w:rsid w:val="009F5D4D"/>
    <w:rsid w:val="009F5F42"/>
    <w:rsid w:val="009F5F8B"/>
    <w:rsid w:val="009F614D"/>
    <w:rsid w:val="009F61CD"/>
    <w:rsid w:val="009F663A"/>
    <w:rsid w:val="009F6683"/>
    <w:rsid w:val="009F6F05"/>
    <w:rsid w:val="009F6FBD"/>
    <w:rsid w:val="009F7976"/>
    <w:rsid w:val="009F7F44"/>
    <w:rsid w:val="00A000C8"/>
    <w:rsid w:val="00A00305"/>
    <w:rsid w:val="00A00503"/>
    <w:rsid w:val="00A00C4E"/>
    <w:rsid w:val="00A0147E"/>
    <w:rsid w:val="00A01526"/>
    <w:rsid w:val="00A015E8"/>
    <w:rsid w:val="00A0182E"/>
    <w:rsid w:val="00A01C78"/>
    <w:rsid w:val="00A01CA4"/>
    <w:rsid w:val="00A0255B"/>
    <w:rsid w:val="00A02666"/>
    <w:rsid w:val="00A02744"/>
    <w:rsid w:val="00A030B4"/>
    <w:rsid w:val="00A03226"/>
    <w:rsid w:val="00A03297"/>
    <w:rsid w:val="00A03676"/>
    <w:rsid w:val="00A03B8C"/>
    <w:rsid w:val="00A0404D"/>
    <w:rsid w:val="00A042A9"/>
    <w:rsid w:val="00A0483A"/>
    <w:rsid w:val="00A049D4"/>
    <w:rsid w:val="00A04BF0"/>
    <w:rsid w:val="00A05700"/>
    <w:rsid w:val="00A05CE0"/>
    <w:rsid w:val="00A0662E"/>
    <w:rsid w:val="00A07438"/>
    <w:rsid w:val="00A07D23"/>
    <w:rsid w:val="00A07D47"/>
    <w:rsid w:val="00A07D5A"/>
    <w:rsid w:val="00A110BB"/>
    <w:rsid w:val="00A11A49"/>
    <w:rsid w:val="00A11A93"/>
    <w:rsid w:val="00A11C6B"/>
    <w:rsid w:val="00A11C9C"/>
    <w:rsid w:val="00A11F57"/>
    <w:rsid w:val="00A1258C"/>
    <w:rsid w:val="00A12A9D"/>
    <w:rsid w:val="00A12F62"/>
    <w:rsid w:val="00A13128"/>
    <w:rsid w:val="00A13762"/>
    <w:rsid w:val="00A13FB2"/>
    <w:rsid w:val="00A1405A"/>
    <w:rsid w:val="00A14065"/>
    <w:rsid w:val="00A143AB"/>
    <w:rsid w:val="00A146AA"/>
    <w:rsid w:val="00A14BE3"/>
    <w:rsid w:val="00A14CB8"/>
    <w:rsid w:val="00A14D93"/>
    <w:rsid w:val="00A14FE9"/>
    <w:rsid w:val="00A15382"/>
    <w:rsid w:val="00A15463"/>
    <w:rsid w:val="00A15721"/>
    <w:rsid w:val="00A158A2"/>
    <w:rsid w:val="00A16774"/>
    <w:rsid w:val="00A171B2"/>
    <w:rsid w:val="00A174B7"/>
    <w:rsid w:val="00A20448"/>
    <w:rsid w:val="00A20EC6"/>
    <w:rsid w:val="00A215A3"/>
    <w:rsid w:val="00A21826"/>
    <w:rsid w:val="00A218B6"/>
    <w:rsid w:val="00A21BE7"/>
    <w:rsid w:val="00A2274E"/>
    <w:rsid w:val="00A23781"/>
    <w:rsid w:val="00A2483A"/>
    <w:rsid w:val="00A24A05"/>
    <w:rsid w:val="00A25077"/>
    <w:rsid w:val="00A25BD3"/>
    <w:rsid w:val="00A25C07"/>
    <w:rsid w:val="00A25C3E"/>
    <w:rsid w:val="00A26214"/>
    <w:rsid w:val="00A2645A"/>
    <w:rsid w:val="00A26742"/>
    <w:rsid w:val="00A2683D"/>
    <w:rsid w:val="00A270BE"/>
    <w:rsid w:val="00A272F6"/>
    <w:rsid w:val="00A275BA"/>
    <w:rsid w:val="00A2773E"/>
    <w:rsid w:val="00A30059"/>
    <w:rsid w:val="00A305DA"/>
    <w:rsid w:val="00A30DD5"/>
    <w:rsid w:val="00A311BB"/>
    <w:rsid w:val="00A31973"/>
    <w:rsid w:val="00A31BDD"/>
    <w:rsid w:val="00A31D61"/>
    <w:rsid w:val="00A32014"/>
    <w:rsid w:val="00A32299"/>
    <w:rsid w:val="00A32BCF"/>
    <w:rsid w:val="00A32BD2"/>
    <w:rsid w:val="00A32DAB"/>
    <w:rsid w:val="00A32DD1"/>
    <w:rsid w:val="00A331C0"/>
    <w:rsid w:val="00A33E44"/>
    <w:rsid w:val="00A33EB3"/>
    <w:rsid w:val="00A348F1"/>
    <w:rsid w:val="00A34CE2"/>
    <w:rsid w:val="00A351AA"/>
    <w:rsid w:val="00A352D6"/>
    <w:rsid w:val="00A35333"/>
    <w:rsid w:val="00A356C5"/>
    <w:rsid w:val="00A35DC3"/>
    <w:rsid w:val="00A360E0"/>
    <w:rsid w:val="00A3672D"/>
    <w:rsid w:val="00A3714A"/>
    <w:rsid w:val="00A37164"/>
    <w:rsid w:val="00A3749B"/>
    <w:rsid w:val="00A37B37"/>
    <w:rsid w:val="00A37D87"/>
    <w:rsid w:val="00A37E2E"/>
    <w:rsid w:val="00A4018E"/>
    <w:rsid w:val="00A402C3"/>
    <w:rsid w:val="00A40A0B"/>
    <w:rsid w:val="00A40A9E"/>
    <w:rsid w:val="00A40E0F"/>
    <w:rsid w:val="00A4125E"/>
    <w:rsid w:val="00A4198A"/>
    <w:rsid w:val="00A41A02"/>
    <w:rsid w:val="00A41BA1"/>
    <w:rsid w:val="00A41BC8"/>
    <w:rsid w:val="00A41E31"/>
    <w:rsid w:val="00A4201A"/>
    <w:rsid w:val="00A425E3"/>
    <w:rsid w:val="00A426FC"/>
    <w:rsid w:val="00A427D2"/>
    <w:rsid w:val="00A42A03"/>
    <w:rsid w:val="00A42B30"/>
    <w:rsid w:val="00A43512"/>
    <w:rsid w:val="00A4374B"/>
    <w:rsid w:val="00A43B19"/>
    <w:rsid w:val="00A43DA9"/>
    <w:rsid w:val="00A43F80"/>
    <w:rsid w:val="00A448C3"/>
    <w:rsid w:val="00A44CF8"/>
    <w:rsid w:val="00A44E8C"/>
    <w:rsid w:val="00A45E59"/>
    <w:rsid w:val="00A47326"/>
    <w:rsid w:val="00A474E2"/>
    <w:rsid w:val="00A4774B"/>
    <w:rsid w:val="00A500F7"/>
    <w:rsid w:val="00A50292"/>
    <w:rsid w:val="00A50681"/>
    <w:rsid w:val="00A506B4"/>
    <w:rsid w:val="00A50A65"/>
    <w:rsid w:val="00A50D88"/>
    <w:rsid w:val="00A50DC6"/>
    <w:rsid w:val="00A514AC"/>
    <w:rsid w:val="00A518B8"/>
    <w:rsid w:val="00A51999"/>
    <w:rsid w:val="00A51C0F"/>
    <w:rsid w:val="00A51DAF"/>
    <w:rsid w:val="00A524C3"/>
    <w:rsid w:val="00A52A8A"/>
    <w:rsid w:val="00A52EEE"/>
    <w:rsid w:val="00A5300E"/>
    <w:rsid w:val="00A536F3"/>
    <w:rsid w:val="00A53767"/>
    <w:rsid w:val="00A53EC1"/>
    <w:rsid w:val="00A54127"/>
    <w:rsid w:val="00A541C8"/>
    <w:rsid w:val="00A54690"/>
    <w:rsid w:val="00A547B9"/>
    <w:rsid w:val="00A54860"/>
    <w:rsid w:val="00A54A07"/>
    <w:rsid w:val="00A55158"/>
    <w:rsid w:val="00A554D2"/>
    <w:rsid w:val="00A55749"/>
    <w:rsid w:val="00A56923"/>
    <w:rsid w:val="00A56B0E"/>
    <w:rsid w:val="00A56B27"/>
    <w:rsid w:val="00A56B4D"/>
    <w:rsid w:val="00A56C4C"/>
    <w:rsid w:val="00A56DB5"/>
    <w:rsid w:val="00A57254"/>
    <w:rsid w:val="00A57C06"/>
    <w:rsid w:val="00A57FAD"/>
    <w:rsid w:val="00A60527"/>
    <w:rsid w:val="00A60974"/>
    <w:rsid w:val="00A60B25"/>
    <w:rsid w:val="00A620B2"/>
    <w:rsid w:val="00A62117"/>
    <w:rsid w:val="00A6214C"/>
    <w:rsid w:val="00A62B37"/>
    <w:rsid w:val="00A62E0C"/>
    <w:rsid w:val="00A62E42"/>
    <w:rsid w:val="00A6324B"/>
    <w:rsid w:val="00A637D0"/>
    <w:rsid w:val="00A63846"/>
    <w:rsid w:val="00A63A3F"/>
    <w:rsid w:val="00A6446E"/>
    <w:rsid w:val="00A6458E"/>
    <w:rsid w:val="00A64A71"/>
    <w:rsid w:val="00A64AF2"/>
    <w:rsid w:val="00A6573B"/>
    <w:rsid w:val="00A65B2F"/>
    <w:rsid w:val="00A65B35"/>
    <w:rsid w:val="00A660F1"/>
    <w:rsid w:val="00A66511"/>
    <w:rsid w:val="00A669C3"/>
    <w:rsid w:val="00A66B34"/>
    <w:rsid w:val="00A6700B"/>
    <w:rsid w:val="00A6724D"/>
    <w:rsid w:val="00A67772"/>
    <w:rsid w:val="00A67D15"/>
    <w:rsid w:val="00A67FFB"/>
    <w:rsid w:val="00A70339"/>
    <w:rsid w:val="00A70358"/>
    <w:rsid w:val="00A707DF"/>
    <w:rsid w:val="00A708FF"/>
    <w:rsid w:val="00A70901"/>
    <w:rsid w:val="00A70B5D"/>
    <w:rsid w:val="00A70F29"/>
    <w:rsid w:val="00A711F6"/>
    <w:rsid w:val="00A71B92"/>
    <w:rsid w:val="00A724C1"/>
    <w:rsid w:val="00A7291A"/>
    <w:rsid w:val="00A72960"/>
    <w:rsid w:val="00A72D8F"/>
    <w:rsid w:val="00A72DF2"/>
    <w:rsid w:val="00A72FCC"/>
    <w:rsid w:val="00A73192"/>
    <w:rsid w:val="00A73341"/>
    <w:rsid w:val="00A73625"/>
    <w:rsid w:val="00A738E7"/>
    <w:rsid w:val="00A73C29"/>
    <w:rsid w:val="00A745B9"/>
    <w:rsid w:val="00A74726"/>
    <w:rsid w:val="00A75100"/>
    <w:rsid w:val="00A7526A"/>
    <w:rsid w:val="00A75427"/>
    <w:rsid w:val="00A7611A"/>
    <w:rsid w:val="00A761C3"/>
    <w:rsid w:val="00A76939"/>
    <w:rsid w:val="00A769F8"/>
    <w:rsid w:val="00A77538"/>
    <w:rsid w:val="00A77EA5"/>
    <w:rsid w:val="00A8018F"/>
    <w:rsid w:val="00A8062F"/>
    <w:rsid w:val="00A80FC6"/>
    <w:rsid w:val="00A815ED"/>
    <w:rsid w:val="00A816E4"/>
    <w:rsid w:val="00A816EE"/>
    <w:rsid w:val="00A8174A"/>
    <w:rsid w:val="00A81A6E"/>
    <w:rsid w:val="00A82044"/>
    <w:rsid w:val="00A82BA8"/>
    <w:rsid w:val="00A82FC3"/>
    <w:rsid w:val="00A82FEC"/>
    <w:rsid w:val="00A839EF"/>
    <w:rsid w:val="00A841F3"/>
    <w:rsid w:val="00A843D5"/>
    <w:rsid w:val="00A84A0B"/>
    <w:rsid w:val="00A84C5F"/>
    <w:rsid w:val="00A84C68"/>
    <w:rsid w:val="00A84D86"/>
    <w:rsid w:val="00A84E92"/>
    <w:rsid w:val="00A84ED1"/>
    <w:rsid w:val="00A84EE1"/>
    <w:rsid w:val="00A85623"/>
    <w:rsid w:val="00A8579B"/>
    <w:rsid w:val="00A85937"/>
    <w:rsid w:val="00A85CE4"/>
    <w:rsid w:val="00A86151"/>
    <w:rsid w:val="00A86D75"/>
    <w:rsid w:val="00A873B4"/>
    <w:rsid w:val="00A8772C"/>
    <w:rsid w:val="00A87977"/>
    <w:rsid w:val="00A87A11"/>
    <w:rsid w:val="00A87B69"/>
    <w:rsid w:val="00A9095C"/>
    <w:rsid w:val="00A91029"/>
    <w:rsid w:val="00A91978"/>
    <w:rsid w:val="00A91C8E"/>
    <w:rsid w:val="00A920DB"/>
    <w:rsid w:val="00A92A2D"/>
    <w:rsid w:val="00A92BA0"/>
    <w:rsid w:val="00A93401"/>
    <w:rsid w:val="00A93499"/>
    <w:rsid w:val="00A935C2"/>
    <w:rsid w:val="00A93761"/>
    <w:rsid w:val="00A93808"/>
    <w:rsid w:val="00A946B0"/>
    <w:rsid w:val="00A94955"/>
    <w:rsid w:val="00A952F3"/>
    <w:rsid w:val="00A95471"/>
    <w:rsid w:val="00A961FF"/>
    <w:rsid w:val="00A96725"/>
    <w:rsid w:val="00A96B3C"/>
    <w:rsid w:val="00A96DAD"/>
    <w:rsid w:val="00A97486"/>
    <w:rsid w:val="00A979CB"/>
    <w:rsid w:val="00A97B3D"/>
    <w:rsid w:val="00A97C95"/>
    <w:rsid w:val="00AA09F9"/>
    <w:rsid w:val="00AA0AAC"/>
    <w:rsid w:val="00AA0C2E"/>
    <w:rsid w:val="00AA0CD4"/>
    <w:rsid w:val="00AA0E06"/>
    <w:rsid w:val="00AA1416"/>
    <w:rsid w:val="00AA14AD"/>
    <w:rsid w:val="00AA1FC8"/>
    <w:rsid w:val="00AA23FD"/>
    <w:rsid w:val="00AA2521"/>
    <w:rsid w:val="00AA33D5"/>
    <w:rsid w:val="00AA3597"/>
    <w:rsid w:val="00AA3699"/>
    <w:rsid w:val="00AA3F43"/>
    <w:rsid w:val="00AA3FB1"/>
    <w:rsid w:val="00AA428E"/>
    <w:rsid w:val="00AA453E"/>
    <w:rsid w:val="00AA511A"/>
    <w:rsid w:val="00AA515A"/>
    <w:rsid w:val="00AA526C"/>
    <w:rsid w:val="00AA550F"/>
    <w:rsid w:val="00AA5866"/>
    <w:rsid w:val="00AA6545"/>
    <w:rsid w:val="00AA6929"/>
    <w:rsid w:val="00AA6D3F"/>
    <w:rsid w:val="00AA761C"/>
    <w:rsid w:val="00AA7622"/>
    <w:rsid w:val="00AA774C"/>
    <w:rsid w:val="00AA7CF1"/>
    <w:rsid w:val="00AB0427"/>
    <w:rsid w:val="00AB079E"/>
    <w:rsid w:val="00AB0A50"/>
    <w:rsid w:val="00AB0CF6"/>
    <w:rsid w:val="00AB0F6E"/>
    <w:rsid w:val="00AB206D"/>
    <w:rsid w:val="00AB2176"/>
    <w:rsid w:val="00AB26C5"/>
    <w:rsid w:val="00AB27D6"/>
    <w:rsid w:val="00AB390F"/>
    <w:rsid w:val="00AB406C"/>
    <w:rsid w:val="00AB42D1"/>
    <w:rsid w:val="00AB53D0"/>
    <w:rsid w:val="00AB5558"/>
    <w:rsid w:val="00AB5651"/>
    <w:rsid w:val="00AB578A"/>
    <w:rsid w:val="00AB5E01"/>
    <w:rsid w:val="00AB6ADA"/>
    <w:rsid w:val="00AB7338"/>
    <w:rsid w:val="00AB75BB"/>
    <w:rsid w:val="00AB77CB"/>
    <w:rsid w:val="00AB7A2D"/>
    <w:rsid w:val="00AB7C3D"/>
    <w:rsid w:val="00AB7CA8"/>
    <w:rsid w:val="00AB7E93"/>
    <w:rsid w:val="00AB7EA5"/>
    <w:rsid w:val="00AC0CFA"/>
    <w:rsid w:val="00AC0EE5"/>
    <w:rsid w:val="00AC12C1"/>
    <w:rsid w:val="00AC1993"/>
    <w:rsid w:val="00AC1EFB"/>
    <w:rsid w:val="00AC2951"/>
    <w:rsid w:val="00AC3196"/>
    <w:rsid w:val="00AC35BC"/>
    <w:rsid w:val="00AC36F4"/>
    <w:rsid w:val="00AC46FF"/>
    <w:rsid w:val="00AC478C"/>
    <w:rsid w:val="00AC4A60"/>
    <w:rsid w:val="00AC4B39"/>
    <w:rsid w:val="00AC519C"/>
    <w:rsid w:val="00AC51F1"/>
    <w:rsid w:val="00AC556B"/>
    <w:rsid w:val="00AC58FE"/>
    <w:rsid w:val="00AC5AEB"/>
    <w:rsid w:val="00AC5C4F"/>
    <w:rsid w:val="00AC5EA8"/>
    <w:rsid w:val="00AC62B5"/>
    <w:rsid w:val="00AC62D7"/>
    <w:rsid w:val="00AC63F2"/>
    <w:rsid w:val="00AC76D8"/>
    <w:rsid w:val="00AC7DC7"/>
    <w:rsid w:val="00AD0212"/>
    <w:rsid w:val="00AD0795"/>
    <w:rsid w:val="00AD0ED4"/>
    <w:rsid w:val="00AD121A"/>
    <w:rsid w:val="00AD12BC"/>
    <w:rsid w:val="00AD1EC6"/>
    <w:rsid w:val="00AD2086"/>
    <w:rsid w:val="00AD20C3"/>
    <w:rsid w:val="00AD215B"/>
    <w:rsid w:val="00AD22EF"/>
    <w:rsid w:val="00AD245D"/>
    <w:rsid w:val="00AD2726"/>
    <w:rsid w:val="00AD2C29"/>
    <w:rsid w:val="00AD3819"/>
    <w:rsid w:val="00AD38E7"/>
    <w:rsid w:val="00AD47B1"/>
    <w:rsid w:val="00AD48CF"/>
    <w:rsid w:val="00AD5540"/>
    <w:rsid w:val="00AD5B7B"/>
    <w:rsid w:val="00AD5E6C"/>
    <w:rsid w:val="00AD65CD"/>
    <w:rsid w:val="00AD6D33"/>
    <w:rsid w:val="00AD6EF5"/>
    <w:rsid w:val="00AD705C"/>
    <w:rsid w:val="00AD76AF"/>
    <w:rsid w:val="00AD77A1"/>
    <w:rsid w:val="00AD7BB1"/>
    <w:rsid w:val="00AD7BF4"/>
    <w:rsid w:val="00AD7BFC"/>
    <w:rsid w:val="00AD7EE3"/>
    <w:rsid w:val="00AD7F1D"/>
    <w:rsid w:val="00AE0093"/>
    <w:rsid w:val="00AE099A"/>
    <w:rsid w:val="00AE0CC9"/>
    <w:rsid w:val="00AE193F"/>
    <w:rsid w:val="00AE1AEA"/>
    <w:rsid w:val="00AE20CA"/>
    <w:rsid w:val="00AE22AF"/>
    <w:rsid w:val="00AE24FC"/>
    <w:rsid w:val="00AE2539"/>
    <w:rsid w:val="00AE2842"/>
    <w:rsid w:val="00AE296A"/>
    <w:rsid w:val="00AE2F90"/>
    <w:rsid w:val="00AE3DE5"/>
    <w:rsid w:val="00AE3E16"/>
    <w:rsid w:val="00AE483B"/>
    <w:rsid w:val="00AE4BB3"/>
    <w:rsid w:val="00AE4FED"/>
    <w:rsid w:val="00AE5128"/>
    <w:rsid w:val="00AE55DB"/>
    <w:rsid w:val="00AE5871"/>
    <w:rsid w:val="00AE589E"/>
    <w:rsid w:val="00AE5C60"/>
    <w:rsid w:val="00AE6041"/>
    <w:rsid w:val="00AE6125"/>
    <w:rsid w:val="00AE6F4B"/>
    <w:rsid w:val="00AE7123"/>
    <w:rsid w:val="00AE7C4C"/>
    <w:rsid w:val="00AF0B15"/>
    <w:rsid w:val="00AF0C1C"/>
    <w:rsid w:val="00AF0EA4"/>
    <w:rsid w:val="00AF116C"/>
    <w:rsid w:val="00AF11BD"/>
    <w:rsid w:val="00AF26FB"/>
    <w:rsid w:val="00AF2749"/>
    <w:rsid w:val="00AF318C"/>
    <w:rsid w:val="00AF33B1"/>
    <w:rsid w:val="00AF34A1"/>
    <w:rsid w:val="00AF34E1"/>
    <w:rsid w:val="00AF36F7"/>
    <w:rsid w:val="00AF38BB"/>
    <w:rsid w:val="00AF395A"/>
    <w:rsid w:val="00AF39C5"/>
    <w:rsid w:val="00AF43FC"/>
    <w:rsid w:val="00AF490F"/>
    <w:rsid w:val="00AF492E"/>
    <w:rsid w:val="00AF4BC2"/>
    <w:rsid w:val="00AF4ED4"/>
    <w:rsid w:val="00AF515E"/>
    <w:rsid w:val="00AF639F"/>
    <w:rsid w:val="00AF6B34"/>
    <w:rsid w:val="00AF7576"/>
    <w:rsid w:val="00AF787F"/>
    <w:rsid w:val="00AF7A9C"/>
    <w:rsid w:val="00AF7B42"/>
    <w:rsid w:val="00AF7EC5"/>
    <w:rsid w:val="00B000B5"/>
    <w:rsid w:val="00B00234"/>
    <w:rsid w:val="00B005A0"/>
    <w:rsid w:val="00B00E31"/>
    <w:rsid w:val="00B010A8"/>
    <w:rsid w:val="00B0132E"/>
    <w:rsid w:val="00B01460"/>
    <w:rsid w:val="00B015CD"/>
    <w:rsid w:val="00B016BF"/>
    <w:rsid w:val="00B0179F"/>
    <w:rsid w:val="00B01880"/>
    <w:rsid w:val="00B01986"/>
    <w:rsid w:val="00B01C1D"/>
    <w:rsid w:val="00B01C7E"/>
    <w:rsid w:val="00B025F9"/>
    <w:rsid w:val="00B02DD1"/>
    <w:rsid w:val="00B03093"/>
    <w:rsid w:val="00B03277"/>
    <w:rsid w:val="00B0348D"/>
    <w:rsid w:val="00B03798"/>
    <w:rsid w:val="00B03DD6"/>
    <w:rsid w:val="00B045FA"/>
    <w:rsid w:val="00B046C2"/>
    <w:rsid w:val="00B04C3E"/>
    <w:rsid w:val="00B04D21"/>
    <w:rsid w:val="00B05478"/>
    <w:rsid w:val="00B05A3C"/>
    <w:rsid w:val="00B05BD5"/>
    <w:rsid w:val="00B0687A"/>
    <w:rsid w:val="00B06AB7"/>
    <w:rsid w:val="00B06BE6"/>
    <w:rsid w:val="00B06E68"/>
    <w:rsid w:val="00B07259"/>
    <w:rsid w:val="00B07380"/>
    <w:rsid w:val="00B07D2C"/>
    <w:rsid w:val="00B10556"/>
    <w:rsid w:val="00B10B85"/>
    <w:rsid w:val="00B10C55"/>
    <w:rsid w:val="00B11365"/>
    <w:rsid w:val="00B12834"/>
    <w:rsid w:val="00B12B11"/>
    <w:rsid w:val="00B12EEF"/>
    <w:rsid w:val="00B13B99"/>
    <w:rsid w:val="00B14228"/>
    <w:rsid w:val="00B152AF"/>
    <w:rsid w:val="00B15331"/>
    <w:rsid w:val="00B154BD"/>
    <w:rsid w:val="00B15894"/>
    <w:rsid w:val="00B15D6D"/>
    <w:rsid w:val="00B16F55"/>
    <w:rsid w:val="00B17BC9"/>
    <w:rsid w:val="00B17DC0"/>
    <w:rsid w:val="00B20450"/>
    <w:rsid w:val="00B207B2"/>
    <w:rsid w:val="00B208E8"/>
    <w:rsid w:val="00B209D8"/>
    <w:rsid w:val="00B20D9D"/>
    <w:rsid w:val="00B20FCC"/>
    <w:rsid w:val="00B216CC"/>
    <w:rsid w:val="00B21FF9"/>
    <w:rsid w:val="00B220ED"/>
    <w:rsid w:val="00B222AE"/>
    <w:rsid w:val="00B22ADA"/>
    <w:rsid w:val="00B22B7E"/>
    <w:rsid w:val="00B230E8"/>
    <w:rsid w:val="00B23145"/>
    <w:rsid w:val="00B237D8"/>
    <w:rsid w:val="00B23FB7"/>
    <w:rsid w:val="00B241B4"/>
    <w:rsid w:val="00B245CB"/>
    <w:rsid w:val="00B24FDE"/>
    <w:rsid w:val="00B2551A"/>
    <w:rsid w:val="00B2596A"/>
    <w:rsid w:val="00B259B7"/>
    <w:rsid w:val="00B25CEC"/>
    <w:rsid w:val="00B25D9E"/>
    <w:rsid w:val="00B25E9E"/>
    <w:rsid w:val="00B26C69"/>
    <w:rsid w:val="00B26EC5"/>
    <w:rsid w:val="00B26FD1"/>
    <w:rsid w:val="00B27055"/>
    <w:rsid w:val="00B2786C"/>
    <w:rsid w:val="00B27D5E"/>
    <w:rsid w:val="00B27FFE"/>
    <w:rsid w:val="00B3090E"/>
    <w:rsid w:val="00B310CC"/>
    <w:rsid w:val="00B3122F"/>
    <w:rsid w:val="00B31351"/>
    <w:rsid w:val="00B3153D"/>
    <w:rsid w:val="00B31598"/>
    <w:rsid w:val="00B31858"/>
    <w:rsid w:val="00B31C1A"/>
    <w:rsid w:val="00B31C1D"/>
    <w:rsid w:val="00B31FFF"/>
    <w:rsid w:val="00B32414"/>
    <w:rsid w:val="00B32583"/>
    <w:rsid w:val="00B326EB"/>
    <w:rsid w:val="00B3287C"/>
    <w:rsid w:val="00B32889"/>
    <w:rsid w:val="00B32A4C"/>
    <w:rsid w:val="00B32F75"/>
    <w:rsid w:val="00B33138"/>
    <w:rsid w:val="00B33808"/>
    <w:rsid w:val="00B33925"/>
    <w:rsid w:val="00B33983"/>
    <w:rsid w:val="00B343AE"/>
    <w:rsid w:val="00B353A3"/>
    <w:rsid w:val="00B354C9"/>
    <w:rsid w:val="00B3581B"/>
    <w:rsid w:val="00B3583B"/>
    <w:rsid w:val="00B35A96"/>
    <w:rsid w:val="00B35E0D"/>
    <w:rsid w:val="00B36132"/>
    <w:rsid w:val="00B3637F"/>
    <w:rsid w:val="00B36525"/>
    <w:rsid w:val="00B368FE"/>
    <w:rsid w:val="00B36C62"/>
    <w:rsid w:val="00B376D3"/>
    <w:rsid w:val="00B3799A"/>
    <w:rsid w:val="00B379FD"/>
    <w:rsid w:val="00B37A8F"/>
    <w:rsid w:val="00B37E16"/>
    <w:rsid w:val="00B400FE"/>
    <w:rsid w:val="00B4056A"/>
    <w:rsid w:val="00B408AB"/>
    <w:rsid w:val="00B41359"/>
    <w:rsid w:val="00B41371"/>
    <w:rsid w:val="00B41446"/>
    <w:rsid w:val="00B416DB"/>
    <w:rsid w:val="00B41C6B"/>
    <w:rsid w:val="00B41E7E"/>
    <w:rsid w:val="00B41F23"/>
    <w:rsid w:val="00B41FFF"/>
    <w:rsid w:val="00B42163"/>
    <w:rsid w:val="00B428CE"/>
    <w:rsid w:val="00B42A00"/>
    <w:rsid w:val="00B42A0E"/>
    <w:rsid w:val="00B42B5B"/>
    <w:rsid w:val="00B434AC"/>
    <w:rsid w:val="00B4374F"/>
    <w:rsid w:val="00B4389A"/>
    <w:rsid w:val="00B43DD4"/>
    <w:rsid w:val="00B4465E"/>
    <w:rsid w:val="00B446A3"/>
    <w:rsid w:val="00B447D1"/>
    <w:rsid w:val="00B44831"/>
    <w:rsid w:val="00B45210"/>
    <w:rsid w:val="00B456C9"/>
    <w:rsid w:val="00B45920"/>
    <w:rsid w:val="00B45B65"/>
    <w:rsid w:val="00B45C34"/>
    <w:rsid w:val="00B45F39"/>
    <w:rsid w:val="00B46690"/>
    <w:rsid w:val="00B46A6F"/>
    <w:rsid w:val="00B4728A"/>
    <w:rsid w:val="00B47B13"/>
    <w:rsid w:val="00B47BB4"/>
    <w:rsid w:val="00B50210"/>
    <w:rsid w:val="00B50369"/>
    <w:rsid w:val="00B50639"/>
    <w:rsid w:val="00B509D1"/>
    <w:rsid w:val="00B509D5"/>
    <w:rsid w:val="00B50C2F"/>
    <w:rsid w:val="00B50D8E"/>
    <w:rsid w:val="00B51576"/>
    <w:rsid w:val="00B5157A"/>
    <w:rsid w:val="00B51678"/>
    <w:rsid w:val="00B5175D"/>
    <w:rsid w:val="00B51EFF"/>
    <w:rsid w:val="00B520D4"/>
    <w:rsid w:val="00B524F0"/>
    <w:rsid w:val="00B528EA"/>
    <w:rsid w:val="00B53717"/>
    <w:rsid w:val="00B53B33"/>
    <w:rsid w:val="00B540A8"/>
    <w:rsid w:val="00B543C8"/>
    <w:rsid w:val="00B545BE"/>
    <w:rsid w:val="00B5460A"/>
    <w:rsid w:val="00B54C6C"/>
    <w:rsid w:val="00B55088"/>
    <w:rsid w:val="00B55817"/>
    <w:rsid w:val="00B55830"/>
    <w:rsid w:val="00B55950"/>
    <w:rsid w:val="00B55B07"/>
    <w:rsid w:val="00B55CF3"/>
    <w:rsid w:val="00B55DF7"/>
    <w:rsid w:val="00B56F2A"/>
    <w:rsid w:val="00B570C9"/>
    <w:rsid w:val="00B5763B"/>
    <w:rsid w:val="00B576E0"/>
    <w:rsid w:val="00B5772A"/>
    <w:rsid w:val="00B579E0"/>
    <w:rsid w:val="00B57B84"/>
    <w:rsid w:val="00B57DFB"/>
    <w:rsid w:val="00B601C4"/>
    <w:rsid w:val="00B61357"/>
    <w:rsid w:val="00B61560"/>
    <w:rsid w:val="00B61629"/>
    <w:rsid w:val="00B61724"/>
    <w:rsid w:val="00B619E0"/>
    <w:rsid w:val="00B61A09"/>
    <w:rsid w:val="00B61B33"/>
    <w:rsid w:val="00B61BB4"/>
    <w:rsid w:val="00B623AF"/>
    <w:rsid w:val="00B6271C"/>
    <w:rsid w:val="00B62B1F"/>
    <w:rsid w:val="00B62BD9"/>
    <w:rsid w:val="00B62CB2"/>
    <w:rsid w:val="00B6327E"/>
    <w:rsid w:val="00B632A5"/>
    <w:rsid w:val="00B63960"/>
    <w:rsid w:val="00B63F37"/>
    <w:rsid w:val="00B6496B"/>
    <w:rsid w:val="00B64C51"/>
    <w:rsid w:val="00B64CD8"/>
    <w:rsid w:val="00B64CE2"/>
    <w:rsid w:val="00B64CFC"/>
    <w:rsid w:val="00B64DBD"/>
    <w:rsid w:val="00B6514D"/>
    <w:rsid w:val="00B6532D"/>
    <w:rsid w:val="00B65347"/>
    <w:rsid w:val="00B65B2D"/>
    <w:rsid w:val="00B65DE1"/>
    <w:rsid w:val="00B66086"/>
    <w:rsid w:val="00B661A9"/>
    <w:rsid w:val="00B66328"/>
    <w:rsid w:val="00B6636C"/>
    <w:rsid w:val="00B66495"/>
    <w:rsid w:val="00B66601"/>
    <w:rsid w:val="00B66B46"/>
    <w:rsid w:val="00B66C0A"/>
    <w:rsid w:val="00B673B5"/>
    <w:rsid w:val="00B67799"/>
    <w:rsid w:val="00B703B2"/>
    <w:rsid w:val="00B70DBF"/>
    <w:rsid w:val="00B70DD6"/>
    <w:rsid w:val="00B71A55"/>
    <w:rsid w:val="00B71C20"/>
    <w:rsid w:val="00B73066"/>
    <w:rsid w:val="00B73F20"/>
    <w:rsid w:val="00B741D1"/>
    <w:rsid w:val="00B74337"/>
    <w:rsid w:val="00B747B6"/>
    <w:rsid w:val="00B74A7E"/>
    <w:rsid w:val="00B74D51"/>
    <w:rsid w:val="00B75A7C"/>
    <w:rsid w:val="00B76324"/>
    <w:rsid w:val="00B7670B"/>
    <w:rsid w:val="00B772F4"/>
    <w:rsid w:val="00B7789D"/>
    <w:rsid w:val="00B77F13"/>
    <w:rsid w:val="00B804EB"/>
    <w:rsid w:val="00B80B47"/>
    <w:rsid w:val="00B80B6D"/>
    <w:rsid w:val="00B80CAD"/>
    <w:rsid w:val="00B80E73"/>
    <w:rsid w:val="00B81266"/>
    <w:rsid w:val="00B81693"/>
    <w:rsid w:val="00B81D3E"/>
    <w:rsid w:val="00B81D7F"/>
    <w:rsid w:val="00B81EEF"/>
    <w:rsid w:val="00B82158"/>
    <w:rsid w:val="00B828CB"/>
    <w:rsid w:val="00B82C40"/>
    <w:rsid w:val="00B83032"/>
    <w:rsid w:val="00B83D2F"/>
    <w:rsid w:val="00B83D37"/>
    <w:rsid w:val="00B83F12"/>
    <w:rsid w:val="00B84015"/>
    <w:rsid w:val="00B84472"/>
    <w:rsid w:val="00B8450A"/>
    <w:rsid w:val="00B845BB"/>
    <w:rsid w:val="00B84CF1"/>
    <w:rsid w:val="00B85E77"/>
    <w:rsid w:val="00B866BE"/>
    <w:rsid w:val="00B86737"/>
    <w:rsid w:val="00B86A43"/>
    <w:rsid w:val="00B86BA2"/>
    <w:rsid w:val="00B871BB"/>
    <w:rsid w:val="00B872D7"/>
    <w:rsid w:val="00B87706"/>
    <w:rsid w:val="00B8778E"/>
    <w:rsid w:val="00B87927"/>
    <w:rsid w:val="00B879DA"/>
    <w:rsid w:val="00B87B02"/>
    <w:rsid w:val="00B87BC1"/>
    <w:rsid w:val="00B9031F"/>
    <w:rsid w:val="00B90931"/>
    <w:rsid w:val="00B90D84"/>
    <w:rsid w:val="00B91A3D"/>
    <w:rsid w:val="00B91D97"/>
    <w:rsid w:val="00B91DE2"/>
    <w:rsid w:val="00B92332"/>
    <w:rsid w:val="00B92B11"/>
    <w:rsid w:val="00B92DAD"/>
    <w:rsid w:val="00B92E98"/>
    <w:rsid w:val="00B94CAF"/>
    <w:rsid w:val="00B94DAD"/>
    <w:rsid w:val="00B95250"/>
    <w:rsid w:val="00B95555"/>
    <w:rsid w:val="00B95A8E"/>
    <w:rsid w:val="00B960BB"/>
    <w:rsid w:val="00B9619D"/>
    <w:rsid w:val="00B962A4"/>
    <w:rsid w:val="00B963E4"/>
    <w:rsid w:val="00B96572"/>
    <w:rsid w:val="00B972D2"/>
    <w:rsid w:val="00B9789D"/>
    <w:rsid w:val="00B97AC8"/>
    <w:rsid w:val="00BA01F2"/>
    <w:rsid w:val="00BA0429"/>
    <w:rsid w:val="00BA04FB"/>
    <w:rsid w:val="00BA059B"/>
    <w:rsid w:val="00BA063E"/>
    <w:rsid w:val="00BA066D"/>
    <w:rsid w:val="00BA0A85"/>
    <w:rsid w:val="00BA1009"/>
    <w:rsid w:val="00BA15A0"/>
    <w:rsid w:val="00BA1B0E"/>
    <w:rsid w:val="00BA1DD9"/>
    <w:rsid w:val="00BA2062"/>
    <w:rsid w:val="00BA23FB"/>
    <w:rsid w:val="00BA2DC2"/>
    <w:rsid w:val="00BA3257"/>
    <w:rsid w:val="00BA426C"/>
    <w:rsid w:val="00BA44DC"/>
    <w:rsid w:val="00BA50C7"/>
    <w:rsid w:val="00BA56DC"/>
    <w:rsid w:val="00BA594B"/>
    <w:rsid w:val="00BA6350"/>
    <w:rsid w:val="00BA64E3"/>
    <w:rsid w:val="00BA68D6"/>
    <w:rsid w:val="00BA6A7D"/>
    <w:rsid w:val="00BA70E9"/>
    <w:rsid w:val="00BA7497"/>
    <w:rsid w:val="00BB03A6"/>
    <w:rsid w:val="00BB0789"/>
    <w:rsid w:val="00BB13A3"/>
    <w:rsid w:val="00BB1971"/>
    <w:rsid w:val="00BB19F9"/>
    <w:rsid w:val="00BB1B93"/>
    <w:rsid w:val="00BB1E85"/>
    <w:rsid w:val="00BB26A7"/>
    <w:rsid w:val="00BB2995"/>
    <w:rsid w:val="00BB29C8"/>
    <w:rsid w:val="00BB2DF8"/>
    <w:rsid w:val="00BB2F67"/>
    <w:rsid w:val="00BB2FC3"/>
    <w:rsid w:val="00BB30EF"/>
    <w:rsid w:val="00BB30FE"/>
    <w:rsid w:val="00BB314D"/>
    <w:rsid w:val="00BB3159"/>
    <w:rsid w:val="00BB3331"/>
    <w:rsid w:val="00BB3BD4"/>
    <w:rsid w:val="00BB4967"/>
    <w:rsid w:val="00BB4993"/>
    <w:rsid w:val="00BB4C5B"/>
    <w:rsid w:val="00BB50A0"/>
    <w:rsid w:val="00BB5A69"/>
    <w:rsid w:val="00BB5E29"/>
    <w:rsid w:val="00BB5F2E"/>
    <w:rsid w:val="00BB6A6A"/>
    <w:rsid w:val="00BB6AA7"/>
    <w:rsid w:val="00BB712A"/>
    <w:rsid w:val="00BB7438"/>
    <w:rsid w:val="00BB7BCB"/>
    <w:rsid w:val="00BC0536"/>
    <w:rsid w:val="00BC0AAE"/>
    <w:rsid w:val="00BC0D1C"/>
    <w:rsid w:val="00BC0F3C"/>
    <w:rsid w:val="00BC1305"/>
    <w:rsid w:val="00BC1489"/>
    <w:rsid w:val="00BC1616"/>
    <w:rsid w:val="00BC1873"/>
    <w:rsid w:val="00BC1BD4"/>
    <w:rsid w:val="00BC1E14"/>
    <w:rsid w:val="00BC2476"/>
    <w:rsid w:val="00BC293F"/>
    <w:rsid w:val="00BC2D74"/>
    <w:rsid w:val="00BC3984"/>
    <w:rsid w:val="00BC3C6C"/>
    <w:rsid w:val="00BC42DB"/>
    <w:rsid w:val="00BC4626"/>
    <w:rsid w:val="00BC4763"/>
    <w:rsid w:val="00BC51D3"/>
    <w:rsid w:val="00BC557F"/>
    <w:rsid w:val="00BC55FE"/>
    <w:rsid w:val="00BC5CAF"/>
    <w:rsid w:val="00BC5CF3"/>
    <w:rsid w:val="00BC6027"/>
    <w:rsid w:val="00BC663A"/>
    <w:rsid w:val="00BC6803"/>
    <w:rsid w:val="00BC6A1C"/>
    <w:rsid w:val="00BC6AA5"/>
    <w:rsid w:val="00BC6C49"/>
    <w:rsid w:val="00BC6E07"/>
    <w:rsid w:val="00BC7CDF"/>
    <w:rsid w:val="00BD0317"/>
    <w:rsid w:val="00BD06F3"/>
    <w:rsid w:val="00BD0DAB"/>
    <w:rsid w:val="00BD192F"/>
    <w:rsid w:val="00BD1996"/>
    <w:rsid w:val="00BD1F3D"/>
    <w:rsid w:val="00BD242F"/>
    <w:rsid w:val="00BD2612"/>
    <w:rsid w:val="00BD2670"/>
    <w:rsid w:val="00BD26AA"/>
    <w:rsid w:val="00BD2907"/>
    <w:rsid w:val="00BD36AE"/>
    <w:rsid w:val="00BD454F"/>
    <w:rsid w:val="00BD4611"/>
    <w:rsid w:val="00BD49A0"/>
    <w:rsid w:val="00BD4BFF"/>
    <w:rsid w:val="00BD517A"/>
    <w:rsid w:val="00BD5247"/>
    <w:rsid w:val="00BD5451"/>
    <w:rsid w:val="00BD5BBA"/>
    <w:rsid w:val="00BD5DF4"/>
    <w:rsid w:val="00BD6337"/>
    <w:rsid w:val="00BD6B49"/>
    <w:rsid w:val="00BD6BFF"/>
    <w:rsid w:val="00BD7027"/>
    <w:rsid w:val="00BD746D"/>
    <w:rsid w:val="00BD7968"/>
    <w:rsid w:val="00BE0068"/>
    <w:rsid w:val="00BE0654"/>
    <w:rsid w:val="00BE0980"/>
    <w:rsid w:val="00BE0BD0"/>
    <w:rsid w:val="00BE1792"/>
    <w:rsid w:val="00BE239F"/>
    <w:rsid w:val="00BE2F18"/>
    <w:rsid w:val="00BE32CC"/>
    <w:rsid w:val="00BE3599"/>
    <w:rsid w:val="00BE41E5"/>
    <w:rsid w:val="00BE4243"/>
    <w:rsid w:val="00BE4D63"/>
    <w:rsid w:val="00BE522E"/>
    <w:rsid w:val="00BE566A"/>
    <w:rsid w:val="00BE59B7"/>
    <w:rsid w:val="00BE5AAA"/>
    <w:rsid w:val="00BE5C5C"/>
    <w:rsid w:val="00BE649E"/>
    <w:rsid w:val="00BE65F6"/>
    <w:rsid w:val="00BE68D3"/>
    <w:rsid w:val="00BE68FA"/>
    <w:rsid w:val="00BE691A"/>
    <w:rsid w:val="00BE6B1A"/>
    <w:rsid w:val="00BE6B5F"/>
    <w:rsid w:val="00BE7B80"/>
    <w:rsid w:val="00BF0233"/>
    <w:rsid w:val="00BF0316"/>
    <w:rsid w:val="00BF0F28"/>
    <w:rsid w:val="00BF0FE3"/>
    <w:rsid w:val="00BF104B"/>
    <w:rsid w:val="00BF11F7"/>
    <w:rsid w:val="00BF1333"/>
    <w:rsid w:val="00BF17A4"/>
    <w:rsid w:val="00BF1844"/>
    <w:rsid w:val="00BF1923"/>
    <w:rsid w:val="00BF1C1B"/>
    <w:rsid w:val="00BF26D0"/>
    <w:rsid w:val="00BF309D"/>
    <w:rsid w:val="00BF37FB"/>
    <w:rsid w:val="00BF3865"/>
    <w:rsid w:val="00BF3906"/>
    <w:rsid w:val="00BF3980"/>
    <w:rsid w:val="00BF3C3D"/>
    <w:rsid w:val="00BF3F5F"/>
    <w:rsid w:val="00BF4242"/>
    <w:rsid w:val="00BF486F"/>
    <w:rsid w:val="00BF48FA"/>
    <w:rsid w:val="00BF4E19"/>
    <w:rsid w:val="00BF594F"/>
    <w:rsid w:val="00BF5D79"/>
    <w:rsid w:val="00BF5F3C"/>
    <w:rsid w:val="00BF6279"/>
    <w:rsid w:val="00BF645F"/>
    <w:rsid w:val="00BF6FDD"/>
    <w:rsid w:val="00BF724A"/>
    <w:rsid w:val="00BF7540"/>
    <w:rsid w:val="00BF7DC6"/>
    <w:rsid w:val="00C00127"/>
    <w:rsid w:val="00C0046F"/>
    <w:rsid w:val="00C008E4"/>
    <w:rsid w:val="00C00B52"/>
    <w:rsid w:val="00C013C5"/>
    <w:rsid w:val="00C016A6"/>
    <w:rsid w:val="00C01DCC"/>
    <w:rsid w:val="00C01FE5"/>
    <w:rsid w:val="00C02301"/>
    <w:rsid w:val="00C0239C"/>
    <w:rsid w:val="00C02EF6"/>
    <w:rsid w:val="00C03E70"/>
    <w:rsid w:val="00C03F97"/>
    <w:rsid w:val="00C0459D"/>
    <w:rsid w:val="00C04785"/>
    <w:rsid w:val="00C04AD2"/>
    <w:rsid w:val="00C04B82"/>
    <w:rsid w:val="00C04D62"/>
    <w:rsid w:val="00C04FA6"/>
    <w:rsid w:val="00C050C4"/>
    <w:rsid w:val="00C050FD"/>
    <w:rsid w:val="00C051F6"/>
    <w:rsid w:val="00C05362"/>
    <w:rsid w:val="00C0558D"/>
    <w:rsid w:val="00C0573B"/>
    <w:rsid w:val="00C05877"/>
    <w:rsid w:val="00C0597F"/>
    <w:rsid w:val="00C059B5"/>
    <w:rsid w:val="00C05BDA"/>
    <w:rsid w:val="00C05F98"/>
    <w:rsid w:val="00C060FA"/>
    <w:rsid w:val="00C0619E"/>
    <w:rsid w:val="00C0624D"/>
    <w:rsid w:val="00C06543"/>
    <w:rsid w:val="00C07852"/>
    <w:rsid w:val="00C10091"/>
    <w:rsid w:val="00C10243"/>
    <w:rsid w:val="00C10949"/>
    <w:rsid w:val="00C10BB1"/>
    <w:rsid w:val="00C10C54"/>
    <w:rsid w:val="00C10CDA"/>
    <w:rsid w:val="00C11351"/>
    <w:rsid w:val="00C1185D"/>
    <w:rsid w:val="00C11895"/>
    <w:rsid w:val="00C11B4F"/>
    <w:rsid w:val="00C11DBD"/>
    <w:rsid w:val="00C12030"/>
    <w:rsid w:val="00C12DF8"/>
    <w:rsid w:val="00C13319"/>
    <w:rsid w:val="00C13732"/>
    <w:rsid w:val="00C13B77"/>
    <w:rsid w:val="00C13D2A"/>
    <w:rsid w:val="00C14982"/>
    <w:rsid w:val="00C14DFC"/>
    <w:rsid w:val="00C154A9"/>
    <w:rsid w:val="00C1551C"/>
    <w:rsid w:val="00C15902"/>
    <w:rsid w:val="00C15EB5"/>
    <w:rsid w:val="00C15F28"/>
    <w:rsid w:val="00C16B73"/>
    <w:rsid w:val="00C16C18"/>
    <w:rsid w:val="00C17447"/>
    <w:rsid w:val="00C202B3"/>
    <w:rsid w:val="00C21250"/>
    <w:rsid w:val="00C21BB2"/>
    <w:rsid w:val="00C21EE0"/>
    <w:rsid w:val="00C227E1"/>
    <w:rsid w:val="00C22EE9"/>
    <w:rsid w:val="00C22FEB"/>
    <w:rsid w:val="00C23551"/>
    <w:rsid w:val="00C240CD"/>
    <w:rsid w:val="00C240F8"/>
    <w:rsid w:val="00C247A1"/>
    <w:rsid w:val="00C24CF8"/>
    <w:rsid w:val="00C2519B"/>
    <w:rsid w:val="00C25E72"/>
    <w:rsid w:val="00C26070"/>
    <w:rsid w:val="00C26450"/>
    <w:rsid w:val="00C26BF8"/>
    <w:rsid w:val="00C26E3C"/>
    <w:rsid w:val="00C270F5"/>
    <w:rsid w:val="00C2716F"/>
    <w:rsid w:val="00C2772D"/>
    <w:rsid w:val="00C278CF"/>
    <w:rsid w:val="00C27974"/>
    <w:rsid w:val="00C30297"/>
    <w:rsid w:val="00C3031A"/>
    <w:rsid w:val="00C304F5"/>
    <w:rsid w:val="00C30932"/>
    <w:rsid w:val="00C30AF3"/>
    <w:rsid w:val="00C30DF9"/>
    <w:rsid w:val="00C3107F"/>
    <w:rsid w:val="00C313FC"/>
    <w:rsid w:val="00C3158D"/>
    <w:rsid w:val="00C31B29"/>
    <w:rsid w:val="00C32043"/>
    <w:rsid w:val="00C326BD"/>
    <w:rsid w:val="00C33011"/>
    <w:rsid w:val="00C33096"/>
    <w:rsid w:val="00C330FD"/>
    <w:rsid w:val="00C334C5"/>
    <w:rsid w:val="00C33F94"/>
    <w:rsid w:val="00C341F4"/>
    <w:rsid w:val="00C349AA"/>
    <w:rsid w:val="00C34EF5"/>
    <w:rsid w:val="00C34FEA"/>
    <w:rsid w:val="00C3537D"/>
    <w:rsid w:val="00C358B9"/>
    <w:rsid w:val="00C35A2D"/>
    <w:rsid w:val="00C35E60"/>
    <w:rsid w:val="00C36203"/>
    <w:rsid w:val="00C366CF"/>
    <w:rsid w:val="00C37521"/>
    <w:rsid w:val="00C3763C"/>
    <w:rsid w:val="00C37681"/>
    <w:rsid w:val="00C3770D"/>
    <w:rsid w:val="00C378A7"/>
    <w:rsid w:val="00C405AF"/>
    <w:rsid w:val="00C40982"/>
    <w:rsid w:val="00C40ABF"/>
    <w:rsid w:val="00C4111B"/>
    <w:rsid w:val="00C41AE7"/>
    <w:rsid w:val="00C41B2A"/>
    <w:rsid w:val="00C41C8B"/>
    <w:rsid w:val="00C41FFD"/>
    <w:rsid w:val="00C420EC"/>
    <w:rsid w:val="00C42468"/>
    <w:rsid w:val="00C424D7"/>
    <w:rsid w:val="00C43601"/>
    <w:rsid w:val="00C43697"/>
    <w:rsid w:val="00C43D57"/>
    <w:rsid w:val="00C43D7D"/>
    <w:rsid w:val="00C43F78"/>
    <w:rsid w:val="00C446F8"/>
    <w:rsid w:val="00C449DF"/>
    <w:rsid w:val="00C44BAD"/>
    <w:rsid w:val="00C451EB"/>
    <w:rsid w:val="00C451F7"/>
    <w:rsid w:val="00C459B7"/>
    <w:rsid w:val="00C46200"/>
    <w:rsid w:val="00C46472"/>
    <w:rsid w:val="00C4676D"/>
    <w:rsid w:val="00C4684A"/>
    <w:rsid w:val="00C46A92"/>
    <w:rsid w:val="00C46E03"/>
    <w:rsid w:val="00C46F40"/>
    <w:rsid w:val="00C47005"/>
    <w:rsid w:val="00C47180"/>
    <w:rsid w:val="00C475DD"/>
    <w:rsid w:val="00C47B23"/>
    <w:rsid w:val="00C47C10"/>
    <w:rsid w:val="00C47E0C"/>
    <w:rsid w:val="00C501F8"/>
    <w:rsid w:val="00C505A7"/>
    <w:rsid w:val="00C51051"/>
    <w:rsid w:val="00C5202D"/>
    <w:rsid w:val="00C52ADD"/>
    <w:rsid w:val="00C52E8B"/>
    <w:rsid w:val="00C5328F"/>
    <w:rsid w:val="00C534D4"/>
    <w:rsid w:val="00C5398D"/>
    <w:rsid w:val="00C539C3"/>
    <w:rsid w:val="00C53CA6"/>
    <w:rsid w:val="00C53F61"/>
    <w:rsid w:val="00C54876"/>
    <w:rsid w:val="00C54B77"/>
    <w:rsid w:val="00C5546F"/>
    <w:rsid w:val="00C554F0"/>
    <w:rsid w:val="00C554F6"/>
    <w:rsid w:val="00C560BD"/>
    <w:rsid w:val="00C56190"/>
    <w:rsid w:val="00C56245"/>
    <w:rsid w:val="00C56734"/>
    <w:rsid w:val="00C56797"/>
    <w:rsid w:val="00C56E6C"/>
    <w:rsid w:val="00C572AD"/>
    <w:rsid w:val="00C573DD"/>
    <w:rsid w:val="00C574C6"/>
    <w:rsid w:val="00C57602"/>
    <w:rsid w:val="00C57BD4"/>
    <w:rsid w:val="00C57C12"/>
    <w:rsid w:val="00C57C8B"/>
    <w:rsid w:val="00C57FED"/>
    <w:rsid w:val="00C60139"/>
    <w:rsid w:val="00C6092A"/>
    <w:rsid w:val="00C60B73"/>
    <w:rsid w:val="00C60E60"/>
    <w:rsid w:val="00C6158D"/>
    <w:rsid w:val="00C617C6"/>
    <w:rsid w:val="00C619C0"/>
    <w:rsid w:val="00C61FC0"/>
    <w:rsid w:val="00C6207B"/>
    <w:rsid w:val="00C626CB"/>
    <w:rsid w:val="00C6282B"/>
    <w:rsid w:val="00C62DB0"/>
    <w:rsid w:val="00C63243"/>
    <w:rsid w:val="00C638A1"/>
    <w:rsid w:val="00C63CC3"/>
    <w:rsid w:val="00C64A17"/>
    <w:rsid w:val="00C64E16"/>
    <w:rsid w:val="00C65527"/>
    <w:rsid w:val="00C65719"/>
    <w:rsid w:val="00C657E1"/>
    <w:rsid w:val="00C65871"/>
    <w:rsid w:val="00C658D2"/>
    <w:rsid w:val="00C65D2E"/>
    <w:rsid w:val="00C6697A"/>
    <w:rsid w:val="00C66AA3"/>
    <w:rsid w:val="00C66BFA"/>
    <w:rsid w:val="00C67168"/>
    <w:rsid w:val="00C675A9"/>
    <w:rsid w:val="00C706C6"/>
    <w:rsid w:val="00C71848"/>
    <w:rsid w:val="00C718E5"/>
    <w:rsid w:val="00C7192A"/>
    <w:rsid w:val="00C71AAC"/>
    <w:rsid w:val="00C72318"/>
    <w:rsid w:val="00C72459"/>
    <w:rsid w:val="00C724E6"/>
    <w:rsid w:val="00C7276D"/>
    <w:rsid w:val="00C72A28"/>
    <w:rsid w:val="00C72D09"/>
    <w:rsid w:val="00C72E8C"/>
    <w:rsid w:val="00C73074"/>
    <w:rsid w:val="00C73A53"/>
    <w:rsid w:val="00C747A5"/>
    <w:rsid w:val="00C747AF"/>
    <w:rsid w:val="00C747D5"/>
    <w:rsid w:val="00C74D91"/>
    <w:rsid w:val="00C7556A"/>
    <w:rsid w:val="00C759F4"/>
    <w:rsid w:val="00C75ED0"/>
    <w:rsid w:val="00C762A3"/>
    <w:rsid w:val="00C7665B"/>
    <w:rsid w:val="00C76846"/>
    <w:rsid w:val="00C76A30"/>
    <w:rsid w:val="00C771D1"/>
    <w:rsid w:val="00C77480"/>
    <w:rsid w:val="00C7756E"/>
    <w:rsid w:val="00C77AE5"/>
    <w:rsid w:val="00C77C17"/>
    <w:rsid w:val="00C8002D"/>
    <w:rsid w:val="00C80144"/>
    <w:rsid w:val="00C811B1"/>
    <w:rsid w:val="00C814FF"/>
    <w:rsid w:val="00C8168D"/>
    <w:rsid w:val="00C81E89"/>
    <w:rsid w:val="00C822D4"/>
    <w:rsid w:val="00C827E3"/>
    <w:rsid w:val="00C82A59"/>
    <w:rsid w:val="00C82B9C"/>
    <w:rsid w:val="00C82BC3"/>
    <w:rsid w:val="00C82D00"/>
    <w:rsid w:val="00C834F8"/>
    <w:rsid w:val="00C835B9"/>
    <w:rsid w:val="00C83BEC"/>
    <w:rsid w:val="00C83D8D"/>
    <w:rsid w:val="00C83D99"/>
    <w:rsid w:val="00C84098"/>
    <w:rsid w:val="00C841D2"/>
    <w:rsid w:val="00C846C7"/>
    <w:rsid w:val="00C84A03"/>
    <w:rsid w:val="00C84A90"/>
    <w:rsid w:val="00C84D92"/>
    <w:rsid w:val="00C85314"/>
    <w:rsid w:val="00C855A1"/>
    <w:rsid w:val="00C855E8"/>
    <w:rsid w:val="00C86122"/>
    <w:rsid w:val="00C8665A"/>
    <w:rsid w:val="00C86669"/>
    <w:rsid w:val="00C8698E"/>
    <w:rsid w:val="00C87069"/>
    <w:rsid w:val="00C87285"/>
    <w:rsid w:val="00C8791C"/>
    <w:rsid w:val="00C879C2"/>
    <w:rsid w:val="00C87A6B"/>
    <w:rsid w:val="00C90406"/>
    <w:rsid w:val="00C909CD"/>
    <w:rsid w:val="00C90FD9"/>
    <w:rsid w:val="00C91149"/>
    <w:rsid w:val="00C911FC"/>
    <w:rsid w:val="00C91456"/>
    <w:rsid w:val="00C914DB"/>
    <w:rsid w:val="00C92105"/>
    <w:rsid w:val="00C92363"/>
    <w:rsid w:val="00C9286F"/>
    <w:rsid w:val="00C92A8A"/>
    <w:rsid w:val="00C92D8D"/>
    <w:rsid w:val="00C93A6D"/>
    <w:rsid w:val="00C94645"/>
    <w:rsid w:val="00C94B2D"/>
    <w:rsid w:val="00C94B97"/>
    <w:rsid w:val="00C94E03"/>
    <w:rsid w:val="00C94F2A"/>
    <w:rsid w:val="00C95586"/>
    <w:rsid w:val="00C9576F"/>
    <w:rsid w:val="00C95BF9"/>
    <w:rsid w:val="00C96944"/>
    <w:rsid w:val="00C96BA3"/>
    <w:rsid w:val="00C97D83"/>
    <w:rsid w:val="00C97DAD"/>
    <w:rsid w:val="00C97FD8"/>
    <w:rsid w:val="00CA0116"/>
    <w:rsid w:val="00CA0573"/>
    <w:rsid w:val="00CA0677"/>
    <w:rsid w:val="00CA0A80"/>
    <w:rsid w:val="00CA0CBB"/>
    <w:rsid w:val="00CA0DC2"/>
    <w:rsid w:val="00CA1035"/>
    <w:rsid w:val="00CA1F2B"/>
    <w:rsid w:val="00CA2140"/>
    <w:rsid w:val="00CA2258"/>
    <w:rsid w:val="00CA28B0"/>
    <w:rsid w:val="00CA2BF1"/>
    <w:rsid w:val="00CA363B"/>
    <w:rsid w:val="00CA48D7"/>
    <w:rsid w:val="00CA4BC0"/>
    <w:rsid w:val="00CA4BF2"/>
    <w:rsid w:val="00CA53B6"/>
    <w:rsid w:val="00CA59E4"/>
    <w:rsid w:val="00CA5B93"/>
    <w:rsid w:val="00CA5B9B"/>
    <w:rsid w:val="00CA5CA8"/>
    <w:rsid w:val="00CA614A"/>
    <w:rsid w:val="00CA7026"/>
    <w:rsid w:val="00CA7C5B"/>
    <w:rsid w:val="00CA7D6A"/>
    <w:rsid w:val="00CA7E08"/>
    <w:rsid w:val="00CB0157"/>
    <w:rsid w:val="00CB0338"/>
    <w:rsid w:val="00CB0AD4"/>
    <w:rsid w:val="00CB0F40"/>
    <w:rsid w:val="00CB1603"/>
    <w:rsid w:val="00CB173F"/>
    <w:rsid w:val="00CB2211"/>
    <w:rsid w:val="00CB23C1"/>
    <w:rsid w:val="00CB252C"/>
    <w:rsid w:val="00CB2854"/>
    <w:rsid w:val="00CB2E8A"/>
    <w:rsid w:val="00CB2F37"/>
    <w:rsid w:val="00CB2F67"/>
    <w:rsid w:val="00CB364D"/>
    <w:rsid w:val="00CB3AE8"/>
    <w:rsid w:val="00CB45EA"/>
    <w:rsid w:val="00CB473D"/>
    <w:rsid w:val="00CB4AF4"/>
    <w:rsid w:val="00CB5205"/>
    <w:rsid w:val="00CB5308"/>
    <w:rsid w:val="00CB5462"/>
    <w:rsid w:val="00CB598E"/>
    <w:rsid w:val="00CB688E"/>
    <w:rsid w:val="00CB71E6"/>
    <w:rsid w:val="00CB73AC"/>
    <w:rsid w:val="00CB7617"/>
    <w:rsid w:val="00CB79D0"/>
    <w:rsid w:val="00CB7F5C"/>
    <w:rsid w:val="00CC0079"/>
    <w:rsid w:val="00CC0081"/>
    <w:rsid w:val="00CC01B6"/>
    <w:rsid w:val="00CC123E"/>
    <w:rsid w:val="00CC1EA6"/>
    <w:rsid w:val="00CC20FB"/>
    <w:rsid w:val="00CC2628"/>
    <w:rsid w:val="00CC3172"/>
    <w:rsid w:val="00CC31AB"/>
    <w:rsid w:val="00CC32EC"/>
    <w:rsid w:val="00CC3840"/>
    <w:rsid w:val="00CC3A29"/>
    <w:rsid w:val="00CC3C4B"/>
    <w:rsid w:val="00CC3DF3"/>
    <w:rsid w:val="00CC3F01"/>
    <w:rsid w:val="00CC407E"/>
    <w:rsid w:val="00CC41D0"/>
    <w:rsid w:val="00CC435A"/>
    <w:rsid w:val="00CC4A35"/>
    <w:rsid w:val="00CC4C7F"/>
    <w:rsid w:val="00CC544E"/>
    <w:rsid w:val="00CC559D"/>
    <w:rsid w:val="00CC588D"/>
    <w:rsid w:val="00CC5AB1"/>
    <w:rsid w:val="00CC5CDA"/>
    <w:rsid w:val="00CC7457"/>
    <w:rsid w:val="00CC7AF8"/>
    <w:rsid w:val="00CC7B03"/>
    <w:rsid w:val="00CC7C23"/>
    <w:rsid w:val="00CD021F"/>
    <w:rsid w:val="00CD03D0"/>
    <w:rsid w:val="00CD03E9"/>
    <w:rsid w:val="00CD09D6"/>
    <w:rsid w:val="00CD09F7"/>
    <w:rsid w:val="00CD0BB1"/>
    <w:rsid w:val="00CD0D75"/>
    <w:rsid w:val="00CD1663"/>
    <w:rsid w:val="00CD1770"/>
    <w:rsid w:val="00CD17E5"/>
    <w:rsid w:val="00CD18DD"/>
    <w:rsid w:val="00CD19DD"/>
    <w:rsid w:val="00CD1AD6"/>
    <w:rsid w:val="00CD25AF"/>
    <w:rsid w:val="00CD2AB2"/>
    <w:rsid w:val="00CD3908"/>
    <w:rsid w:val="00CD3CB9"/>
    <w:rsid w:val="00CD41BF"/>
    <w:rsid w:val="00CD44B9"/>
    <w:rsid w:val="00CD49F9"/>
    <w:rsid w:val="00CD4D65"/>
    <w:rsid w:val="00CD4F5F"/>
    <w:rsid w:val="00CD55EF"/>
    <w:rsid w:val="00CD562E"/>
    <w:rsid w:val="00CD5858"/>
    <w:rsid w:val="00CD5EA4"/>
    <w:rsid w:val="00CD620F"/>
    <w:rsid w:val="00CD654B"/>
    <w:rsid w:val="00CD675B"/>
    <w:rsid w:val="00CD743F"/>
    <w:rsid w:val="00CD7496"/>
    <w:rsid w:val="00CD78E6"/>
    <w:rsid w:val="00CE0935"/>
    <w:rsid w:val="00CE11B7"/>
    <w:rsid w:val="00CE16FC"/>
    <w:rsid w:val="00CE1959"/>
    <w:rsid w:val="00CE1C6F"/>
    <w:rsid w:val="00CE2082"/>
    <w:rsid w:val="00CE223E"/>
    <w:rsid w:val="00CE25AF"/>
    <w:rsid w:val="00CE28AE"/>
    <w:rsid w:val="00CE2EE0"/>
    <w:rsid w:val="00CE2FC7"/>
    <w:rsid w:val="00CE310C"/>
    <w:rsid w:val="00CE34C3"/>
    <w:rsid w:val="00CE34FA"/>
    <w:rsid w:val="00CE3628"/>
    <w:rsid w:val="00CE3663"/>
    <w:rsid w:val="00CE5339"/>
    <w:rsid w:val="00CE5673"/>
    <w:rsid w:val="00CE5F71"/>
    <w:rsid w:val="00CE5FAE"/>
    <w:rsid w:val="00CE6252"/>
    <w:rsid w:val="00CE7219"/>
    <w:rsid w:val="00CE7796"/>
    <w:rsid w:val="00CE7CAB"/>
    <w:rsid w:val="00CF01BB"/>
    <w:rsid w:val="00CF0706"/>
    <w:rsid w:val="00CF162B"/>
    <w:rsid w:val="00CF16D0"/>
    <w:rsid w:val="00CF18EB"/>
    <w:rsid w:val="00CF1AB7"/>
    <w:rsid w:val="00CF21AD"/>
    <w:rsid w:val="00CF21DD"/>
    <w:rsid w:val="00CF2593"/>
    <w:rsid w:val="00CF2E7D"/>
    <w:rsid w:val="00CF31B7"/>
    <w:rsid w:val="00CF31F3"/>
    <w:rsid w:val="00CF377F"/>
    <w:rsid w:val="00CF382C"/>
    <w:rsid w:val="00CF3928"/>
    <w:rsid w:val="00CF3B96"/>
    <w:rsid w:val="00CF3F0D"/>
    <w:rsid w:val="00CF4035"/>
    <w:rsid w:val="00CF466A"/>
    <w:rsid w:val="00CF4849"/>
    <w:rsid w:val="00CF517B"/>
    <w:rsid w:val="00CF5339"/>
    <w:rsid w:val="00CF570C"/>
    <w:rsid w:val="00CF5D12"/>
    <w:rsid w:val="00CF6F89"/>
    <w:rsid w:val="00CF7018"/>
    <w:rsid w:val="00CF70BC"/>
    <w:rsid w:val="00CF7582"/>
    <w:rsid w:val="00D00B4C"/>
    <w:rsid w:val="00D00B65"/>
    <w:rsid w:val="00D01C55"/>
    <w:rsid w:val="00D01F67"/>
    <w:rsid w:val="00D02163"/>
    <w:rsid w:val="00D02293"/>
    <w:rsid w:val="00D02378"/>
    <w:rsid w:val="00D02BC4"/>
    <w:rsid w:val="00D034D9"/>
    <w:rsid w:val="00D035BC"/>
    <w:rsid w:val="00D03AF7"/>
    <w:rsid w:val="00D0449A"/>
    <w:rsid w:val="00D050BE"/>
    <w:rsid w:val="00D05BFA"/>
    <w:rsid w:val="00D06889"/>
    <w:rsid w:val="00D100FD"/>
    <w:rsid w:val="00D101F7"/>
    <w:rsid w:val="00D10233"/>
    <w:rsid w:val="00D1060C"/>
    <w:rsid w:val="00D1078C"/>
    <w:rsid w:val="00D1088B"/>
    <w:rsid w:val="00D10F5A"/>
    <w:rsid w:val="00D11053"/>
    <w:rsid w:val="00D115D3"/>
    <w:rsid w:val="00D11CFD"/>
    <w:rsid w:val="00D12088"/>
    <w:rsid w:val="00D121C2"/>
    <w:rsid w:val="00D12BB5"/>
    <w:rsid w:val="00D12E11"/>
    <w:rsid w:val="00D12FC0"/>
    <w:rsid w:val="00D13CB8"/>
    <w:rsid w:val="00D13CE4"/>
    <w:rsid w:val="00D13F19"/>
    <w:rsid w:val="00D14011"/>
    <w:rsid w:val="00D14270"/>
    <w:rsid w:val="00D145F5"/>
    <w:rsid w:val="00D14697"/>
    <w:rsid w:val="00D147D0"/>
    <w:rsid w:val="00D14ADC"/>
    <w:rsid w:val="00D15889"/>
    <w:rsid w:val="00D159C6"/>
    <w:rsid w:val="00D15CE4"/>
    <w:rsid w:val="00D15E55"/>
    <w:rsid w:val="00D15F32"/>
    <w:rsid w:val="00D16283"/>
    <w:rsid w:val="00D16508"/>
    <w:rsid w:val="00D16612"/>
    <w:rsid w:val="00D16BD0"/>
    <w:rsid w:val="00D16CE7"/>
    <w:rsid w:val="00D16D95"/>
    <w:rsid w:val="00D16EE1"/>
    <w:rsid w:val="00D1705F"/>
    <w:rsid w:val="00D1770C"/>
    <w:rsid w:val="00D17904"/>
    <w:rsid w:val="00D17A17"/>
    <w:rsid w:val="00D200CA"/>
    <w:rsid w:val="00D203FB"/>
    <w:rsid w:val="00D2073E"/>
    <w:rsid w:val="00D20795"/>
    <w:rsid w:val="00D2094E"/>
    <w:rsid w:val="00D2099B"/>
    <w:rsid w:val="00D20A04"/>
    <w:rsid w:val="00D20AB8"/>
    <w:rsid w:val="00D20CD8"/>
    <w:rsid w:val="00D2128A"/>
    <w:rsid w:val="00D215E4"/>
    <w:rsid w:val="00D218DD"/>
    <w:rsid w:val="00D21C5A"/>
    <w:rsid w:val="00D22523"/>
    <w:rsid w:val="00D225C6"/>
    <w:rsid w:val="00D229CB"/>
    <w:rsid w:val="00D22B26"/>
    <w:rsid w:val="00D22D3A"/>
    <w:rsid w:val="00D22DEE"/>
    <w:rsid w:val="00D22EF2"/>
    <w:rsid w:val="00D2357B"/>
    <w:rsid w:val="00D236CC"/>
    <w:rsid w:val="00D237BD"/>
    <w:rsid w:val="00D239D6"/>
    <w:rsid w:val="00D2413E"/>
    <w:rsid w:val="00D257EC"/>
    <w:rsid w:val="00D25C17"/>
    <w:rsid w:val="00D2681F"/>
    <w:rsid w:val="00D26843"/>
    <w:rsid w:val="00D26925"/>
    <w:rsid w:val="00D26999"/>
    <w:rsid w:val="00D26A2C"/>
    <w:rsid w:val="00D26A3F"/>
    <w:rsid w:val="00D26CD9"/>
    <w:rsid w:val="00D26E7D"/>
    <w:rsid w:val="00D30157"/>
    <w:rsid w:val="00D302C0"/>
    <w:rsid w:val="00D30505"/>
    <w:rsid w:val="00D30D0C"/>
    <w:rsid w:val="00D30DCC"/>
    <w:rsid w:val="00D3138D"/>
    <w:rsid w:val="00D325B8"/>
    <w:rsid w:val="00D325BB"/>
    <w:rsid w:val="00D33329"/>
    <w:rsid w:val="00D3361F"/>
    <w:rsid w:val="00D33F8B"/>
    <w:rsid w:val="00D34135"/>
    <w:rsid w:val="00D34368"/>
    <w:rsid w:val="00D3479B"/>
    <w:rsid w:val="00D34EA4"/>
    <w:rsid w:val="00D35111"/>
    <w:rsid w:val="00D3559C"/>
    <w:rsid w:val="00D355F0"/>
    <w:rsid w:val="00D35BA5"/>
    <w:rsid w:val="00D36693"/>
    <w:rsid w:val="00D36C5F"/>
    <w:rsid w:val="00D37841"/>
    <w:rsid w:val="00D37A8D"/>
    <w:rsid w:val="00D37C39"/>
    <w:rsid w:val="00D37F2C"/>
    <w:rsid w:val="00D406E6"/>
    <w:rsid w:val="00D409F1"/>
    <w:rsid w:val="00D40EAB"/>
    <w:rsid w:val="00D41420"/>
    <w:rsid w:val="00D41B4B"/>
    <w:rsid w:val="00D42C0D"/>
    <w:rsid w:val="00D4327C"/>
    <w:rsid w:val="00D435D2"/>
    <w:rsid w:val="00D43751"/>
    <w:rsid w:val="00D43827"/>
    <w:rsid w:val="00D43829"/>
    <w:rsid w:val="00D43AC8"/>
    <w:rsid w:val="00D44B2C"/>
    <w:rsid w:val="00D45E4E"/>
    <w:rsid w:val="00D460C0"/>
    <w:rsid w:val="00D46BE7"/>
    <w:rsid w:val="00D47139"/>
    <w:rsid w:val="00D47D91"/>
    <w:rsid w:val="00D505A4"/>
    <w:rsid w:val="00D50646"/>
    <w:rsid w:val="00D50D17"/>
    <w:rsid w:val="00D50FB4"/>
    <w:rsid w:val="00D511F7"/>
    <w:rsid w:val="00D5177B"/>
    <w:rsid w:val="00D51949"/>
    <w:rsid w:val="00D51A75"/>
    <w:rsid w:val="00D51BFE"/>
    <w:rsid w:val="00D52187"/>
    <w:rsid w:val="00D5234D"/>
    <w:rsid w:val="00D5259B"/>
    <w:rsid w:val="00D528E6"/>
    <w:rsid w:val="00D52A41"/>
    <w:rsid w:val="00D5387A"/>
    <w:rsid w:val="00D538FD"/>
    <w:rsid w:val="00D53A21"/>
    <w:rsid w:val="00D53E14"/>
    <w:rsid w:val="00D53ED4"/>
    <w:rsid w:val="00D548D3"/>
    <w:rsid w:val="00D54CC9"/>
    <w:rsid w:val="00D54E93"/>
    <w:rsid w:val="00D54F53"/>
    <w:rsid w:val="00D54FEE"/>
    <w:rsid w:val="00D554DB"/>
    <w:rsid w:val="00D56113"/>
    <w:rsid w:val="00D565D1"/>
    <w:rsid w:val="00D56878"/>
    <w:rsid w:val="00D56C94"/>
    <w:rsid w:val="00D5764E"/>
    <w:rsid w:val="00D57BE0"/>
    <w:rsid w:val="00D57F09"/>
    <w:rsid w:val="00D6006C"/>
    <w:rsid w:val="00D600F3"/>
    <w:rsid w:val="00D6011E"/>
    <w:rsid w:val="00D604CA"/>
    <w:rsid w:val="00D60D5D"/>
    <w:rsid w:val="00D61D3D"/>
    <w:rsid w:val="00D6257F"/>
    <w:rsid w:val="00D625E0"/>
    <w:rsid w:val="00D62A24"/>
    <w:rsid w:val="00D62C5D"/>
    <w:rsid w:val="00D630CC"/>
    <w:rsid w:val="00D63173"/>
    <w:rsid w:val="00D632DE"/>
    <w:rsid w:val="00D63334"/>
    <w:rsid w:val="00D638C6"/>
    <w:rsid w:val="00D63EDB"/>
    <w:rsid w:val="00D63EFE"/>
    <w:rsid w:val="00D649E6"/>
    <w:rsid w:val="00D64BF6"/>
    <w:rsid w:val="00D64C4C"/>
    <w:rsid w:val="00D65419"/>
    <w:rsid w:val="00D65808"/>
    <w:rsid w:val="00D65F3A"/>
    <w:rsid w:val="00D66050"/>
    <w:rsid w:val="00D6640F"/>
    <w:rsid w:val="00D66962"/>
    <w:rsid w:val="00D66A0B"/>
    <w:rsid w:val="00D672C2"/>
    <w:rsid w:val="00D67701"/>
    <w:rsid w:val="00D67815"/>
    <w:rsid w:val="00D67B38"/>
    <w:rsid w:val="00D702B2"/>
    <w:rsid w:val="00D7081D"/>
    <w:rsid w:val="00D70A6D"/>
    <w:rsid w:val="00D70DBC"/>
    <w:rsid w:val="00D710B0"/>
    <w:rsid w:val="00D71341"/>
    <w:rsid w:val="00D71B4C"/>
    <w:rsid w:val="00D72038"/>
    <w:rsid w:val="00D722CC"/>
    <w:rsid w:val="00D7237C"/>
    <w:rsid w:val="00D726A4"/>
    <w:rsid w:val="00D7294F"/>
    <w:rsid w:val="00D72F3B"/>
    <w:rsid w:val="00D7303E"/>
    <w:rsid w:val="00D73366"/>
    <w:rsid w:val="00D734C5"/>
    <w:rsid w:val="00D736F8"/>
    <w:rsid w:val="00D738D0"/>
    <w:rsid w:val="00D73EE0"/>
    <w:rsid w:val="00D73F33"/>
    <w:rsid w:val="00D7419B"/>
    <w:rsid w:val="00D741EA"/>
    <w:rsid w:val="00D74734"/>
    <w:rsid w:val="00D74793"/>
    <w:rsid w:val="00D74D13"/>
    <w:rsid w:val="00D74E99"/>
    <w:rsid w:val="00D74F31"/>
    <w:rsid w:val="00D751F8"/>
    <w:rsid w:val="00D75460"/>
    <w:rsid w:val="00D75531"/>
    <w:rsid w:val="00D7575B"/>
    <w:rsid w:val="00D75C2B"/>
    <w:rsid w:val="00D76361"/>
    <w:rsid w:val="00D76674"/>
    <w:rsid w:val="00D7681F"/>
    <w:rsid w:val="00D76C8D"/>
    <w:rsid w:val="00D76D6D"/>
    <w:rsid w:val="00D76D9D"/>
    <w:rsid w:val="00D76F95"/>
    <w:rsid w:val="00D7712F"/>
    <w:rsid w:val="00D7741E"/>
    <w:rsid w:val="00D776AF"/>
    <w:rsid w:val="00D77BC3"/>
    <w:rsid w:val="00D77FF3"/>
    <w:rsid w:val="00D802BF"/>
    <w:rsid w:val="00D80993"/>
    <w:rsid w:val="00D80BB3"/>
    <w:rsid w:val="00D8191A"/>
    <w:rsid w:val="00D81CF4"/>
    <w:rsid w:val="00D82755"/>
    <w:rsid w:val="00D828BD"/>
    <w:rsid w:val="00D82A39"/>
    <w:rsid w:val="00D83091"/>
    <w:rsid w:val="00D830EB"/>
    <w:rsid w:val="00D833D9"/>
    <w:rsid w:val="00D8395F"/>
    <w:rsid w:val="00D839C7"/>
    <w:rsid w:val="00D83B08"/>
    <w:rsid w:val="00D83BD9"/>
    <w:rsid w:val="00D83EA5"/>
    <w:rsid w:val="00D84086"/>
    <w:rsid w:val="00D841A1"/>
    <w:rsid w:val="00D84371"/>
    <w:rsid w:val="00D848EB"/>
    <w:rsid w:val="00D84B70"/>
    <w:rsid w:val="00D8520F"/>
    <w:rsid w:val="00D85CEE"/>
    <w:rsid w:val="00D8651B"/>
    <w:rsid w:val="00D86677"/>
    <w:rsid w:val="00D869B3"/>
    <w:rsid w:val="00D86D4A"/>
    <w:rsid w:val="00D86E26"/>
    <w:rsid w:val="00D86F56"/>
    <w:rsid w:val="00D87222"/>
    <w:rsid w:val="00D874A7"/>
    <w:rsid w:val="00D87901"/>
    <w:rsid w:val="00D87C9D"/>
    <w:rsid w:val="00D87EA2"/>
    <w:rsid w:val="00D90256"/>
    <w:rsid w:val="00D90D3E"/>
    <w:rsid w:val="00D918BA"/>
    <w:rsid w:val="00D91B9C"/>
    <w:rsid w:val="00D920C8"/>
    <w:rsid w:val="00D92A48"/>
    <w:rsid w:val="00D92B05"/>
    <w:rsid w:val="00D9305E"/>
    <w:rsid w:val="00D9388C"/>
    <w:rsid w:val="00D94477"/>
    <w:rsid w:val="00D94844"/>
    <w:rsid w:val="00D9499E"/>
    <w:rsid w:val="00D94C2B"/>
    <w:rsid w:val="00D94DCF"/>
    <w:rsid w:val="00D94EAE"/>
    <w:rsid w:val="00D953C6"/>
    <w:rsid w:val="00D95531"/>
    <w:rsid w:val="00D956A4"/>
    <w:rsid w:val="00D9572F"/>
    <w:rsid w:val="00D9584D"/>
    <w:rsid w:val="00D95A30"/>
    <w:rsid w:val="00D95A43"/>
    <w:rsid w:val="00D95AFA"/>
    <w:rsid w:val="00D95DAD"/>
    <w:rsid w:val="00D9628A"/>
    <w:rsid w:val="00D96D1B"/>
    <w:rsid w:val="00D9705D"/>
    <w:rsid w:val="00D971A6"/>
    <w:rsid w:val="00D974B9"/>
    <w:rsid w:val="00D976C8"/>
    <w:rsid w:val="00D97705"/>
    <w:rsid w:val="00D977C2"/>
    <w:rsid w:val="00DA00AA"/>
    <w:rsid w:val="00DA06AC"/>
    <w:rsid w:val="00DA07CC"/>
    <w:rsid w:val="00DA0B85"/>
    <w:rsid w:val="00DA0E93"/>
    <w:rsid w:val="00DA12AD"/>
    <w:rsid w:val="00DA12D5"/>
    <w:rsid w:val="00DA1639"/>
    <w:rsid w:val="00DA1682"/>
    <w:rsid w:val="00DA176A"/>
    <w:rsid w:val="00DA1815"/>
    <w:rsid w:val="00DA19B9"/>
    <w:rsid w:val="00DA1ED5"/>
    <w:rsid w:val="00DA23BB"/>
    <w:rsid w:val="00DA261C"/>
    <w:rsid w:val="00DA2E29"/>
    <w:rsid w:val="00DA2E7B"/>
    <w:rsid w:val="00DA3295"/>
    <w:rsid w:val="00DA3784"/>
    <w:rsid w:val="00DA3977"/>
    <w:rsid w:val="00DA39BE"/>
    <w:rsid w:val="00DA3EE8"/>
    <w:rsid w:val="00DA4BA0"/>
    <w:rsid w:val="00DA4D27"/>
    <w:rsid w:val="00DA523E"/>
    <w:rsid w:val="00DA55EF"/>
    <w:rsid w:val="00DA5678"/>
    <w:rsid w:val="00DA57C7"/>
    <w:rsid w:val="00DA586F"/>
    <w:rsid w:val="00DA61C4"/>
    <w:rsid w:val="00DA66E4"/>
    <w:rsid w:val="00DA7090"/>
    <w:rsid w:val="00DA73F1"/>
    <w:rsid w:val="00DA74F8"/>
    <w:rsid w:val="00DA7B9A"/>
    <w:rsid w:val="00DA7C17"/>
    <w:rsid w:val="00DA7CE0"/>
    <w:rsid w:val="00DB00B0"/>
    <w:rsid w:val="00DB0274"/>
    <w:rsid w:val="00DB08DA"/>
    <w:rsid w:val="00DB15BA"/>
    <w:rsid w:val="00DB1791"/>
    <w:rsid w:val="00DB2171"/>
    <w:rsid w:val="00DB23E5"/>
    <w:rsid w:val="00DB2599"/>
    <w:rsid w:val="00DB2F0A"/>
    <w:rsid w:val="00DB350C"/>
    <w:rsid w:val="00DB3959"/>
    <w:rsid w:val="00DB3C2C"/>
    <w:rsid w:val="00DB3EE8"/>
    <w:rsid w:val="00DB3F95"/>
    <w:rsid w:val="00DB439D"/>
    <w:rsid w:val="00DB48E7"/>
    <w:rsid w:val="00DB4A1B"/>
    <w:rsid w:val="00DB4A95"/>
    <w:rsid w:val="00DB4F6F"/>
    <w:rsid w:val="00DB5217"/>
    <w:rsid w:val="00DB54A0"/>
    <w:rsid w:val="00DB6120"/>
    <w:rsid w:val="00DB64B7"/>
    <w:rsid w:val="00DB6534"/>
    <w:rsid w:val="00DB6549"/>
    <w:rsid w:val="00DB6DD4"/>
    <w:rsid w:val="00DB6FBD"/>
    <w:rsid w:val="00DB707D"/>
    <w:rsid w:val="00DB73D3"/>
    <w:rsid w:val="00DB77AE"/>
    <w:rsid w:val="00DB7C75"/>
    <w:rsid w:val="00DB7F09"/>
    <w:rsid w:val="00DC00E8"/>
    <w:rsid w:val="00DC0319"/>
    <w:rsid w:val="00DC099B"/>
    <w:rsid w:val="00DC0ED9"/>
    <w:rsid w:val="00DC18F1"/>
    <w:rsid w:val="00DC1C56"/>
    <w:rsid w:val="00DC1D93"/>
    <w:rsid w:val="00DC21AF"/>
    <w:rsid w:val="00DC2301"/>
    <w:rsid w:val="00DC250E"/>
    <w:rsid w:val="00DC2688"/>
    <w:rsid w:val="00DC2834"/>
    <w:rsid w:val="00DC29DD"/>
    <w:rsid w:val="00DC2AB7"/>
    <w:rsid w:val="00DC3735"/>
    <w:rsid w:val="00DC3969"/>
    <w:rsid w:val="00DC44D5"/>
    <w:rsid w:val="00DC45B6"/>
    <w:rsid w:val="00DC45D1"/>
    <w:rsid w:val="00DC4756"/>
    <w:rsid w:val="00DC504A"/>
    <w:rsid w:val="00DC5725"/>
    <w:rsid w:val="00DC57F6"/>
    <w:rsid w:val="00DC5B73"/>
    <w:rsid w:val="00DC5C7F"/>
    <w:rsid w:val="00DC6379"/>
    <w:rsid w:val="00DC64D8"/>
    <w:rsid w:val="00DC64F3"/>
    <w:rsid w:val="00DC65D8"/>
    <w:rsid w:val="00DC6A06"/>
    <w:rsid w:val="00DC70CA"/>
    <w:rsid w:val="00DC7498"/>
    <w:rsid w:val="00DC7655"/>
    <w:rsid w:val="00DC77D6"/>
    <w:rsid w:val="00DD0822"/>
    <w:rsid w:val="00DD0843"/>
    <w:rsid w:val="00DD0E21"/>
    <w:rsid w:val="00DD1142"/>
    <w:rsid w:val="00DD150A"/>
    <w:rsid w:val="00DD197B"/>
    <w:rsid w:val="00DD20A2"/>
    <w:rsid w:val="00DD234E"/>
    <w:rsid w:val="00DD24A1"/>
    <w:rsid w:val="00DD26AC"/>
    <w:rsid w:val="00DD2708"/>
    <w:rsid w:val="00DD2A83"/>
    <w:rsid w:val="00DD2B14"/>
    <w:rsid w:val="00DD3290"/>
    <w:rsid w:val="00DD3516"/>
    <w:rsid w:val="00DD3679"/>
    <w:rsid w:val="00DD39F1"/>
    <w:rsid w:val="00DD3D31"/>
    <w:rsid w:val="00DD4037"/>
    <w:rsid w:val="00DD45A6"/>
    <w:rsid w:val="00DD4651"/>
    <w:rsid w:val="00DD4757"/>
    <w:rsid w:val="00DD4823"/>
    <w:rsid w:val="00DD4B80"/>
    <w:rsid w:val="00DD4E4F"/>
    <w:rsid w:val="00DD4FD3"/>
    <w:rsid w:val="00DD50A4"/>
    <w:rsid w:val="00DD51EE"/>
    <w:rsid w:val="00DD532B"/>
    <w:rsid w:val="00DD5EC5"/>
    <w:rsid w:val="00DD66ED"/>
    <w:rsid w:val="00DD6F0C"/>
    <w:rsid w:val="00DD7319"/>
    <w:rsid w:val="00DD73D4"/>
    <w:rsid w:val="00DE00C5"/>
    <w:rsid w:val="00DE0348"/>
    <w:rsid w:val="00DE039E"/>
    <w:rsid w:val="00DE0550"/>
    <w:rsid w:val="00DE057C"/>
    <w:rsid w:val="00DE15F6"/>
    <w:rsid w:val="00DE1A80"/>
    <w:rsid w:val="00DE1B38"/>
    <w:rsid w:val="00DE1C38"/>
    <w:rsid w:val="00DE1D0C"/>
    <w:rsid w:val="00DE1D49"/>
    <w:rsid w:val="00DE201C"/>
    <w:rsid w:val="00DE2580"/>
    <w:rsid w:val="00DE2A00"/>
    <w:rsid w:val="00DE324E"/>
    <w:rsid w:val="00DE33DA"/>
    <w:rsid w:val="00DE3449"/>
    <w:rsid w:val="00DE38E5"/>
    <w:rsid w:val="00DE3C77"/>
    <w:rsid w:val="00DE450F"/>
    <w:rsid w:val="00DE4BEF"/>
    <w:rsid w:val="00DE4F5B"/>
    <w:rsid w:val="00DE5083"/>
    <w:rsid w:val="00DE5E4F"/>
    <w:rsid w:val="00DE6904"/>
    <w:rsid w:val="00DE73AF"/>
    <w:rsid w:val="00DE74C3"/>
    <w:rsid w:val="00DE7D61"/>
    <w:rsid w:val="00DF0212"/>
    <w:rsid w:val="00DF0277"/>
    <w:rsid w:val="00DF060A"/>
    <w:rsid w:val="00DF0EF4"/>
    <w:rsid w:val="00DF1243"/>
    <w:rsid w:val="00DF1575"/>
    <w:rsid w:val="00DF196E"/>
    <w:rsid w:val="00DF1984"/>
    <w:rsid w:val="00DF1AAB"/>
    <w:rsid w:val="00DF20CC"/>
    <w:rsid w:val="00DF233A"/>
    <w:rsid w:val="00DF2DD3"/>
    <w:rsid w:val="00DF2FD2"/>
    <w:rsid w:val="00DF3089"/>
    <w:rsid w:val="00DF3455"/>
    <w:rsid w:val="00DF3502"/>
    <w:rsid w:val="00DF394A"/>
    <w:rsid w:val="00DF3D04"/>
    <w:rsid w:val="00DF3E3E"/>
    <w:rsid w:val="00DF3E7D"/>
    <w:rsid w:val="00DF4617"/>
    <w:rsid w:val="00DF4839"/>
    <w:rsid w:val="00DF4886"/>
    <w:rsid w:val="00DF561A"/>
    <w:rsid w:val="00DF59CC"/>
    <w:rsid w:val="00DF59E7"/>
    <w:rsid w:val="00DF5AF7"/>
    <w:rsid w:val="00DF5B19"/>
    <w:rsid w:val="00DF68F3"/>
    <w:rsid w:val="00DF6D12"/>
    <w:rsid w:val="00DF6F61"/>
    <w:rsid w:val="00DF7291"/>
    <w:rsid w:val="00DF72D1"/>
    <w:rsid w:val="00DF7586"/>
    <w:rsid w:val="00DF7B96"/>
    <w:rsid w:val="00DF7EB8"/>
    <w:rsid w:val="00DF7F97"/>
    <w:rsid w:val="00E00337"/>
    <w:rsid w:val="00E00AD4"/>
    <w:rsid w:val="00E00B67"/>
    <w:rsid w:val="00E00E58"/>
    <w:rsid w:val="00E0132E"/>
    <w:rsid w:val="00E0199B"/>
    <w:rsid w:val="00E02770"/>
    <w:rsid w:val="00E028F9"/>
    <w:rsid w:val="00E02A38"/>
    <w:rsid w:val="00E02C9C"/>
    <w:rsid w:val="00E031AD"/>
    <w:rsid w:val="00E03C71"/>
    <w:rsid w:val="00E046D2"/>
    <w:rsid w:val="00E05AF6"/>
    <w:rsid w:val="00E05C75"/>
    <w:rsid w:val="00E05CE9"/>
    <w:rsid w:val="00E05E50"/>
    <w:rsid w:val="00E068E9"/>
    <w:rsid w:val="00E07096"/>
    <w:rsid w:val="00E073F6"/>
    <w:rsid w:val="00E074F8"/>
    <w:rsid w:val="00E07906"/>
    <w:rsid w:val="00E0799F"/>
    <w:rsid w:val="00E07A50"/>
    <w:rsid w:val="00E07A56"/>
    <w:rsid w:val="00E07FAF"/>
    <w:rsid w:val="00E101C6"/>
    <w:rsid w:val="00E105B2"/>
    <w:rsid w:val="00E111B3"/>
    <w:rsid w:val="00E116EF"/>
    <w:rsid w:val="00E117EA"/>
    <w:rsid w:val="00E119A0"/>
    <w:rsid w:val="00E11DF4"/>
    <w:rsid w:val="00E1244E"/>
    <w:rsid w:val="00E1287D"/>
    <w:rsid w:val="00E128D2"/>
    <w:rsid w:val="00E128E1"/>
    <w:rsid w:val="00E12A85"/>
    <w:rsid w:val="00E13673"/>
    <w:rsid w:val="00E13DC5"/>
    <w:rsid w:val="00E140BE"/>
    <w:rsid w:val="00E14525"/>
    <w:rsid w:val="00E15096"/>
    <w:rsid w:val="00E15B00"/>
    <w:rsid w:val="00E15C4C"/>
    <w:rsid w:val="00E16392"/>
    <w:rsid w:val="00E16410"/>
    <w:rsid w:val="00E1678D"/>
    <w:rsid w:val="00E16C75"/>
    <w:rsid w:val="00E16E74"/>
    <w:rsid w:val="00E17259"/>
    <w:rsid w:val="00E172FE"/>
    <w:rsid w:val="00E174D2"/>
    <w:rsid w:val="00E17E19"/>
    <w:rsid w:val="00E201C2"/>
    <w:rsid w:val="00E202DB"/>
    <w:rsid w:val="00E20679"/>
    <w:rsid w:val="00E20723"/>
    <w:rsid w:val="00E207EC"/>
    <w:rsid w:val="00E20D38"/>
    <w:rsid w:val="00E20DB3"/>
    <w:rsid w:val="00E20F70"/>
    <w:rsid w:val="00E2140B"/>
    <w:rsid w:val="00E21696"/>
    <w:rsid w:val="00E21B80"/>
    <w:rsid w:val="00E21C25"/>
    <w:rsid w:val="00E21F86"/>
    <w:rsid w:val="00E22427"/>
    <w:rsid w:val="00E226A7"/>
    <w:rsid w:val="00E22731"/>
    <w:rsid w:val="00E22965"/>
    <w:rsid w:val="00E2298F"/>
    <w:rsid w:val="00E22C67"/>
    <w:rsid w:val="00E22D51"/>
    <w:rsid w:val="00E230AF"/>
    <w:rsid w:val="00E23A2A"/>
    <w:rsid w:val="00E23C9E"/>
    <w:rsid w:val="00E243C8"/>
    <w:rsid w:val="00E2472C"/>
    <w:rsid w:val="00E24820"/>
    <w:rsid w:val="00E24A7F"/>
    <w:rsid w:val="00E250CE"/>
    <w:rsid w:val="00E25213"/>
    <w:rsid w:val="00E25DB7"/>
    <w:rsid w:val="00E27213"/>
    <w:rsid w:val="00E276B1"/>
    <w:rsid w:val="00E27A03"/>
    <w:rsid w:val="00E27B34"/>
    <w:rsid w:val="00E27B6C"/>
    <w:rsid w:val="00E301E8"/>
    <w:rsid w:val="00E3033E"/>
    <w:rsid w:val="00E30531"/>
    <w:rsid w:val="00E305F7"/>
    <w:rsid w:val="00E305FF"/>
    <w:rsid w:val="00E306E8"/>
    <w:rsid w:val="00E30F59"/>
    <w:rsid w:val="00E30F65"/>
    <w:rsid w:val="00E31B6E"/>
    <w:rsid w:val="00E322A7"/>
    <w:rsid w:val="00E3238A"/>
    <w:rsid w:val="00E32622"/>
    <w:rsid w:val="00E32BB0"/>
    <w:rsid w:val="00E32FE2"/>
    <w:rsid w:val="00E33447"/>
    <w:rsid w:val="00E342C9"/>
    <w:rsid w:val="00E34A7D"/>
    <w:rsid w:val="00E354A5"/>
    <w:rsid w:val="00E35EEC"/>
    <w:rsid w:val="00E3639B"/>
    <w:rsid w:val="00E364BC"/>
    <w:rsid w:val="00E36CBC"/>
    <w:rsid w:val="00E37A89"/>
    <w:rsid w:val="00E37C4A"/>
    <w:rsid w:val="00E37DC5"/>
    <w:rsid w:val="00E400A3"/>
    <w:rsid w:val="00E4014F"/>
    <w:rsid w:val="00E40372"/>
    <w:rsid w:val="00E40596"/>
    <w:rsid w:val="00E4077D"/>
    <w:rsid w:val="00E40830"/>
    <w:rsid w:val="00E40A2E"/>
    <w:rsid w:val="00E40AB4"/>
    <w:rsid w:val="00E40AC8"/>
    <w:rsid w:val="00E40BE5"/>
    <w:rsid w:val="00E413F6"/>
    <w:rsid w:val="00E41BA5"/>
    <w:rsid w:val="00E42AA5"/>
    <w:rsid w:val="00E42AEF"/>
    <w:rsid w:val="00E42B0F"/>
    <w:rsid w:val="00E43286"/>
    <w:rsid w:val="00E43787"/>
    <w:rsid w:val="00E43884"/>
    <w:rsid w:val="00E43B67"/>
    <w:rsid w:val="00E442ED"/>
    <w:rsid w:val="00E44331"/>
    <w:rsid w:val="00E44455"/>
    <w:rsid w:val="00E449BD"/>
    <w:rsid w:val="00E44CCC"/>
    <w:rsid w:val="00E4545D"/>
    <w:rsid w:val="00E45AF4"/>
    <w:rsid w:val="00E45C91"/>
    <w:rsid w:val="00E45EF7"/>
    <w:rsid w:val="00E464E2"/>
    <w:rsid w:val="00E46E2C"/>
    <w:rsid w:val="00E46EA1"/>
    <w:rsid w:val="00E471F3"/>
    <w:rsid w:val="00E5062B"/>
    <w:rsid w:val="00E50E7C"/>
    <w:rsid w:val="00E51545"/>
    <w:rsid w:val="00E51C14"/>
    <w:rsid w:val="00E51D9E"/>
    <w:rsid w:val="00E51E74"/>
    <w:rsid w:val="00E52042"/>
    <w:rsid w:val="00E52B4F"/>
    <w:rsid w:val="00E52DD1"/>
    <w:rsid w:val="00E52EF1"/>
    <w:rsid w:val="00E52F29"/>
    <w:rsid w:val="00E5376C"/>
    <w:rsid w:val="00E537D1"/>
    <w:rsid w:val="00E53896"/>
    <w:rsid w:val="00E53911"/>
    <w:rsid w:val="00E53A1E"/>
    <w:rsid w:val="00E541FD"/>
    <w:rsid w:val="00E546F7"/>
    <w:rsid w:val="00E547D8"/>
    <w:rsid w:val="00E552AD"/>
    <w:rsid w:val="00E55598"/>
    <w:rsid w:val="00E55DCA"/>
    <w:rsid w:val="00E56034"/>
    <w:rsid w:val="00E567E6"/>
    <w:rsid w:val="00E56971"/>
    <w:rsid w:val="00E573B3"/>
    <w:rsid w:val="00E57667"/>
    <w:rsid w:val="00E57C2B"/>
    <w:rsid w:val="00E600EF"/>
    <w:rsid w:val="00E60272"/>
    <w:rsid w:val="00E60749"/>
    <w:rsid w:val="00E60C3E"/>
    <w:rsid w:val="00E60D4B"/>
    <w:rsid w:val="00E60E5B"/>
    <w:rsid w:val="00E612D8"/>
    <w:rsid w:val="00E61323"/>
    <w:rsid w:val="00E61357"/>
    <w:rsid w:val="00E61484"/>
    <w:rsid w:val="00E62A3F"/>
    <w:rsid w:val="00E62CCC"/>
    <w:rsid w:val="00E62E86"/>
    <w:rsid w:val="00E63624"/>
    <w:rsid w:val="00E637A2"/>
    <w:rsid w:val="00E63AC5"/>
    <w:rsid w:val="00E63C74"/>
    <w:rsid w:val="00E647D9"/>
    <w:rsid w:val="00E6492F"/>
    <w:rsid w:val="00E65A4D"/>
    <w:rsid w:val="00E660D5"/>
    <w:rsid w:val="00E66716"/>
    <w:rsid w:val="00E6687D"/>
    <w:rsid w:val="00E66DF7"/>
    <w:rsid w:val="00E67089"/>
    <w:rsid w:val="00E67C61"/>
    <w:rsid w:val="00E67C99"/>
    <w:rsid w:val="00E701AC"/>
    <w:rsid w:val="00E70682"/>
    <w:rsid w:val="00E70CA7"/>
    <w:rsid w:val="00E711D7"/>
    <w:rsid w:val="00E718BB"/>
    <w:rsid w:val="00E71E04"/>
    <w:rsid w:val="00E7200D"/>
    <w:rsid w:val="00E721B3"/>
    <w:rsid w:val="00E72351"/>
    <w:rsid w:val="00E72FD8"/>
    <w:rsid w:val="00E73B92"/>
    <w:rsid w:val="00E7437E"/>
    <w:rsid w:val="00E743E3"/>
    <w:rsid w:val="00E74581"/>
    <w:rsid w:val="00E74647"/>
    <w:rsid w:val="00E7484C"/>
    <w:rsid w:val="00E74A04"/>
    <w:rsid w:val="00E74D37"/>
    <w:rsid w:val="00E74E73"/>
    <w:rsid w:val="00E753AE"/>
    <w:rsid w:val="00E764A9"/>
    <w:rsid w:val="00E76890"/>
    <w:rsid w:val="00E77656"/>
    <w:rsid w:val="00E779AF"/>
    <w:rsid w:val="00E77D91"/>
    <w:rsid w:val="00E77DC5"/>
    <w:rsid w:val="00E801CF"/>
    <w:rsid w:val="00E815E1"/>
    <w:rsid w:val="00E817D3"/>
    <w:rsid w:val="00E81B29"/>
    <w:rsid w:val="00E81B92"/>
    <w:rsid w:val="00E81DB8"/>
    <w:rsid w:val="00E82189"/>
    <w:rsid w:val="00E8225B"/>
    <w:rsid w:val="00E82E45"/>
    <w:rsid w:val="00E82E86"/>
    <w:rsid w:val="00E82EB3"/>
    <w:rsid w:val="00E82FF4"/>
    <w:rsid w:val="00E830F7"/>
    <w:rsid w:val="00E8341D"/>
    <w:rsid w:val="00E83EAF"/>
    <w:rsid w:val="00E8416C"/>
    <w:rsid w:val="00E8456D"/>
    <w:rsid w:val="00E84A4C"/>
    <w:rsid w:val="00E84DB3"/>
    <w:rsid w:val="00E8514C"/>
    <w:rsid w:val="00E851A9"/>
    <w:rsid w:val="00E854D0"/>
    <w:rsid w:val="00E8571D"/>
    <w:rsid w:val="00E85D2A"/>
    <w:rsid w:val="00E860D1"/>
    <w:rsid w:val="00E8636D"/>
    <w:rsid w:val="00E864BE"/>
    <w:rsid w:val="00E86D15"/>
    <w:rsid w:val="00E86F4F"/>
    <w:rsid w:val="00E872B7"/>
    <w:rsid w:val="00E87AAA"/>
    <w:rsid w:val="00E87FC7"/>
    <w:rsid w:val="00E902B0"/>
    <w:rsid w:val="00E902E8"/>
    <w:rsid w:val="00E90DF2"/>
    <w:rsid w:val="00E90F39"/>
    <w:rsid w:val="00E912B2"/>
    <w:rsid w:val="00E9151F"/>
    <w:rsid w:val="00E917F5"/>
    <w:rsid w:val="00E918B1"/>
    <w:rsid w:val="00E92198"/>
    <w:rsid w:val="00E927DD"/>
    <w:rsid w:val="00E929E6"/>
    <w:rsid w:val="00E92F46"/>
    <w:rsid w:val="00E93515"/>
    <w:rsid w:val="00E937E0"/>
    <w:rsid w:val="00E93862"/>
    <w:rsid w:val="00E93C26"/>
    <w:rsid w:val="00E93CE5"/>
    <w:rsid w:val="00E94242"/>
    <w:rsid w:val="00E9450E"/>
    <w:rsid w:val="00E95129"/>
    <w:rsid w:val="00E951CC"/>
    <w:rsid w:val="00E95215"/>
    <w:rsid w:val="00E95365"/>
    <w:rsid w:val="00E95374"/>
    <w:rsid w:val="00E95ADF"/>
    <w:rsid w:val="00E95C00"/>
    <w:rsid w:val="00E95CB8"/>
    <w:rsid w:val="00E95D12"/>
    <w:rsid w:val="00E967ED"/>
    <w:rsid w:val="00E96DDE"/>
    <w:rsid w:val="00E97014"/>
    <w:rsid w:val="00E971DC"/>
    <w:rsid w:val="00E97379"/>
    <w:rsid w:val="00EA03AC"/>
    <w:rsid w:val="00EA15ED"/>
    <w:rsid w:val="00EA1E04"/>
    <w:rsid w:val="00EA214C"/>
    <w:rsid w:val="00EA23AC"/>
    <w:rsid w:val="00EA24F6"/>
    <w:rsid w:val="00EA2949"/>
    <w:rsid w:val="00EA30EC"/>
    <w:rsid w:val="00EA3E15"/>
    <w:rsid w:val="00EA40E8"/>
    <w:rsid w:val="00EA45F6"/>
    <w:rsid w:val="00EA48F1"/>
    <w:rsid w:val="00EA4AF7"/>
    <w:rsid w:val="00EA4B89"/>
    <w:rsid w:val="00EA4E0F"/>
    <w:rsid w:val="00EA4F43"/>
    <w:rsid w:val="00EA4FBE"/>
    <w:rsid w:val="00EA5BD8"/>
    <w:rsid w:val="00EA5E08"/>
    <w:rsid w:val="00EA5E60"/>
    <w:rsid w:val="00EA5F4F"/>
    <w:rsid w:val="00EA67C0"/>
    <w:rsid w:val="00EA6A8A"/>
    <w:rsid w:val="00EA6E85"/>
    <w:rsid w:val="00EA6F6E"/>
    <w:rsid w:val="00EA71EF"/>
    <w:rsid w:val="00EA7911"/>
    <w:rsid w:val="00EA7B35"/>
    <w:rsid w:val="00EA7C3D"/>
    <w:rsid w:val="00EB025A"/>
    <w:rsid w:val="00EB0551"/>
    <w:rsid w:val="00EB055E"/>
    <w:rsid w:val="00EB120F"/>
    <w:rsid w:val="00EB1587"/>
    <w:rsid w:val="00EB166D"/>
    <w:rsid w:val="00EB2540"/>
    <w:rsid w:val="00EB266B"/>
    <w:rsid w:val="00EB28E0"/>
    <w:rsid w:val="00EB2EEA"/>
    <w:rsid w:val="00EB32B9"/>
    <w:rsid w:val="00EB38AC"/>
    <w:rsid w:val="00EB3C0B"/>
    <w:rsid w:val="00EB4F77"/>
    <w:rsid w:val="00EB544B"/>
    <w:rsid w:val="00EB62CC"/>
    <w:rsid w:val="00EB6878"/>
    <w:rsid w:val="00EB69E2"/>
    <w:rsid w:val="00EB6A79"/>
    <w:rsid w:val="00EB6CB1"/>
    <w:rsid w:val="00EB7470"/>
    <w:rsid w:val="00EB748A"/>
    <w:rsid w:val="00EB7940"/>
    <w:rsid w:val="00EB7A9E"/>
    <w:rsid w:val="00EC076E"/>
    <w:rsid w:val="00EC078F"/>
    <w:rsid w:val="00EC093F"/>
    <w:rsid w:val="00EC0A5A"/>
    <w:rsid w:val="00EC115A"/>
    <w:rsid w:val="00EC16FE"/>
    <w:rsid w:val="00EC1E0E"/>
    <w:rsid w:val="00EC215C"/>
    <w:rsid w:val="00EC236D"/>
    <w:rsid w:val="00EC2398"/>
    <w:rsid w:val="00EC258D"/>
    <w:rsid w:val="00EC2939"/>
    <w:rsid w:val="00EC31BD"/>
    <w:rsid w:val="00EC3731"/>
    <w:rsid w:val="00EC402D"/>
    <w:rsid w:val="00EC41BC"/>
    <w:rsid w:val="00EC4C18"/>
    <w:rsid w:val="00EC4E95"/>
    <w:rsid w:val="00EC4F7C"/>
    <w:rsid w:val="00EC5408"/>
    <w:rsid w:val="00EC5649"/>
    <w:rsid w:val="00EC5D9B"/>
    <w:rsid w:val="00EC6234"/>
    <w:rsid w:val="00EC6310"/>
    <w:rsid w:val="00EC6348"/>
    <w:rsid w:val="00EC6B16"/>
    <w:rsid w:val="00EC6FB2"/>
    <w:rsid w:val="00EC751B"/>
    <w:rsid w:val="00EC76D6"/>
    <w:rsid w:val="00EC78B0"/>
    <w:rsid w:val="00EC7CB2"/>
    <w:rsid w:val="00ED00CE"/>
    <w:rsid w:val="00ED0283"/>
    <w:rsid w:val="00ED02D5"/>
    <w:rsid w:val="00ED032C"/>
    <w:rsid w:val="00ED063C"/>
    <w:rsid w:val="00ED08C9"/>
    <w:rsid w:val="00ED0BE6"/>
    <w:rsid w:val="00ED0EA0"/>
    <w:rsid w:val="00ED112E"/>
    <w:rsid w:val="00ED1854"/>
    <w:rsid w:val="00ED1A3A"/>
    <w:rsid w:val="00ED2032"/>
    <w:rsid w:val="00ED2079"/>
    <w:rsid w:val="00ED22A1"/>
    <w:rsid w:val="00ED2449"/>
    <w:rsid w:val="00ED2BDB"/>
    <w:rsid w:val="00ED2EE0"/>
    <w:rsid w:val="00ED3381"/>
    <w:rsid w:val="00ED388B"/>
    <w:rsid w:val="00ED3C50"/>
    <w:rsid w:val="00ED40D4"/>
    <w:rsid w:val="00ED410B"/>
    <w:rsid w:val="00ED4842"/>
    <w:rsid w:val="00ED4A40"/>
    <w:rsid w:val="00ED4B92"/>
    <w:rsid w:val="00ED5B81"/>
    <w:rsid w:val="00ED5CDC"/>
    <w:rsid w:val="00ED61E1"/>
    <w:rsid w:val="00ED64BA"/>
    <w:rsid w:val="00ED650F"/>
    <w:rsid w:val="00ED68D1"/>
    <w:rsid w:val="00ED6DC4"/>
    <w:rsid w:val="00ED6F65"/>
    <w:rsid w:val="00ED73F6"/>
    <w:rsid w:val="00ED75E9"/>
    <w:rsid w:val="00ED7B7B"/>
    <w:rsid w:val="00ED7F82"/>
    <w:rsid w:val="00EE0143"/>
    <w:rsid w:val="00EE0D75"/>
    <w:rsid w:val="00EE1033"/>
    <w:rsid w:val="00EE126B"/>
    <w:rsid w:val="00EE1447"/>
    <w:rsid w:val="00EE18EA"/>
    <w:rsid w:val="00EE191C"/>
    <w:rsid w:val="00EE1C78"/>
    <w:rsid w:val="00EE216A"/>
    <w:rsid w:val="00EE2278"/>
    <w:rsid w:val="00EE23D4"/>
    <w:rsid w:val="00EE2970"/>
    <w:rsid w:val="00EE2B21"/>
    <w:rsid w:val="00EE2B41"/>
    <w:rsid w:val="00EE2E22"/>
    <w:rsid w:val="00EE3CE1"/>
    <w:rsid w:val="00EE3D34"/>
    <w:rsid w:val="00EE3E71"/>
    <w:rsid w:val="00EE4138"/>
    <w:rsid w:val="00EE4B9F"/>
    <w:rsid w:val="00EE4BEA"/>
    <w:rsid w:val="00EE4D48"/>
    <w:rsid w:val="00EE4E38"/>
    <w:rsid w:val="00EE4E9D"/>
    <w:rsid w:val="00EE5D26"/>
    <w:rsid w:val="00EE6356"/>
    <w:rsid w:val="00EE6B24"/>
    <w:rsid w:val="00EE71AB"/>
    <w:rsid w:val="00EE7717"/>
    <w:rsid w:val="00EE7B82"/>
    <w:rsid w:val="00EE7BE2"/>
    <w:rsid w:val="00EE7ED9"/>
    <w:rsid w:val="00EF0015"/>
    <w:rsid w:val="00EF0F38"/>
    <w:rsid w:val="00EF0FEE"/>
    <w:rsid w:val="00EF145E"/>
    <w:rsid w:val="00EF18F3"/>
    <w:rsid w:val="00EF19C1"/>
    <w:rsid w:val="00EF1A62"/>
    <w:rsid w:val="00EF1B03"/>
    <w:rsid w:val="00EF225C"/>
    <w:rsid w:val="00EF234C"/>
    <w:rsid w:val="00EF2601"/>
    <w:rsid w:val="00EF2654"/>
    <w:rsid w:val="00EF27CA"/>
    <w:rsid w:val="00EF2AC1"/>
    <w:rsid w:val="00EF2BBB"/>
    <w:rsid w:val="00EF308E"/>
    <w:rsid w:val="00EF3C16"/>
    <w:rsid w:val="00EF40F1"/>
    <w:rsid w:val="00EF421E"/>
    <w:rsid w:val="00EF4373"/>
    <w:rsid w:val="00EF43FA"/>
    <w:rsid w:val="00EF4509"/>
    <w:rsid w:val="00EF480A"/>
    <w:rsid w:val="00EF4AE1"/>
    <w:rsid w:val="00EF4B03"/>
    <w:rsid w:val="00EF5A6F"/>
    <w:rsid w:val="00EF5CAF"/>
    <w:rsid w:val="00EF6061"/>
    <w:rsid w:val="00EF675C"/>
    <w:rsid w:val="00EF69C2"/>
    <w:rsid w:val="00EF6A83"/>
    <w:rsid w:val="00EF73E0"/>
    <w:rsid w:val="00EF76AB"/>
    <w:rsid w:val="00EF7F8A"/>
    <w:rsid w:val="00F0072D"/>
    <w:rsid w:val="00F0082D"/>
    <w:rsid w:val="00F00BEE"/>
    <w:rsid w:val="00F00EBE"/>
    <w:rsid w:val="00F00FF6"/>
    <w:rsid w:val="00F01183"/>
    <w:rsid w:val="00F015AB"/>
    <w:rsid w:val="00F01C88"/>
    <w:rsid w:val="00F01EBF"/>
    <w:rsid w:val="00F01FB2"/>
    <w:rsid w:val="00F023DC"/>
    <w:rsid w:val="00F0249E"/>
    <w:rsid w:val="00F02663"/>
    <w:rsid w:val="00F026C1"/>
    <w:rsid w:val="00F02844"/>
    <w:rsid w:val="00F028E5"/>
    <w:rsid w:val="00F02F38"/>
    <w:rsid w:val="00F03180"/>
    <w:rsid w:val="00F03235"/>
    <w:rsid w:val="00F0379F"/>
    <w:rsid w:val="00F03846"/>
    <w:rsid w:val="00F0438A"/>
    <w:rsid w:val="00F045EF"/>
    <w:rsid w:val="00F0481B"/>
    <w:rsid w:val="00F04B20"/>
    <w:rsid w:val="00F04CD5"/>
    <w:rsid w:val="00F0504C"/>
    <w:rsid w:val="00F050D7"/>
    <w:rsid w:val="00F05286"/>
    <w:rsid w:val="00F057CB"/>
    <w:rsid w:val="00F05BAD"/>
    <w:rsid w:val="00F05CE4"/>
    <w:rsid w:val="00F05D86"/>
    <w:rsid w:val="00F05DB2"/>
    <w:rsid w:val="00F05ED3"/>
    <w:rsid w:val="00F06ABB"/>
    <w:rsid w:val="00F06C0D"/>
    <w:rsid w:val="00F06CED"/>
    <w:rsid w:val="00F06E42"/>
    <w:rsid w:val="00F06E8C"/>
    <w:rsid w:val="00F072DC"/>
    <w:rsid w:val="00F07443"/>
    <w:rsid w:val="00F07611"/>
    <w:rsid w:val="00F07A3C"/>
    <w:rsid w:val="00F07C90"/>
    <w:rsid w:val="00F07C92"/>
    <w:rsid w:val="00F102B0"/>
    <w:rsid w:val="00F106DF"/>
    <w:rsid w:val="00F10A71"/>
    <w:rsid w:val="00F10C21"/>
    <w:rsid w:val="00F10FFA"/>
    <w:rsid w:val="00F1108B"/>
    <w:rsid w:val="00F1137D"/>
    <w:rsid w:val="00F115AC"/>
    <w:rsid w:val="00F117F1"/>
    <w:rsid w:val="00F12044"/>
    <w:rsid w:val="00F1242A"/>
    <w:rsid w:val="00F12500"/>
    <w:rsid w:val="00F125E6"/>
    <w:rsid w:val="00F1263D"/>
    <w:rsid w:val="00F12CDB"/>
    <w:rsid w:val="00F1305A"/>
    <w:rsid w:val="00F1385D"/>
    <w:rsid w:val="00F13CF1"/>
    <w:rsid w:val="00F142DA"/>
    <w:rsid w:val="00F144A9"/>
    <w:rsid w:val="00F14C6B"/>
    <w:rsid w:val="00F15235"/>
    <w:rsid w:val="00F154A3"/>
    <w:rsid w:val="00F15783"/>
    <w:rsid w:val="00F159CD"/>
    <w:rsid w:val="00F1604C"/>
    <w:rsid w:val="00F16452"/>
    <w:rsid w:val="00F16767"/>
    <w:rsid w:val="00F16D96"/>
    <w:rsid w:val="00F17084"/>
    <w:rsid w:val="00F1782D"/>
    <w:rsid w:val="00F17B13"/>
    <w:rsid w:val="00F17ED1"/>
    <w:rsid w:val="00F19344"/>
    <w:rsid w:val="00F20898"/>
    <w:rsid w:val="00F209C4"/>
    <w:rsid w:val="00F213C2"/>
    <w:rsid w:val="00F21783"/>
    <w:rsid w:val="00F21999"/>
    <w:rsid w:val="00F22471"/>
    <w:rsid w:val="00F22868"/>
    <w:rsid w:val="00F22AEE"/>
    <w:rsid w:val="00F22B2B"/>
    <w:rsid w:val="00F22DF7"/>
    <w:rsid w:val="00F2388C"/>
    <w:rsid w:val="00F23F82"/>
    <w:rsid w:val="00F23FE3"/>
    <w:rsid w:val="00F2407F"/>
    <w:rsid w:val="00F2409D"/>
    <w:rsid w:val="00F24243"/>
    <w:rsid w:val="00F243B6"/>
    <w:rsid w:val="00F244D7"/>
    <w:rsid w:val="00F24A76"/>
    <w:rsid w:val="00F24A9A"/>
    <w:rsid w:val="00F24B0F"/>
    <w:rsid w:val="00F252E1"/>
    <w:rsid w:val="00F25791"/>
    <w:rsid w:val="00F2691D"/>
    <w:rsid w:val="00F274BD"/>
    <w:rsid w:val="00F27B1A"/>
    <w:rsid w:val="00F27B42"/>
    <w:rsid w:val="00F27F5E"/>
    <w:rsid w:val="00F30903"/>
    <w:rsid w:val="00F30912"/>
    <w:rsid w:val="00F30CF9"/>
    <w:rsid w:val="00F30F34"/>
    <w:rsid w:val="00F3145C"/>
    <w:rsid w:val="00F31597"/>
    <w:rsid w:val="00F31F27"/>
    <w:rsid w:val="00F32DBD"/>
    <w:rsid w:val="00F3383F"/>
    <w:rsid w:val="00F33C10"/>
    <w:rsid w:val="00F33DB8"/>
    <w:rsid w:val="00F34045"/>
    <w:rsid w:val="00F34879"/>
    <w:rsid w:val="00F34911"/>
    <w:rsid w:val="00F34A45"/>
    <w:rsid w:val="00F34B27"/>
    <w:rsid w:val="00F3511D"/>
    <w:rsid w:val="00F35219"/>
    <w:rsid w:val="00F35D09"/>
    <w:rsid w:val="00F36927"/>
    <w:rsid w:val="00F36D14"/>
    <w:rsid w:val="00F36D3F"/>
    <w:rsid w:val="00F36DCD"/>
    <w:rsid w:val="00F37517"/>
    <w:rsid w:val="00F37E46"/>
    <w:rsid w:val="00F40C80"/>
    <w:rsid w:val="00F40E4F"/>
    <w:rsid w:val="00F41275"/>
    <w:rsid w:val="00F412D9"/>
    <w:rsid w:val="00F41C98"/>
    <w:rsid w:val="00F422A9"/>
    <w:rsid w:val="00F422C9"/>
    <w:rsid w:val="00F427F8"/>
    <w:rsid w:val="00F42845"/>
    <w:rsid w:val="00F42EE8"/>
    <w:rsid w:val="00F43F02"/>
    <w:rsid w:val="00F4409B"/>
    <w:rsid w:val="00F4437E"/>
    <w:rsid w:val="00F447BF"/>
    <w:rsid w:val="00F44B23"/>
    <w:rsid w:val="00F44EF1"/>
    <w:rsid w:val="00F45000"/>
    <w:rsid w:val="00F45423"/>
    <w:rsid w:val="00F457AD"/>
    <w:rsid w:val="00F45E66"/>
    <w:rsid w:val="00F4656B"/>
    <w:rsid w:val="00F468E9"/>
    <w:rsid w:val="00F469D6"/>
    <w:rsid w:val="00F46A85"/>
    <w:rsid w:val="00F46B81"/>
    <w:rsid w:val="00F478BC"/>
    <w:rsid w:val="00F47BBA"/>
    <w:rsid w:val="00F47CE6"/>
    <w:rsid w:val="00F47EC4"/>
    <w:rsid w:val="00F47F3A"/>
    <w:rsid w:val="00F47FAF"/>
    <w:rsid w:val="00F5072C"/>
    <w:rsid w:val="00F5096D"/>
    <w:rsid w:val="00F516FA"/>
    <w:rsid w:val="00F51A41"/>
    <w:rsid w:val="00F51B32"/>
    <w:rsid w:val="00F523BD"/>
    <w:rsid w:val="00F5248A"/>
    <w:rsid w:val="00F526AF"/>
    <w:rsid w:val="00F528BB"/>
    <w:rsid w:val="00F52B26"/>
    <w:rsid w:val="00F533E5"/>
    <w:rsid w:val="00F53671"/>
    <w:rsid w:val="00F536A9"/>
    <w:rsid w:val="00F5378B"/>
    <w:rsid w:val="00F53E6F"/>
    <w:rsid w:val="00F54A46"/>
    <w:rsid w:val="00F54DD6"/>
    <w:rsid w:val="00F54E70"/>
    <w:rsid w:val="00F550B3"/>
    <w:rsid w:val="00F5520D"/>
    <w:rsid w:val="00F55AE2"/>
    <w:rsid w:val="00F56693"/>
    <w:rsid w:val="00F56C87"/>
    <w:rsid w:val="00F570E2"/>
    <w:rsid w:val="00F5741C"/>
    <w:rsid w:val="00F574B0"/>
    <w:rsid w:val="00F5754B"/>
    <w:rsid w:val="00F57BED"/>
    <w:rsid w:val="00F57DB5"/>
    <w:rsid w:val="00F57FBD"/>
    <w:rsid w:val="00F6009A"/>
    <w:rsid w:val="00F60198"/>
    <w:rsid w:val="00F6030A"/>
    <w:rsid w:val="00F603D1"/>
    <w:rsid w:val="00F60C5E"/>
    <w:rsid w:val="00F60E93"/>
    <w:rsid w:val="00F611CD"/>
    <w:rsid w:val="00F61EDC"/>
    <w:rsid w:val="00F61FEC"/>
    <w:rsid w:val="00F627D7"/>
    <w:rsid w:val="00F63225"/>
    <w:rsid w:val="00F63A9A"/>
    <w:rsid w:val="00F640C0"/>
    <w:rsid w:val="00F64829"/>
    <w:rsid w:val="00F64B14"/>
    <w:rsid w:val="00F6504A"/>
    <w:rsid w:val="00F65069"/>
    <w:rsid w:val="00F65536"/>
    <w:rsid w:val="00F656D6"/>
    <w:rsid w:val="00F657D0"/>
    <w:rsid w:val="00F65884"/>
    <w:rsid w:val="00F65992"/>
    <w:rsid w:val="00F65A2A"/>
    <w:rsid w:val="00F65B87"/>
    <w:rsid w:val="00F65F1D"/>
    <w:rsid w:val="00F66D16"/>
    <w:rsid w:val="00F66FD4"/>
    <w:rsid w:val="00F6729E"/>
    <w:rsid w:val="00F67548"/>
    <w:rsid w:val="00F675DC"/>
    <w:rsid w:val="00F6772F"/>
    <w:rsid w:val="00F6779C"/>
    <w:rsid w:val="00F71090"/>
    <w:rsid w:val="00F71258"/>
    <w:rsid w:val="00F714E7"/>
    <w:rsid w:val="00F714EB"/>
    <w:rsid w:val="00F72068"/>
    <w:rsid w:val="00F721D3"/>
    <w:rsid w:val="00F72CA3"/>
    <w:rsid w:val="00F72ECF"/>
    <w:rsid w:val="00F740E9"/>
    <w:rsid w:val="00F7421F"/>
    <w:rsid w:val="00F74301"/>
    <w:rsid w:val="00F748A6"/>
    <w:rsid w:val="00F7492F"/>
    <w:rsid w:val="00F74F18"/>
    <w:rsid w:val="00F753F2"/>
    <w:rsid w:val="00F75638"/>
    <w:rsid w:val="00F759E2"/>
    <w:rsid w:val="00F75ECD"/>
    <w:rsid w:val="00F7613A"/>
    <w:rsid w:val="00F7623C"/>
    <w:rsid w:val="00F770FB"/>
    <w:rsid w:val="00F7783B"/>
    <w:rsid w:val="00F778A5"/>
    <w:rsid w:val="00F77B65"/>
    <w:rsid w:val="00F80076"/>
    <w:rsid w:val="00F803F7"/>
    <w:rsid w:val="00F810B9"/>
    <w:rsid w:val="00F81199"/>
    <w:rsid w:val="00F81446"/>
    <w:rsid w:val="00F8158C"/>
    <w:rsid w:val="00F81762"/>
    <w:rsid w:val="00F8178F"/>
    <w:rsid w:val="00F818DB"/>
    <w:rsid w:val="00F81B31"/>
    <w:rsid w:val="00F81DB3"/>
    <w:rsid w:val="00F82172"/>
    <w:rsid w:val="00F82746"/>
    <w:rsid w:val="00F82768"/>
    <w:rsid w:val="00F828BD"/>
    <w:rsid w:val="00F82F34"/>
    <w:rsid w:val="00F830BC"/>
    <w:rsid w:val="00F834E8"/>
    <w:rsid w:val="00F836F9"/>
    <w:rsid w:val="00F83C1B"/>
    <w:rsid w:val="00F83C84"/>
    <w:rsid w:val="00F843CC"/>
    <w:rsid w:val="00F845D7"/>
    <w:rsid w:val="00F848E8"/>
    <w:rsid w:val="00F84C7C"/>
    <w:rsid w:val="00F84FE9"/>
    <w:rsid w:val="00F85478"/>
    <w:rsid w:val="00F85852"/>
    <w:rsid w:val="00F8597C"/>
    <w:rsid w:val="00F85E1C"/>
    <w:rsid w:val="00F867B8"/>
    <w:rsid w:val="00F867CD"/>
    <w:rsid w:val="00F86965"/>
    <w:rsid w:val="00F86BE3"/>
    <w:rsid w:val="00F86E91"/>
    <w:rsid w:val="00F87EFB"/>
    <w:rsid w:val="00F87FD2"/>
    <w:rsid w:val="00F9051F"/>
    <w:rsid w:val="00F905C7"/>
    <w:rsid w:val="00F90A24"/>
    <w:rsid w:val="00F90E72"/>
    <w:rsid w:val="00F9102A"/>
    <w:rsid w:val="00F91B64"/>
    <w:rsid w:val="00F92279"/>
    <w:rsid w:val="00F92463"/>
    <w:rsid w:val="00F92BB3"/>
    <w:rsid w:val="00F92C03"/>
    <w:rsid w:val="00F92EC6"/>
    <w:rsid w:val="00F937BF"/>
    <w:rsid w:val="00F93C00"/>
    <w:rsid w:val="00F93FBA"/>
    <w:rsid w:val="00F94114"/>
    <w:rsid w:val="00F94754"/>
    <w:rsid w:val="00F94A09"/>
    <w:rsid w:val="00F94A8C"/>
    <w:rsid w:val="00F9545A"/>
    <w:rsid w:val="00F957D2"/>
    <w:rsid w:val="00F958CF"/>
    <w:rsid w:val="00F95DD9"/>
    <w:rsid w:val="00F960EB"/>
    <w:rsid w:val="00F96F11"/>
    <w:rsid w:val="00F97BF8"/>
    <w:rsid w:val="00F97D50"/>
    <w:rsid w:val="00F97DC3"/>
    <w:rsid w:val="00FA0151"/>
    <w:rsid w:val="00FA0702"/>
    <w:rsid w:val="00FA0AF4"/>
    <w:rsid w:val="00FA16DE"/>
    <w:rsid w:val="00FA174A"/>
    <w:rsid w:val="00FA1965"/>
    <w:rsid w:val="00FA1A9D"/>
    <w:rsid w:val="00FA1D0C"/>
    <w:rsid w:val="00FA21B7"/>
    <w:rsid w:val="00FA2276"/>
    <w:rsid w:val="00FA29A9"/>
    <w:rsid w:val="00FA2B02"/>
    <w:rsid w:val="00FA2B6E"/>
    <w:rsid w:val="00FA2F7B"/>
    <w:rsid w:val="00FA3540"/>
    <w:rsid w:val="00FA3657"/>
    <w:rsid w:val="00FA3C59"/>
    <w:rsid w:val="00FA3ED0"/>
    <w:rsid w:val="00FA4491"/>
    <w:rsid w:val="00FA450E"/>
    <w:rsid w:val="00FA4536"/>
    <w:rsid w:val="00FA4671"/>
    <w:rsid w:val="00FA5032"/>
    <w:rsid w:val="00FA5098"/>
    <w:rsid w:val="00FA511F"/>
    <w:rsid w:val="00FA5652"/>
    <w:rsid w:val="00FA5876"/>
    <w:rsid w:val="00FA5920"/>
    <w:rsid w:val="00FA64E3"/>
    <w:rsid w:val="00FA66AA"/>
    <w:rsid w:val="00FA66EF"/>
    <w:rsid w:val="00FA6868"/>
    <w:rsid w:val="00FA69AB"/>
    <w:rsid w:val="00FA7088"/>
    <w:rsid w:val="00FA78A9"/>
    <w:rsid w:val="00FA7E1A"/>
    <w:rsid w:val="00FA7F05"/>
    <w:rsid w:val="00FA7F2B"/>
    <w:rsid w:val="00FB0EF4"/>
    <w:rsid w:val="00FB10B6"/>
    <w:rsid w:val="00FB1125"/>
    <w:rsid w:val="00FB19A4"/>
    <w:rsid w:val="00FB2057"/>
    <w:rsid w:val="00FB37A6"/>
    <w:rsid w:val="00FB3930"/>
    <w:rsid w:val="00FB40DE"/>
    <w:rsid w:val="00FB41D8"/>
    <w:rsid w:val="00FB4627"/>
    <w:rsid w:val="00FB4675"/>
    <w:rsid w:val="00FB4787"/>
    <w:rsid w:val="00FB493A"/>
    <w:rsid w:val="00FB4B4D"/>
    <w:rsid w:val="00FB4BDE"/>
    <w:rsid w:val="00FB4D21"/>
    <w:rsid w:val="00FB4EE2"/>
    <w:rsid w:val="00FB57DD"/>
    <w:rsid w:val="00FB64BD"/>
    <w:rsid w:val="00FB687F"/>
    <w:rsid w:val="00FB69B5"/>
    <w:rsid w:val="00FB70BA"/>
    <w:rsid w:val="00FB762B"/>
    <w:rsid w:val="00FB76F8"/>
    <w:rsid w:val="00FB7EC4"/>
    <w:rsid w:val="00FC0405"/>
    <w:rsid w:val="00FC0446"/>
    <w:rsid w:val="00FC054D"/>
    <w:rsid w:val="00FC0828"/>
    <w:rsid w:val="00FC1183"/>
    <w:rsid w:val="00FC128B"/>
    <w:rsid w:val="00FC14AC"/>
    <w:rsid w:val="00FC1593"/>
    <w:rsid w:val="00FC161A"/>
    <w:rsid w:val="00FC16E1"/>
    <w:rsid w:val="00FC2009"/>
    <w:rsid w:val="00FC2920"/>
    <w:rsid w:val="00FC2D54"/>
    <w:rsid w:val="00FC309A"/>
    <w:rsid w:val="00FC3120"/>
    <w:rsid w:val="00FC32BF"/>
    <w:rsid w:val="00FC3438"/>
    <w:rsid w:val="00FC343A"/>
    <w:rsid w:val="00FC3775"/>
    <w:rsid w:val="00FC47A6"/>
    <w:rsid w:val="00FC4EDA"/>
    <w:rsid w:val="00FC510A"/>
    <w:rsid w:val="00FC5E28"/>
    <w:rsid w:val="00FC5EAB"/>
    <w:rsid w:val="00FC5F4E"/>
    <w:rsid w:val="00FC600B"/>
    <w:rsid w:val="00FC62AF"/>
    <w:rsid w:val="00FC6624"/>
    <w:rsid w:val="00FC6668"/>
    <w:rsid w:val="00FC6ADA"/>
    <w:rsid w:val="00FC78BD"/>
    <w:rsid w:val="00FD050D"/>
    <w:rsid w:val="00FD05C8"/>
    <w:rsid w:val="00FD0919"/>
    <w:rsid w:val="00FD0D07"/>
    <w:rsid w:val="00FD0DC3"/>
    <w:rsid w:val="00FD13F9"/>
    <w:rsid w:val="00FD173F"/>
    <w:rsid w:val="00FD1A2B"/>
    <w:rsid w:val="00FD254E"/>
    <w:rsid w:val="00FD2618"/>
    <w:rsid w:val="00FD2995"/>
    <w:rsid w:val="00FD3942"/>
    <w:rsid w:val="00FD56C4"/>
    <w:rsid w:val="00FD57C4"/>
    <w:rsid w:val="00FD57C7"/>
    <w:rsid w:val="00FD65E5"/>
    <w:rsid w:val="00FD65F5"/>
    <w:rsid w:val="00FD6A8D"/>
    <w:rsid w:val="00FD7079"/>
    <w:rsid w:val="00FD79C4"/>
    <w:rsid w:val="00FD7F26"/>
    <w:rsid w:val="00FE00E5"/>
    <w:rsid w:val="00FE06DA"/>
    <w:rsid w:val="00FE06FD"/>
    <w:rsid w:val="00FE073C"/>
    <w:rsid w:val="00FE0879"/>
    <w:rsid w:val="00FE0886"/>
    <w:rsid w:val="00FE0C50"/>
    <w:rsid w:val="00FE140E"/>
    <w:rsid w:val="00FE1FD4"/>
    <w:rsid w:val="00FE2215"/>
    <w:rsid w:val="00FE3567"/>
    <w:rsid w:val="00FE41DF"/>
    <w:rsid w:val="00FE46C3"/>
    <w:rsid w:val="00FE488F"/>
    <w:rsid w:val="00FE4E80"/>
    <w:rsid w:val="00FE5339"/>
    <w:rsid w:val="00FE5B85"/>
    <w:rsid w:val="00FE5CC2"/>
    <w:rsid w:val="00FE5DBF"/>
    <w:rsid w:val="00FE5E88"/>
    <w:rsid w:val="00FE6B3B"/>
    <w:rsid w:val="00FE70FB"/>
    <w:rsid w:val="00FF041D"/>
    <w:rsid w:val="00FF0692"/>
    <w:rsid w:val="00FF0B65"/>
    <w:rsid w:val="00FF0EFC"/>
    <w:rsid w:val="00FF1264"/>
    <w:rsid w:val="00FF13D6"/>
    <w:rsid w:val="00FF1805"/>
    <w:rsid w:val="00FF1FC0"/>
    <w:rsid w:val="00FF2185"/>
    <w:rsid w:val="00FF21A2"/>
    <w:rsid w:val="00FF2275"/>
    <w:rsid w:val="00FF2363"/>
    <w:rsid w:val="00FF252D"/>
    <w:rsid w:val="00FF29DA"/>
    <w:rsid w:val="00FF31A7"/>
    <w:rsid w:val="00FF373E"/>
    <w:rsid w:val="00FF3DA7"/>
    <w:rsid w:val="00FF407C"/>
    <w:rsid w:val="00FF447A"/>
    <w:rsid w:val="00FF4ADD"/>
    <w:rsid w:val="00FF4C02"/>
    <w:rsid w:val="00FF4CC5"/>
    <w:rsid w:val="00FF55D4"/>
    <w:rsid w:val="00FF5675"/>
    <w:rsid w:val="00FF59F5"/>
    <w:rsid w:val="00FF672A"/>
    <w:rsid w:val="00FF67E1"/>
    <w:rsid w:val="00FF6AD3"/>
    <w:rsid w:val="00FF74FE"/>
    <w:rsid w:val="00FF7779"/>
    <w:rsid w:val="00FF7984"/>
    <w:rsid w:val="00FF7B1B"/>
    <w:rsid w:val="00FF7C3D"/>
    <w:rsid w:val="00FF7DB0"/>
    <w:rsid w:val="01F5A2B4"/>
    <w:rsid w:val="0246028F"/>
    <w:rsid w:val="0273EC95"/>
    <w:rsid w:val="02A44FEE"/>
    <w:rsid w:val="02BD42C5"/>
    <w:rsid w:val="037D444E"/>
    <w:rsid w:val="0435D600"/>
    <w:rsid w:val="043A9786"/>
    <w:rsid w:val="0460FA68"/>
    <w:rsid w:val="05391378"/>
    <w:rsid w:val="0738E8CF"/>
    <w:rsid w:val="083332FB"/>
    <w:rsid w:val="086788E6"/>
    <w:rsid w:val="086E10C8"/>
    <w:rsid w:val="093AD1F8"/>
    <w:rsid w:val="09475107"/>
    <w:rsid w:val="09AC0629"/>
    <w:rsid w:val="09EAFB33"/>
    <w:rsid w:val="0A035947"/>
    <w:rsid w:val="0A762AD6"/>
    <w:rsid w:val="0B12B1A1"/>
    <w:rsid w:val="0B436648"/>
    <w:rsid w:val="0BF9F740"/>
    <w:rsid w:val="0C6BC6BF"/>
    <w:rsid w:val="0D2D7701"/>
    <w:rsid w:val="0DCB6EF0"/>
    <w:rsid w:val="0DFEB9B0"/>
    <w:rsid w:val="0E15685B"/>
    <w:rsid w:val="0E47FC8E"/>
    <w:rsid w:val="0F1E40B5"/>
    <w:rsid w:val="0F8F140F"/>
    <w:rsid w:val="1004B57C"/>
    <w:rsid w:val="1049C29C"/>
    <w:rsid w:val="10B5AF19"/>
    <w:rsid w:val="10DE4564"/>
    <w:rsid w:val="10FFCE67"/>
    <w:rsid w:val="114DA582"/>
    <w:rsid w:val="11CAF8E7"/>
    <w:rsid w:val="1253955D"/>
    <w:rsid w:val="139C6348"/>
    <w:rsid w:val="14322E45"/>
    <w:rsid w:val="147F0BB8"/>
    <w:rsid w:val="14D9E635"/>
    <w:rsid w:val="151A8762"/>
    <w:rsid w:val="154D899C"/>
    <w:rsid w:val="15E57658"/>
    <w:rsid w:val="1600E9B3"/>
    <w:rsid w:val="164FB014"/>
    <w:rsid w:val="17839A24"/>
    <w:rsid w:val="17A14957"/>
    <w:rsid w:val="18DF0AB8"/>
    <w:rsid w:val="18F9DED0"/>
    <w:rsid w:val="19D5174E"/>
    <w:rsid w:val="1A688A76"/>
    <w:rsid w:val="1B393E11"/>
    <w:rsid w:val="1B653048"/>
    <w:rsid w:val="1BC046E3"/>
    <w:rsid w:val="1CA29374"/>
    <w:rsid w:val="1D2E8ADE"/>
    <w:rsid w:val="1E112A3D"/>
    <w:rsid w:val="1E1F277E"/>
    <w:rsid w:val="1E806478"/>
    <w:rsid w:val="1E93EFEA"/>
    <w:rsid w:val="1E98E8B3"/>
    <w:rsid w:val="1F7DCA23"/>
    <w:rsid w:val="1F9FAA89"/>
    <w:rsid w:val="20C43E03"/>
    <w:rsid w:val="21320C4F"/>
    <w:rsid w:val="21D08975"/>
    <w:rsid w:val="2237111E"/>
    <w:rsid w:val="22707DD4"/>
    <w:rsid w:val="22C0D232"/>
    <w:rsid w:val="22E39564"/>
    <w:rsid w:val="23AEA253"/>
    <w:rsid w:val="23ED2214"/>
    <w:rsid w:val="24A3721F"/>
    <w:rsid w:val="24CB6610"/>
    <w:rsid w:val="24E75E09"/>
    <w:rsid w:val="24FE32BF"/>
    <w:rsid w:val="2554F1DA"/>
    <w:rsid w:val="26131C4E"/>
    <w:rsid w:val="26448219"/>
    <w:rsid w:val="26543A54"/>
    <w:rsid w:val="27A8EADB"/>
    <w:rsid w:val="27DE67F1"/>
    <w:rsid w:val="27EA4734"/>
    <w:rsid w:val="28C5F9A6"/>
    <w:rsid w:val="295542B3"/>
    <w:rsid w:val="296BBA97"/>
    <w:rsid w:val="297FABF2"/>
    <w:rsid w:val="29C2D9F9"/>
    <w:rsid w:val="2A10E2FC"/>
    <w:rsid w:val="2BF38C82"/>
    <w:rsid w:val="2D638912"/>
    <w:rsid w:val="2E3049CA"/>
    <w:rsid w:val="2E464EF7"/>
    <w:rsid w:val="2E82A655"/>
    <w:rsid w:val="2E8CDB3F"/>
    <w:rsid w:val="2EDDD3C3"/>
    <w:rsid w:val="2F158369"/>
    <w:rsid w:val="30565CE7"/>
    <w:rsid w:val="30C9F59E"/>
    <w:rsid w:val="31086A02"/>
    <w:rsid w:val="313A22A2"/>
    <w:rsid w:val="320D0EAB"/>
    <w:rsid w:val="329D49F7"/>
    <w:rsid w:val="32CA4779"/>
    <w:rsid w:val="338CCF7F"/>
    <w:rsid w:val="34F6BFCC"/>
    <w:rsid w:val="37FE8651"/>
    <w:rsid w:val="386C9D69"/>
    <w:rsid w:val="38D27819"/>
    <w:rsid w:val="38EEE9F8"/>
    <w:rsid w:val="3908FDBF"/>
    <w:rsid w:val="39FBD4F8"/>
    <w:rsid w:val="3A63B498"/>
    <w:rsid w:val="3AA1516B"/>
    <w:rsid w:val="3BEF1E99"/>
    <w:rsid w:val="3C27EAB6"/>
    <w:rsid w:val="3C41BAB9"/>
    <w:rsid w:val="3C89FC54"/>
    <w:rsid w:val="3D2A8C67"/>
    <w:rsid w:val="3D94DF2F"/>
    <w:rsid w:val="3D9B4AD4"/>
    <w:rsid w:val="3E319DF3"/>
    <w:rsid w:val="3E39561C"/>
    <w:rsid w:val="3EEDBE0D"/>
    <w:rsid w:val="3EF9CDCC"/>
    <w:rsid w:val="3F5A49CE"/>
    <w:rsid w:val="3F75A157"/>
    <w:rsid w:val="3FC16389"/>
    <w:rsid w:val="3FE29587"/>
    <w:rsid w:val="407C4F80"/>
    <w:rsid w:val="41258624"/>
    <w:rsid w:val="420F373D"/>
    <w:rsid w:val="429A6F57"/>
    <w:rsid w:val="42A0E74F"/>
    <w:rsid w:val="430A427F"/>
    <w:rsid w:val="43A2D636"/>
    <w:rsid w:val="449ED786"/>
    <w:rsid w:val="44BE68D8"/>
    <w:rsid w:val="454F4417"/>
    <w:rsid w:val="459C126A"/>
    <w:rsid w:val="4616F9E7"/>
    <w:rsid w:val="46198F6D"/>
    <w:rsid w:val="466D70DD"/>
    <w:rsid w:val="467E5EC6"/>
    <w:rsid w:val="46DE6B84"/>
    <w:rsid w:val="47506F7F"/>
    <w:rsid w:val="4756221D"/>
    <w:rsid w:val="48499064"/>
    <w:rsid w:val="489DF2BA"/>
    <w:rsid w:val="491073EF"/>
    <w:rsid w:val="494185BE"/>
    <w:rsid w:val="494E9AA9"/>
    <w:rsid w:val="4951EA6D"/>
    <w:rsid w:val="4966ED1A"/>
    <w:rsid w:val="497BF4C5"/>
    <w:rsid w:val="49C8C066"/>
    <w:rsid w:val="4B0C3700"/>
    <w:rsid w:val="4B2D0FD9"/>
    <w:rsid w:val="4B8DE564"/>
    <w:rsid w:val="4BEF60E5"/>
    <w:rsid w:val="4BFAC611"/>
    <w:rsid w:val="4C550F7C"/>
    <w:rsid w:val="4D3CA596"/>
    <w:rsid w:val="4DBF53FB"/>
    <w:rsid w:val="4E765B53"/>
    <w:rsid w:val="4EACC67E"/>
    <w:rsid w:val="4EBFFB66"/>
    <w:rsid w:val="4EC9FF36"/>
    <w:rsid w:val="4F468763"/>
    <w:rsid w:val="4F57C814"/>
    <w:rsid w:val="4F72E6CC"/>
    <w:rsid w:val="4FBD362C"/>
    <w:rsid w:val="4FD20DEC"/>
    <w:rsid w:val="50093CD5"/>
    <w:rsid w:val="50301B02"/>
    <w:rsid w:val="50503237"/>
    <w:rsid w:val="508FCC07"/>
    <w:rsid w:val="50B46ECD"/>
    <w:rsid w:val="5154C301"/>
    <w:rsid w:val="51CFC52B"/>
    <w:rsid w:val="52781E8E"/>
    <w:rsid w:val="527FECD7"/>
    <w:rsid w:val="52B364BE"/>
    <w:rsid w:val="52C4345A"/>
    <w:rsid w:val="5309AEAE"/>
    <w:rsid w:val="53EED904"/>
    <w:rsid w:val="54716013"/>
    <w:rsid w:val="55934E97"/>
    <w:rsid w:val="55B416CD"/>
    <w:rsid w:val="561C5D80"/>
    <w:rsid w:val="56ED1633"/>
    <w:rsid w:val="5707EE77"/>
    <w:rsid w:val="57AD28EE"/>
    <w:rsid w:val="57D105F1"/>
    <w:rsid w:val="5817E6FC"/>
    <w:rsid w:val="58B87B93"/>
    <w:rsid w:val="5A53B65F"/>
    <w:rsid w:val="5AFB68F3"/>
    <w:rsid w:val="5CB2755F"/>
    <w:rsid w:val="5D042E5A"/>
    <w:rsid w:val="5DE737A5"/>
    <w:rsid w:val="5DF2DD68"/>
    <w:rsid w:val="5EF5EEE5"/>
    <w:rsid w:val="5F36782C"/>
    <w:rsid w:val="60AE9A8D"/>
    <w:rsid w:val="6129DCE7"/>
    <w:rsid w:val="6175170F"/>
    <w:rsid w:val="61887A95"/>
    <w:rsid w:val="6202CE2F"/>
    <w:rsid w:val="62D96AE9"/>
    <w:rsid w:val="6360AFE7"/>
    <w:rsid w:val="63E63B4F"/>
    <w:rsid w:val="646D466F"/>
    <w:rsid w:val="6542AB30"/>
    <w:rsid w:val="66E5E644"/>
    <w:rsid w:val="6742E44F"/>
    <w:rsid w:val="675169FE"/>
    <w:rsid w:val="68471D22"/>
    <w:rsid w:val="684EA2AA"/>
    <w:rsid w:val="68DF389F"/>
    <w:rsid w:val="69C959C1"/>
    <w:rsid w:val="6A08FD3D"/>
    <w:rsid w:val="6A1364A2"/>
    <w:rsid w:val="6A211474"/>
    <w:rsid w:val="6ABF4CAB"/>
    <w:rsid w:val="6B49F1B3"/>
    <w:rsid w:val="6B4A4C98"/>
    <w:rsid w:val="6B6538ED"/>
    <w:rsid w:val="6BA3E45B"/>
    <w:rsid w:val="6C9DAE49"/>
    <w:rsid w:val="6D640114"/>
    <w:rsid w:val="6D9B9254"/>
    <w:rsid w:val="6DFDAA94"/>
    <w:rsid w:val="6E980FAC"/>
    <w:rsid w:val="6FCD1182"/>
    <w:rsid w:val="6FD9C932"/>
    <w:rsid w:val="70500E87"/>
    <w:rsid w:val="70AD3F4C"/>
    <w:rsid w:val="70E2FCC8"/>
    <w:rsid w:val="71C29FD9"/>
    <w:rsid w:val="71C8715A"/>
    <w:rsid w:val="729DBAA7"/>
    <w:rsid w:val="732CEC7B"/>
    <w:rsid w:val="736B80CF"/>
    <w:rsid w:val="73725260"/>
    <w:rsid w:val="73931BFE"/>
    <w:rsid w:val="73A2483E"/>
    <w:rsid w:val="73FCF691"/>
    <w:rsid w:val="7452E2A4"/>
    <w:rsid w:val="7492068A"/>
    <w:rsid w:val="74F625C6"/>
    <w:rsid w:val="75ED0D56"/>
    <w:rsid w:val="76AD2B56"/>
    <w:rsid w:val="77E69F9C"/>
    <w:rsid w:val="789B2EFF"/>
    <w:rsid w:val="78AC83E2"/>
    <w:rsid w:val="78C5CCAF"/>
    <w:rsid w:val="790D6B29"/>
    <w:rsid w:val="790FBFF3"/>
    <w:rsid w:val="799A26EE"/>
    <w:rsid w:val="7A1C3F0C"/>
    <w:rsid w:val="7A2B48F5"/>
    <w:rsid w:val="7A733FC3"/>
    <w:rsid w:val="7AC0D94E"/>
    <w:rsid w:val="7B46DA91"/>
    <w:rsid w:val="7B5D6A57"/>
    <w:rsid w:val="7C684245"/>
    <w:rsid w:val="7CF93AB8"/>
    <w:rsid w:val="7D36F293"/>
    <w:rsid w:val="7D7C5166"/>
    <w:rsid w:val="7DC3A0DC"/>
    <w:rsid w:val="7DCB8EA4"/>
    <w:rsid w:val="7E85A735"/>
    <w:rsid w:val="7EB13C58"/>
    <w:rsid w:val="7F093F77"/>
    <w:rsid w:val="7F2AC15A"/>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AD3D63"/>
  <w15:docId w15:val="{8EFE6DB4-D2D1-4B69-8828-D87D2997A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4" w:qFormat="1"/>
    <w:lsdException w:name="heading 2" w:semiHidden="1" w:uiPriority="4" w:unhideWhenUsed="1" w:qFormat="1"/>
    <w:lsdException w:name="heading 3" w:semiHidden="1" w:uiPriority="5" w:unhideWhenUsed="1" w:qFormat="1"/>
    <w:lsdException w:name="heading 4" w:semiHidden="1" w:uiPriority="98"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2" w:unhideWhenUsed="1"/>
    <w:lsdException w:name="annotation text" w:semiHidden="1" w:unhideWhenUsed="1"/>
    <w:lsdException w:name="header" w:semiHidden="1" w:uiPriority="98"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8"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98"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33DA"/>
    <w:pPr>
      <w:spacing w:before="120" w:after="120" w:line="240" w:lineRule="auto"/>
    </w:pPr>
    <w:rPr>
      <w:rFonts w:ascii="Calibri" w:eastAsia="Times New Roman" w:hAnsi="Calibri" w:cs="Times New Roman"/>
      <w:szCs w:val="20"/>
      <w:lang w:eastAsia="en-AU"/>
    </w:rPr>
  </w:style>
  <w:style w:type="paragraph" w:styleId="Heading1">
    <w:name w:val="heading 1"/>
    <w:aliases w:val="CAB Section Heading"/>
    <w:basedOn w:val="HeadingBase"/>
    <w:next w:val="Normal"/>
    <w:link w:val="Heading1Char"/>
    <w:uiPriority w:val="4"/>
    <w:qFormat/>
    <w:rsid w:val="00475085"/>
    <w:pPr>
      <w:spacing w:before="480"/>
      <w:outlineLvl w:val="0"/>
    </w:pPr>
    <w:rPr>
      <w:bCs w:val="0"/>
    </w:rPr>
  </w:style>
  <w:style w:type="paragraph" w:styleId="Heading2">
    <w:name w:val="heading 2"/>
    <w:aliases w:val="Heading 2 Cab"/>
    <w:basedOn w:val="HeadingBase"/>
    <w:next w:val="Normal"/>
    <w:link w:val="Heading2Char"/>
    <w:uiPriority w:val="4"/>
    <w:qFormat/>
    <w:rsid w:val="000E0B74"/>
    <w:pPr>
      <w:spacing w:before="360"/>
      <w:outlineLvl w:val="1"/>
    </w:pPr>
    <w:rPr>
      <w:bCs w:val="0"/>
      <w:iCs/>
      <w:sz w:val="36"/>
      <w:szCs w:val="28"/>
    </w:rPr>
  </w:style>
  <w:style w:type="paragraph" w:styleId="Heading3">
    <w:name w:val="heading 3"/>
    <w:aliases w:val="Heading 3 Cab"/>
    <w:basedOn w:val="HeadingBase"/>
    <w:next w:val="Normal"/>
    <w:link w:val="Heading3Char"/>
    <w:uiPriority w:val="5"/>
    <w:qFormat/>
    <w:rsid w:val="006564D3"/>
    <w:pPr>
      <w:spacing w:before="240"/>
      <w:outlineLvl w:val="2"/>
    </w:pPr>
    <w:rPr>
      <w:bCs w:val="0"/>
      <w:color w:val="3A6FAF" w:themeColor="accent2"/>
      <w:sz w:val="28"/>
      <w:szCs w:val="26"/>
    </w:rPr>
  </w:style>
  <w:style w:type="paragraph" w:styleId="Heading4">
    <w:name w:val="heading 4"/>
    <w:basedOn w:val="HeadingBase"/>
    <w:next w:val="Normal"/>
    <w:link w:val="Heading4Char"/>
    <w:uiPriority w:val="98"/>
    <w:qFormat/>
    <w:rsid w:val="006564D3"/>
    <w:pPr>
      <w:outlineLvl w:val="3"/>
    </w:pPr>
    <w:rPr>
      <w:bCs w:val="0"/>
      <w:color w:val="3A6FAF" w:themeColor="accent2"/>
      <w:sz w:val="26"/>
      <w:szCs w:val="26"/>
    </w:rPr>
  </w:style>
  <w:style w:type="paragraph" w:styleId="Heading5">
    <w:name w:val="heading 5"/>
    <w:basedOn w:val="HeadingBase"/>
    <w:next w:val="Normal"/>
    <w:link w:val="Heading5Char"/>
    <w:qFormat/>
    <w:rsid w:val="001972D2"/>
    <w:pPr>
      <w:outlineLvl w:val="4"/>
    </w:pPr>
    <w:rPr>
      <w:b/>
      <w:bCs w:val="0"/>
      <w:iCs/>
      <w:sz w:val="22"/>
    </w:rPr>
  </w:style>
  <w:style w:type="paragraph" w:styleId="Heading6">
    <w:name w:val="heading 6"/>
    <w:basedOn w:val="HeadingBase"/>
    <w:next w:val="Normal"/>
    <w:link w:val="Heading6Char"/>
    <w:qFormat/>
    <w:rsid w:val="001972D2"/>
    <w:pPr>
      <w:outlineLvl w:val="5"/>
    </w:pPr>
    <w:rPr>
      <w:bCs w:val="0"/>
      <w:sz w:val="22"/>
      <w:szCs w:val="22"/>
    </w:rPr>
  </w:style>
  <w:style w:type="paragraph" w:styleId="Heading7">
    <w:name w:val="heading 7"/>
    <w:basedOn w:val="Normal"/>
    <w:next w:val="Normal"/>
    <w:link w:val="Heading7Char"/>
    <w:uiPriority w:val="9"/>
    <w:semiHidden/>
    <w:unhideWhenUsed/>
    <w:qFormat/>
    <w:rsid w:val="00464D63"/>
    <w:pPr>
      <w:keepNext/>
      <w:keepLines/>
      <w:spacing w:before="40" w:after="0"/>
      <w:outlineLvl w:val="6"/>
    </w:pPr>
    <w:rPr>
      <w:rFonts w:asciiTheme="majorHAnsi" w:eastAsiaTheme="majorEastAsia" w:hAnsiTheme="majorHAnsi" w:cstheme="majorBidi"/>
      <w:i/>
      <w:iCs/>
      <w:color w:val="00152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AB Section Heading Char"/>
    <w:basedOn w:val="DefaultParagraphFont"/>
    <w:link w:val="Heading1"/>
    <w:uiPriority w:val="4"/>
    <w:rsid w:val="00475085"/>
    <w:rPr>
      <w:rFonts w:ascii="Calibri" w:eastAsia="Times New Roman" w:hAnsi="Calibri" w:cs="Arial"/>
      <w:color w:val="004A7F"/>
      <w:kern w:val="32"/>
      <w:sz w:val="48"/>
      <w:szCs w:val="36"/>
      <w:lang w:eastAsia="en-AU"/>
    </w:rPr>
  </w:style>
  <w:style w:type="character" w:customStyle="1" w:styleId="Heading2Char">
    <w:name w:val="Heading 2 Char"/>
    <w:aliases w:val="Heading 2 Cab Char"/>
    <w:basedOn w:val="DefaultParagraphFont"/>
    <w:link w:val="Heading2"/>
    <w:uiPriority w:val="4"/>
    <w:rsid w:val="003E4D87"/>
    <w:rPr>
      <w:rFonts w:ascii="Calibri" w:eastAsia="Times New Roman" w:hAnsi="Calibri" w:cs="Arial"/>
      <w:iCs/>
      <w:color w:val="004A7F"/>
      <w:kern w:val="32"/>
      <w:sz w:val="36"/>
      <w:szCs w:val="28"/>
      <w:lang w:eastAsia="en-AU"/>
    </w:rPr>
  </w:style>
  <w:style w:type="character" w:customStyle="1" w:styleId="Heading3Char">
    <w:name w:val="Heading 3 Char"/>
    <w:aliases w:val="Heading 3 Cab Char"/>
    <w:basedOn w:val="DefaultParagraphFont"/>
    <w:link w:val="Heading3"/>
    <w:uiPriority w:val="5"/>
    <w:rsid w:val="006564D3"/>
    <w:rPr>
      <w:rFonts w:ascii="Calibri" w:eastAsia="Times New Roman" w:hAnsi="Calibri" w:cs="Arial"/>
      <w:color w:val="3A6FAF" w:themeColor="accent2"/>
      <w:kern w:val="32"/>
      <w:sz w:val="28"/>
      <w:szCs w:val="26"/>
      <w:lang w:eastAsia="en-AU"/>
    </w:rPr>
  </w:style>
  <w:style w:type="character" w:customStyle="1" w:styleId="Heading4Char">
    <w:name w:val="Heading 4 Char"/>
    <w:basedOn w:val="DefaultParagraphFont"/>
    <w:link w:val="Heading4"/>
    <w:uiPriority w:val="98"/>
    <w:rsid w:val="006564D3"/>
    <w:rPr>
      <w:rFonts w:ascii="Calibri" w:eastAsia="Times New Roman" w:hAnsi="Calibri" w:cs="Arial"/>
      <w:color w:val="3A6FAF" w:themeColor="accent2"/>
      <w:kern w:val="32"/>
      <w:sz w:val="26"/>
      <w:szCs w:val="26"/>
      <w:lang w:eastAsia="en-AU"/>
    </w:rPr>
  </w:style>
  <w:style w:type="character" w:customStyle="1" w:styleId="Heading5Char">
    <w:name w:val="Heading 5 Char"/>
    <w:basedOn w:val="DefaultParagraphFont"/>
    <w:link w:val="Heading5"/>
    <w:rsid w:val="001972D2"/>
    <w:rPr>
      <w:rFonts w:ascii="Calibri" w:eastAsia="Times New Roman" w:hAnsi="Calibri" w:cs="Arial"/>
      <w:b/>
      <w:iCs/>
      <w:color w:val="004A7F"/>
      <w:kern w:val="32"/>
      <w:szCs w:val="36"/>
      <w:lang w:eastAsia="en-AU"/>
    </w:rPr>
  </w:style>
  <w:style w:type="character" w:customStyle="1" w:styleId="Heading6Char">
    <w:name w:val="Heading 6 Char"/>
    <w:basedOn w:val="DefaultParagraphFont"/>
    <w:link w:val="Heading6"/>
    <w:rsid w:val="001972D2"/>
    <w:rPr>
      <w:rFonts w:ascii="Calibri" w:eastAsia="Times New Roman" w:hAnsi="Calibri" w:cs="Arial"/>
      <w:color w:val="004A7F"/>
      <w:kern w:val="32"/>
      <w:lang w:eastAsia="en-AU"/>
    </w:rPr>
  </w:style>
  <w:style w:type="paragraph" w:customStyle="1" w:styleId="ChartGraphic">
    <w:name w:val="Chart Graphic"/>
    <w:basedOn w:val="Normal"/>
    <w:next w:val="Normal"/>
    <w:rsid w:val="000E0B74"/>
    <w:pPr>
      <w:keepNext/>
      <w:spacing w:before="0" w:after="0"/>
      <w:jc w:val="center"/>
    </w:pPr>
    <w:rPr>
      <w:color w:val="004A7F"/>
      <w:sz w:val="20"/>
    </w:rPr>
  </w:style>
  <w:style w:type="paragraph" w:customStyle="1" w:styleId="AlphaParagraph">
    <w:name w:val="Alpha Paragraph"/>
    <w:basedOn w:val="Normal"/>
    <w:qFormat/>
    <w:rsid w:val="000E0B74"/>
    <w:pPr>
      <w:numPr>
        <w:ilvl w:val="1"/>
        <w:numId w:val="9"/>
      </w:numPr>
      <w:spacing w:before="0"/>
    </w:pPr>
  </w:style>
  <w:style w:type="paragraph" w:customStyle="1" w:styleId="BoxBullet">
    <w:name w:val="Box Bullet"/>
    <w:basedOn w:val="Normal"/>
    <w:rsid w:val="000E0B74"/>
    <w:pPr>
      <w:numPr>
        <w:numId w:val="2"/>
      </w:numPr>
      <w:spacing w:before="0"/>
      <w:ind w:left="284" w:hanging="284"/>
    </w:pPr>
  </w:style>
  <w:style w:type="paragraph" w:customStyle="1" w:styleId="BoxDash">
    <w:name w:val="Box Dash"/>
    <w:basedOn w:val="Normal"/>
    <w:rsid w:val="000E0B74"/>
    <w:pPr>
      <w:numPr>
        <w:ilvl w:val="1"/>
        <w:numId w:val="2"/>
      </w:numPr>
      <w:spacing w:before="0"/>
      <w:ind w:left="568"/>
    </w:pPr>
  </w:style>
  <w:style w:type="paragraph" w:customStyle="1" w:styleId="BoxDoubleDot">
    <w:name w:val="Box Double Dot"/>
    <w:basedOn w:val="Normal"/>
    <w:rsid w:val="000E0B74"/>
    <w:pPr>
      <w:numPr>
        <w:ilvl w:val="2"/>
        <w:numId w:val="2"/>
      </w:numPr>
      <w:spacing w:before="0"/>
      <w:ind w:left="851" w:hanging="284"/>
    </w:pPr>
  </w:style>
  <w:style w:type="paragraph" w:customStyle="1" w:styleId="BoxHeading">
    <w:name w:val="Box Heading"/>
    <w:basedOn w:val="Normal"/>
    <w:next w:val="Normal"/>
    <w:rsid w:val="00F93C00"/>
    <w:pPr>
      <w:keepNext/>
      <w:spacing w:before="240"/>
    </w:pPr>
    <w:rPr>
      <w:b/>
      <w:color w:val="002C47" w:themeColor="accent1"/>
      <w:sz w:val="26"/>
      <w:szCs w:val="26"/>
    </w:rPr>
  </w:style>
  <w:style w:type="paragraph" w:customStyle="1" w:styleId="BoxText">
    <w:name w:val="Box Text"/>
    <w:basedOn w:val="Normal"/>
    <w:link w:val="BoxTextChar"/>
    <w:rsid w:val="000E0B74"/>
  </w:style>
  <w:style w:type="paragraph" w:customStyle="1" w:styleId="Bullet">
    <w:name w:val="Bullet"/>
    <w:aliases w:val="b,b + line,b1,Body,Bullet + line,level 1,BodyNum,Bullet Char1,Bullet Char1 Char Char Char Char,b1 Char Char Char,Bullet Char1 Char Char Char Char Char,Bullet Char1 Char Char Char,bulleted,CG-Bullet"/>
    <w:basedOn w:val="Normal"/>
    <w:link w:val="BulletChar"/>
    <w:qFormat/>
    <w:rsid w:val="000E0B74"/>
    <w:pPr>
      <w:numPr>
        <w:numId w:val="1"/>
      </w:numPr>
      <w:spacing w:before="0"/>
      <w:ind w:left="284" w:hanging="284"/>
    </w:pPr>
  </w:style>
  <w:style w:type="paragraph" w:customStyle="1" w:styleId="ChartandTableFootnoteAlpha">
    <w:name w:val="Chart and Table Footnote Alpha"/>
    <w:rsid w:val="0023305C"/>
    <w:pPr>
      <w:numPr>
        <w:numId w:val="7"/>
      </w:numPr>
      <w:tabs>
        <w:tab w:val="num" w:pos="284"/>
      </w:tabs>
      <w:spacing w:after="0" w:line="240" w:lineRule="auto"/>
      <w:ind w:left="284" w:hanging="284"/>
      <w:jc w:val="both"/>
    </w:pPr>
    <w:rPr>
      <w:rFonts w:ascii="Calibri" w:eastAsia="Times New Roman" w:hAnsi="Calibri" w:cs="Times New Roman"/>
      <w:color w:val="000000"/>
      <w:sz w:val="18"/>
      <w:szCs w:val="16"/>
      <w:lang w:eastAsia="en-AU"/>
    </w:rPr>
  </w:style>
  <w:style w:type="paragraph" w:customStyle="1" w:styleId="ChartMainHeading">
    <w:name w:val="Chart Main Heading"/>
    <w:basedOn w:val="TableMainHeading"/>
    <w:next w:val="ChartGraphic"/>
    <w:rsid w:val="006564D3"/>
    <w:pPr>
      <w:jc w:val="center"/>
    </w:pPr>
  </w:style>
  <w:style w:type="paragraph" w:customStyle="1" w:styleId="ChartorTableNote">
    <w:name w:val="Chart or Table Note"/>
    <w:next w:val="Normal"/>
    <w:rsid w:val="000E0B74"/>
    <w:pPr>
      <w:spacing w:after="0" w:line="240" w:lineRule="auto"/>
      <w:jc w:val="both"/>
    </w:pPr>
    <w:rPr>
      <w:rFonts w:ascii="Calibri" w:eastAsia="Times New Roman" w:hAnsi="Calibri" w:cs="Times New Roman"/>
      <w:color w:val="000000"/>
      <w:sz w:val="18"/>
      <w:szCs w:val="20"/>
      <w:lang w:eastAsia="en-AU"/>
    </w:rPr>
  </w:style>
  <w:style w:type="paragraph" w:customStyle="1" w:styleId="ChartSecondHeading">
    <w:name w:val="Chart Second Heading"/>
    <w:basedOn w:val="TableSecondHeading"/>
    <w:next w:val="ChartGraphic"/>
    <w:rsid w:val="006564D3"/>
    <w:pPr>
      <w:jc w:val="center"/>
    </w:pPr>
  </w:style>
  <w:style w:type="paragraph" w:customStyle="1" w:styleId="ReportDate">
    <w:name w:val="Report Date"/>
    <w:basedOn w:val="Normal"/>
    <w:link w:val="ReportDateChar"/>
    <w:rsid w:val="006564D3"/>
    <w:pPr>
      <w:keepNext/>
      <w:spacing w:before="0" w:after="360"/>
    </w:pPr>
    <w:rPr>
      <w:color w:val="00818F" w:themeColor="accent5"/>
      <w:sz w:val="44"/>
    </w:rPr>
  </w:style>
  <w:style w:type="paragraph" w:customStyle="1" w:styleId="Dash">
    <w:name w:val="Dash"/>
    <w:basedOn w:val="Normal"/>
    <w:link w:val="DashChar"/>
    <w:qFormat/>
    <w:rsid w:val="000E0B74"/>
    <w:pPr>
      <w:numPr>
        <w:ilvl w:val="1"/>
        <w:numId w:val="1"/>
      </w:numPr>
      <w:spacing w:before="0"/>
      <w:ind w:left="568"/>
    </w:pPr>
  </w:style>
  <w:style w:type="paragraph" w:customStyle="1" w:styleId="DoubleDot">
    <w:name w:val="Double Dot"/>
    <w:basedOn w:val="Normal"/>
    <w:link w:val="DoubleDotChar"/>
    <w:qFormat/>
    <w:rsid w:val="000E0B74"/>
    <w:pPr>
      <w:numPr>
        <w:ilvl w:val="2"/>
        <w:numId w:val="1"/>
      </w:numPr>
      <w:spacing w:before="0"/>
      <w:ind w:left="851" w:hanging="284"/>
    </w:pPr>
  </w:style>
  <w:style w:type="paragraph" w:customStyle="1" w:styleId="TableMainHeading">
    <w:name w:val="Table Main Heading"/>
    <w:basedOn w:val="Heading3"/>
    <w:next w:val="Normal"/>
    <w:rsid w:val="000E0B74"/>
    <w:pPr>
      <w:spacing w:before="120" w:after="0"/>
    </w:pPr>
    <w:rPr>
      <w:b/>
    </w:rPr>
  </w:style>
  <w:style w:type="paragraph" w:customStyle="1" w:styleId="FooterEven">
    <w:name w:val="Footer Even"/>
    <w:basedOn w:val="Footer"/>
    <w:rsid w:val="00F60198"/>
    <w:pPr>
      <w:keepNext/>
      <w:tabs>
        <w:tab w:val="clear" w:pos="4513"/>
        <w:tab w:val="clear" w:pos="9026"/>
      </w:tabs>
      <w:jc w:val="left"/>
    </w:pPr>
    <w:rPr>
      <w:noProof/>
    </w:rPr>
  </w:style>
  <w:style w:type="paragraph" w:customStyle="1" w:styleId="FooterOdd">
    <w:name w:val="Footer Odd"/>
    <w:basedOn w:val="Footer"/>
    <w:rsid w:val="00F60198"/>
    <w:pPr>
      <w:keepNext/>
      <w:tabs>
        <w:tab w:val="clear" w:pos="4513"/>
        <w:tab w:val="clear" w:pos="9026"/>
      </w:tabs>
      <w:jc w:val="right"/>
    </w:pPr>
  </w:style>
  <w:style w:type="character" w:styleId="Hyperlink">
    <w:name w:val="Hyperlink"/>
    <w:aliases w:val="Hyperlink Cab"/>
    <w:basedOn w:val="DefaultParagraphFont"/>
    <w:uiPriority w:val="99"/>
    <w:qFormat/>
    <w:rsid w:val="006564D3"/>
    <w:rPr>
      <w:color w:val="3A6FAF" w:themeColor="accent2"/>
      <w:u w:val="none"/>
    </w:rPr>
  </w:style>
  <w:style w:type="paragraph" w:customStyle="1" w:styleId="OutlineNumbered1">
    <w:name w:val="Outline Numbered 1"/>
    <w:basedOn w:val="Normal"/>
    <w:link w:val="OutlineNumbered1Char"/>
    <w:rsid w:val="000E0B74"/>
    <w:pPr>
      <w:numPr>
        <w:numId w:val="6"/>
      </w:numPr>
      <w:spacing w:before="0"/>
    </w:pPr>
  </w:style>
  <w:style w:type="paragraph" w:customStyle="1" w:styleId="OneLevelNumberedParagraph">
    <w:name w:val="One Level Numbered Paragraph"/>
    <w:basedOn w:val="Normal"/>
    <w:rsid w:val="000E0B74"/>
    <w:pPr>
      <w:numPr>
        <w:numId w:val="5"/>
      </w:numPr>
      <w:spacing w:before="0"/>
    </w:pPr>
  </w:style>
  <w:style w:type="paragraph" w:customStyle="1" w:styleId="OutlineNumbered2">
    <w:name w:val="Outline Numbered 2"/>
    <w:basedOn w:val="Normal"/>
    <w:rsid w:val="000E0B74"/>
    <w:pPr>
      <w:numPr>
        <w:ilvl w:val="1"/>
        <w:numId w:val="6"/>
      </w:numPr>
      <w:spacing w:before="0"/>
    </w:pPr>
  </w:style>
  <w:style w:type="paragraph" w:customStyle="1" w:styleId="OutlineNumbered3">
    <w:name w:val="Outline Numbered 3"/>
    <w:basedOn w:val="Normal"/>
    <w:rsid w:val="000E0B74"/>
    <w:pPr>
      <w:numPr>
        <w:ilvl w:val="2"/>
        <w:numId w:val="6"/>
      </w:numPr>
      <w:spacing w:before="0"/>
    </w:pPr>
  </w:style>
  <w:style w:type="paragraph" w:customStyle="1" w:styleId="Romannumeral">
    <w:name w:val="Roman numeral"/>
    <w:basedOn w:val="Normal"/>
    <w:rsid w:val="004F4B92"/>
    <w:pPr>
      <w:numPr>
        <w:numId w:val="9"/>
      </w:numPr>
      <w:tabs>
        <w:tab w:val="clear" w:pos="720"/>
        <w:tab w:val="num" w:pos="851"/>
      </w:tabs>
      <w:spacing w:before="0"/>
      <w:ind w:left="851" w:hanging="851"/>
    </w:pPr>
  </w:style>
  <w:style w:type="paragraph" w:customStyle="1" w:styleId="SingleParagraph">
    <w:name w:val="Single Paragraph"/>
    <w:basedOn w:val="Normal"/>
    <w:link w:val="SingleParagraphChar"/>
    <w:rsid w:val="000E0B74"/>
    <w:pPr>
      <w:spacing w:before="0" w:after="0"/>
    </w:pPr>
  </w:style>
  <w:style w:type="paragraph" w:customStyle="1" w:styleId="TableSecondHeading">
    <w:name w:val="Table Second Heading"/>
    <w:basedOn w:val="Normal"/>
    <w:next w:val="Normal"/>
    <w:rsid w:val="00464D63"/>
    <w:pPr>
      <w:keepNext/>
      <w:spacing w:before="0" w:after="20"/>
    </w:pPr>
    <w:rPr>
      <w:b/>
      <w:color w:val="3A6FAF" w:themeColor="accent2"/>
    </w:rPr>
  </w:style>
  <w:style w:type="paragraph" w:customStyle="1" w:styleId="TableColumnHeadingCentred">
    <w:name w:val="Table Column Heading Centred"/>
    <w:basedOn w:val="TableTextLeft"/>
    <w:rsid w:val="006564D3"/>
    <w:pPr>
      <w:jc w:val="center"/>
    </w:pPr>
    <w:rPr>
      <w:b/>
      <w:color w:val="002C47" w:themeColor="accent1"/>
      <w:sz w:val="20"/>
    </w:rPr>
  </w:style>
  <w:style w:type="paragraph" w:customStyle="1" w:styleId="TableColumnHeadingLeft">
    <w:name w:val="Table Column Heading Left"/>
    <w:basedOn w:val="TableTextLeft"/>
    <w:rsid w:val="006564D3"/>
    <w:rPr>
      <w:b/>
      <w:color w:val="002C47" w:themeColor="accent1"/>
      <w:sz w:val="20"/>
    </w:rPr>
  </w:style>
  <w:style w:type="paragraph" w:customStyle="1" w:styleId="TableColumnHeadingRight">
    <w:name w:val="Table Column Heading Right"/>
    <w:basedOn w:val="TableTextLeft"/>
    <w:rsid w:val="006564D3"/>
    <w:pPr>
      <w:jc w:val="right"/>
    </w:pPr>
    <w:rPr>
      <w:b/>
      <w:color w:val="002C47" w:themeColor="accent1"/>
      <w:sz w:val="20"/>
    </w:rPr>
  </w:style>
  <w:style w:type="table" w:styleId="TableGrid">
    <w:name w:val="Table Grid"/>
    <w:basedOn w:val="TableNormal"/>
    <w:uiPriority w:val="39"/>
    <w:rsid w:val="000E0B74"/>
    <w:pPr>
      <w:spacing w:after="240" w:line="260" w:lineRule="exact"/>
      <w:jc w:val="both"/>
    </w:pPr>
    <w:rPr>
      <w:rFonts w:ascii="Times New Roman" w:eastAsia="Times New Roman" w:hAnsi="Times New Roman" w:cs="Times New Roman"/>
      <w:sz w:val="20"/>
      <w:szCs w:val="20"/>
      <w:lang w:eastAsia="en-AU"/>
    </w:rPr>
    <w:tblPr/>
    <w:tcPr>
      <w:shd w:val="clear" w:color="auto" w:fill="E6E6E6"/>
    </w:tcPr>
  </w:style>
  <w:style w:type="paragraph" w:customStyle="1" w:styleId="TableTextCentered">
    <w:name w:val="Table Text Centered"/>
    <w:basedOn w:val="TableTextRight"/>
    <w:rsid w:val="001972D2"/>
    <w:pPr>
      <w:jc w:val="center"/>
    </w:pPr>
  </w:style>
  <w:style w:type="paragraph" w:customStyle="1" w:styleId="TableTextLeft">
    <w:name w:val="Table Text Left"/>
    <w:basedOn w:val="TableTextRight"/>
    <w:rsid w:val="000E0B74"/>
    <w:pPr>
      <w:jc w:val="left"/>
    </w:pPr>
  </w:style>
  <w:style w:type="paragraph" w:customStyle="1" w:styleId="TableTextRight">
    <w:name w:val="Table Text Right"/>
    <w:basedOn w:val="Normal"/>
    <w:rsid w:val="000E0B74"/>
    <w:pPr>
      <w:spacing w:before="40" w:after="40"/>
      <w:jc w:val="right"/>
    </w:pPr>
    <w:rPr>
      <w:color w:val="000000"/>
      <w:sz w:val="18"/>
    </w:rPr>
  </w:style>
  <w:style w:type="paragraph" w:styleId="TOC1">
    <w:name w:val="toc 1"/>
    <w:basedOn w:val="Normal"/>
    <w:next w:val="Normal"/>
    <w:uiPriority w:val="39"/>
    <w:qFormat/>
    <w:rsid w:val="006564D3"/>
    <w:pPr>
      <w:keepNext/>
      <w:tabs>
        <w:tab w:val="right" w:leader="dot" w:pos="9072"/>
      </w:tabs>
      <w:spacing w:before="180" w:after="0"/>
      <w:ind w:right="-2"/>
    </w:pPr>
    <w:rPr>
      <w:b/>
      <w:noProof/>
      <w:color w:val="002C47" w:themeColor="accent1"/>
      <w:szCs w:val="22"/>
    </w:rPr>
  </w:style>
  <w:style w:type="paragraph" w:styleId="TOC2">
    <w:name w:val="toc 2"/>
    <w:basedOn w:val="Normal"/>
    <w:next w:val="Normal"/>
    <w:uiPriority w:val="39"/>
    <w:qFormat/>
    <w:rsid w:val="006564D3"/>
    <w:pPr>
      <w:keepNext/>
      <w:tabs>
        <w:tab w:val="right" w:leader="dot" w:pos="9072"/>
      </w:tabs>
      <w:spacing w:before="40" w:after="20"/>
      <w:ind w:right="-2"/>
    </w:pPr>
    <w:rPr>
      <w:noProof/>
      <w:color w:val="002C47" w:themeColor="accent1"/>
    </w:rPr>
  </w:style>
  <w:style w:type="paragraph" w:styleId="TOC3">
    <w:name w:val="toc 3"/>
    <w:basedOn w:val="Normal"/>
    <w:next w:val="Normal"/>
    <w:uiPriority w:val="39"/>
    <w:qFormat/>
    <w:rsid w:val="006564D3"/>
    <w:pPr>
      <w:tabs>
        <w:tab w:val="right" w:leader="dot" w:pos="9072"/>
      </w:tabs>
      <w:spacing w:before="20" w:after="0"/>
      <w:ind w:left="284" w:right="-2"/>
    </w:pPr>
    <w:rPr>
      <w:rFonts w:cs="Calibri"/>
      <w:noProof/>
      <w:color w:val="3A6FAF" w:themeColor="accent2"/>
    </w:rPr>
  </w:style>
  <w:style w:type="numbering" w:customStyle="1" w:styleId="OutlineList">
    <w:name w:val="OutlineList"/>
    <w:uiPriority w:val="99"/>
    <w:rsid w:val="000E0B74"/>
    <w:pPr>
      <w:numPr>
        <w:numId w:val="4"/>
      </w:numPr>
    </w:pPr>
  </w:style>
  <w:style w:type="numbering" w:customStyle="1" w:styleId="BulletedList">
    <w:name w:val="Bulleted List"/>
    <w:uiPriority w:val="99"/>
    <w:rsid w:val="000E0B74"/>
    <w:pPr>
      <w:numPr>
        <w:numId w:val="1"/>
      </w:numPr>
    </w:pPr>
  </w:style>
  <w:style w:type="numbering" w:customStyle="1" w:styleId="BoxBulletedList">
    <w:name w:val="Box Bulleted List"/>
    <w:uiPriority w:val="99"/>
    <w:rsid w:val="000E0B74"/>
    <w:pPr>
      <w:numPr>
        <w:numId w:val="2"/>
      </w:numPr>
    </w:pPr>
  </w:style>
  <w:style w:type="numbering" w:customStyle="1" w:styleId="OneLevelList">
    <w:name w:val="OneLevelList"/>
    <w:uiPriority w:val="99"/>
    <w:rsid w:val="000E0B74"/>
    <w:pPr>
      <w:numPr>
        <w:numId w:val="3"/>
      </w:numPr>
    </w:pPr>
  </w:style>
  <w:style w:type="numbering" w:customStyle="1" w:styleId="ChartandTableFootnoteAlphaList">
    <w:name w:val="ChartandTableFootnoteAlphaList"/>
    <w:uiPriority w:val="99"/>
    <w:rsid w:val="000E0B74"/>
    <w:pPr>
      <w:numPr>
        <w:numId w:val="10"/>
      </w:numPr>
    </w:pPr>
  </w:style>
  <w:style w:type="paragraph" w:customStyle="1" w:styleId="Crest">
    <w:name w:val="Crest"/>
    <w:basedOn w:val="Header"/>
    <w:rsid w:val="000E0B74"/>
    <w:pPr>
      <w:spacing w:after="480"/>
      <w:jc w:val="center"/>
    </w:pPr>
    <w:rPr>
      <w:color w:val="000000" w:themeColor="text1"/>
    </w:rPr>
  </w:style>
  <w:style w:type="paragraph" w:customStyle="1" w:styleId="Heading1Numbered">
    <w:name w:val="Heading 1 Numbered"/>
    <w:basedOn w:val="Heading1"/>
    <w:next w:val="Normal"/>
    <w:rsid w:val="000E0B74"/>
    <w:pPr>
      <w:numPr>
        <w:numId w:val="8"/>
      </w:numPr>
    </w:pPr>
  </w:style>
  <w:style w:type="character" w:customStyle="1" w:styleId="SingleParagraphChar">
    <w:name w:val="Single Paragraph Char"/>
    <w:basedOn w:val="DefaultParagraphFont"/>
    <w:link w:val="SingleParagraph"/>
    <w:rsid w:val="000E0B74"/>
    <w:rPr>
      <w:rFonts w:ascii="Calibri" w:eastAsia="Times New Roman" w:hAnsi="Calibri" w:cs="Times New Roman"/>
      <w:szCs w:val="20"/>
      <w:lang w:eastAsia="en-AU"/>
    </w:rPr>
  </w:style>
  <w:style w:type="paragraph" w:customStyle="1" w:styleId="Heading2Numbered">
    <w:name w:val="Heading 2 Numbered"/>
    <w:basedOn w:val="Heading2"/>
    <w:next w:val="Normal"/>
    <w:rsid w:val="000E0B74"/>
    <w:pPr>
      <w:numPr>
        <w:ilvl w:val="1"/>
        <w:numId w:val="8"/>
      </w:numPr>
      <w:ind w:left="284" w:hanging="284"/>
    </w:pPr>
  </w:style>
  <w:style w:type="paragraph" w:customStyle="1" w:styleId="Heading3Numbered">
    <w:name w:val="Heading 3 Numbered"/>
    <w:basedOn w:val="Heading3"/>
    <w:qFormat/>
    <w:rsid w:val="000E0B74"/>
    <w:pPr>
      <w:numPr>
        <w:ilvl w:val="2"/>
        <w:numId w:val="8"/>
      </w:numPr>
      <w:ind w:left="284" w:hanging="284"/>
    </w:pPr>
  </w:style>
  <w:style w:type="paragraph" w:styleId="Title">
    <w:name w:val="Title"/>
    <w:aliases w:val="CAB Title"/>
    <w:basedOn w:val="Normal"/>
    <w:next w:val="Normal"/>
    <w:link w:val="TitleChar"/>
    <w:uiPriority w:val="98"/>
    <w:qFormat/>
    <w:rsid w:val="006564D3"/>
    <w:pPr>
      <w:spacing w:before="0" w:after="300"/>
      <w:contextualSpacing/>
    </w:pPr>
    <w:rPr>
      <w:rFonts w:eastAsiaTheme="majorEastAsia" w:cstheme="majorBidi"/>
      <w:b/>
      <w:color w:val="002C47" w:themeColor="accent1"/>
      <w:spacing w:val="5"/>
      <w:kern w:val="28"/>
      <w:sz w:val="72"/>
      <w:szCs w:val="52"/>
    </w:rPr>
  </w:style>
  <w:style w:type="character" w:customStyle="1" w:styleId="TitleChar">
    <w:name w:val="Title Char"/>
    <w:aliases w:val="CAB Title Char"/>
    <w:basedOn w:val="DefaultParagraphFont"/>
    <w:link w:val="Title"/>
    <w:uiPriority w:val="98"/>
    <w:rsid w:val="006564D3"/>
    <w:rPr>
      <w:rFonts w:ascii="Calibri" w:eastAsiaTheme="majorEastAsia" w:hAnsi="Calibri" w:cstheme="majorBidi"/>
      <w:b/>
      <w:color w:val="002C47" w:themeColor="accent1"/>
      <w:spacing w:val="5"/>
      <w:kern w:val="28"/>
      <w:sz w:val="72"/>
      <w:szCs w:val="52"/>
      <w:lang w:eastAsia="en-AU"/>
    </w:rPr>
  </w:style>
  <w:style w:type="paragraph" w:styleId="Subtitle">
    <w:name w:val="Subtitle"/>
    <w:basedOn w:val="Normal"/>
    <w:next w:val="Normal"/>
    <w:link w:val="SubtitleChar"/>
    <w:uiPriority w:val="11"/>
    <w:qFormat/>
    <w:rsid w:val="006923DF"/>
    <w:pPr>
      <w:numPr>
        <w:ilvl w:val="1"/>
      </w:numPr>
    </w:pPr>
    <w:rPr>
      <w:rFonts w:eastAsiaTheme="majorEastAsia" w:cstheme="majorBidi"/>
      <w:iCs/>
      <w:color w:val="002C4A"/>
      <w:sz w:val="44"/>
      <w:szCs w:val="44"/>
    </w:rPr>
  </w:style>
  <w:style w:type="character" w:customStyle="1" w:styleId="SubtitleChar">
    <w:name w:val="Subtitle Char"/>
    <w:basedOn w:val="DefaultParagraphFont"/>
    <w:link w:val="Subtitle"/>
    <w:uiPriority w:val="11"/>
    <w:rsid w:val="006923DF"/>
    <w:rPr>
      <w:rFonts w:ascii="Calibri" w:eastAsiaTheme="majorEastAsia" w:hAnsi="Calibri" w:cstheme="majorBidi"/>
      <w:iCs/>
      <w:color w:val="002C4A"/>
      <w:sz w:val="44"/>
      <w:szCs w:val="44"/>
      <w:lang w:eastAsia="en-AU"/>
    </w:rPr>
  </w:style>
  <w:style w:type="character" w:styleId="SubtleEmphasis">
    <w:name w:val="Subtle Emphasis"/>
    <w:basedOn w:val="DefaultParagraphFont"/>
    <w:uiPriority w:val="19"/>
    <w:qFormat/>
    <w:rsid w:val="000E0B74"/>
    <w:rPr>
      <w:i/>
      <w:iCs/>
      <w:color w:val="808080" w:themeColor="text1" w:themeTint="7F"/>
    </w:rPr>
  </w:style>
  <w:style w:type="paragraph" w:styleId="Footer">
    <w:name w:val="footer"/>
    <w:basedOn w:val="Normal"/>
    <w:link w:val="FooterChar"/>
    <w:uiPriority w:val="99"/>
    <w:unhideWhenUsed/>
    <w:rsid w:val="00F60198"/>
    <w:pPr>
      <w:tabs>
        <w:tab w:val="center" w:pos="4513"/>
        <w:tab w:val="right" w:pos="9026"/>
      </w:tabs>
      <w:spacing w:before="0" w:after="0"/>
      <w:jc w:val="center"/>
    </w:pPr>
    <w:rPr>
      <w:color w:val="002C47"/>
      <w:sz w:val="20"/>
    </w:rPr>
  </w:style>
  <w:style w:type="character" w:customStyle="1" w:styleId="FooterChar">
    <w:name w:val="Footer Char"/>
    <w:basedOn w:val="DefaultParagraphFont"/>
    <w:link w:val="Footer"/>
    <w:uiPriority w:val="99"/>
    <w:rsid w:val="00F60198"/>
    <w:rPr>
      <w:rFonts w:ascii="Calibri" w:eastAsia="Times New Roman" w:hAnsi="Calibri" w:cs="Times New Roman"/>
      <w:color w:val="002C47"/>
      <w:sz w:val="20"/>
      <w:szCs w:val="20"/>
      <w:lang w:eastAsia="en-AU"/>
    </w:rPr>
  </w:style>
  <w:style w:type="paragraph" w:styleId="Header">
    <w:name w:val="header"/>
    <w:basedOn w:val="Normal"/>
    <w:link w:val="HeaderChar"/>
    <w:uiPriority w:val="98"/>
    <w:unhideWhenUsed/>
    <w:rsid w:val="001606CF"/>
    <w:pPr>
      <w:keepNext/>
      <w:spacing w:before="0" w:after="0"/>
      <w:jc w:val="right"/>
    </w:pPr>
    <w:rPr>
      <w:color w:val="004A7F"/>
      <w:sz w:val="20"/>
    </w:rPr>
  </w:style>
  <w:style w:type="character" w:customStyle="1" w:styleId="HeaderChar">
    <w:name w:val="Header Char"/>
    <w:basedOn w:val="DefaultParagraphFont"/>
    <w:link w:val="Header"/>
    <w:uiPriority w:val="98"/>
    <w:rsid w:val="001606CF"/>
    <w:rPr>
      <w:rFonts w:ascii="Calibri" w:eastAsia="Times New Roman" w:hAnsi="Calibri" w:cs="Times New Roman"/>
      <w:color w:val="004A7F"/>
      <w:sz w:val="20"/>
      <w:szCs w:val="20"/>
      <w:lang w:eastAsia="en-AU"/>
    </w:rPr>
  </w:style>
  <w:style w:type="character" w:styleId="PlaceholderText">
    <w:name w:val="Placeholder Text"/>
    <w:basedOn w:val="DefaultParagraphFont"/>
    <w:uiPriority w:val="99"/>
    <w:semiHidden/>
    <w:rsid w:val="00056880"/>
    <w:rPr>
      <w:color w:val="808080"/>
    </w:rPr>
  </w:style>
  <w:style w:type="paragraph" w:customStyle="1" w:styleId="AppendixHeading">
    <w:name w:val="Appendix Heading"/>
    <w:basedOn w:val="Normal"/>
    <w:next w:val="Normal"/>
    <w:rsid w:val="00285969"/>
    <w:pPr>
      <w:keepNext/>
      <w:spacing w:before="720" w:after="360"/>
    </w:pPr>
    <w:rPr>
      <w:rFonts w:ascii="Arial Bold" w:hAnsi="Arial Bold"/>
      <w:b/>
      <w:smallCaps/>
      <w:color w:val="004A7F"/>
      <w:sz w:val="36"/>
      <w:szCs w:val="36"/>
    </w:rPr>
  </w:style>
  <w:style w:type="paragraph" w:customStyle="1" w:styleId="HeadingBase">
    <w:name w:val="Heading Base"/>
    <w:qFormat/>
    <w:rsid w:val="006564D3"/>
    <w:pPr>
      <w:keepNext/>
      <w:spacing w:after="120" w:line="240" w:lineRule="auto"/>
    </w:pPr>
    <w:rPr>
      <w:rFonts w:ascii="Calibri" w:eastAsia="Times New Roman" w:hAnsi="Calibri" w:cs="Arial"/>
      <w:bCs/>
      <w:color w:val="002C47" w:themeColor="accent1"/>
      <w:kern w:val="32"/>
      <w:sz w:val="48"/>
      <w:szCs w:val="36"/>
      <w:lang w:eastAsia="en-AU"/>
    </w:rPr>
  </w:style>
  <w:style w:type="character" w:customStyle="1" w:styleId="ReportDateChar">
    <w:name w:val="Report Date Char"/>
    <w:basedOn w:val="DefaultParagraphFont"/>
    <w:link w:val="ReportDate"/>
    <w:rsid w:val="006564D3"/>
    <w:rPr>
      <w:rFonts w:ascii="Calibri" w:eastAsia="Times New Roman" w:hAnsi="Calibri" w:cs="Times New Roman"/>
      <w:color w:val="00818F" w:themeColor="accent5"/>
      <w:sz w:val="44"/>
      <w:szCs w:val="20"/>
      <w:lang w:eastAsia="en-AU"/>
    </w:rPr>
  </w:style>
  <w:style w:type="paragraph" w:customStyle="1" w:styleId="Disclaimer">
    <w:name w:val="Disclaimer"/>
    <w:basedOn w:val="ReportDate"/>
    <w:rsid w:val="002F617F"/>
    <w:pPr>
      <w:spacing w:after="1800"/>
      <w:ind w:right="142"/>
    </w:pPr>
    <w:rPr>
      <w:rFonts w:ascii="Century Gothic" w:hAnsi="Century Gothic"/>
      <w:b/>
      <w:bCs/>
      <w:color w:val="5F5F5F" w:themeColor="text2"/>
      <w:sz w:val="22"/>
    </w:rPr>
  </w:style>
  <w:style w:type="character" w:customStyle="1" w:styleId="Heading7Char">
    <w:name w:val="Heading 7 Char"/>
    <w:basedOn w:val="DefaultParagraphFont"/>
    <w:link w:val="Heading7"/>
    <w:uiPriority w:val="9"/>
    <w:semiHidden/>
    <w:rsid w:val="00464D63"/>
    <w:rPr>
      <w:rFonts w:asciiTheme="majorHAnsi" w:eastAsiaTheme="majorEastAsia" w:hAnsiTheme="majorHAnsi" w:cstheme="majorBidi"/>
      <w:i/>
      <w:iCs/>
      <w:color w:val="001523" w:themeColor="accent1" w:themeShade="7F"/>
      <w:szCs w:val="20"/>
      <w:lang w:eastAsia="en-AU"/>
    </w:rPr>
  </w:style>
  <w:style w:type="paragraph" w:customStyle="1" w:styleId="Divider">
    <w:name w:val="Divider"/>
    <w:basedOn w:val="ReportDate"/>
    <w:qFormat/>
    <w:rsid w:val="002F617F"/>
    <w:pPr>
      <w:spacing w:after="1800"/>
    </w:pPr>
    <w:rPr>
      <w:rFonts w:ascii="Rockwell" w:hAnsi="Rockwell"/>
      <w:sz w:val="24"/>
    </w:rPr>
  </w:style>
  <w:style w:type="character" w:customStyle="1" w:styleId="FramedFooter">
    <w:name w:val="Framed Footer"/>
    <w:rsid w:val="00F60198"/>
    <w:rPr>
      <w:rFonts w:ascii="Arial" w:hAnsi="Arial"/>
      <w:color w:val="002C47"/>
      <w:sz w:val="18"/>
    </w:rPr>
  </w:style>
  <w:style w:type="character" w:customStyle="1" w:styleId="FramedHeader">
    <w:name w:val="Framed Header"/>
    <w:basedOn w:val="DefaultParagraphFont"/>
    <w:rsid w:val="0027590B"/>
    <w:rPr>
      <w:rFonts w:ascii="Arial" w:hAnsi="Arial"/>
      <w:dstrike w:val="0"/>
      <w:color w:val="auto"/>
      <w:sz w:val="18"/>
      <w:vertAlign w:val="baseline"/>
    </w:rPr>
  </w:style>
  <w:style w:type="paragraph" w:customStyle="1" w:styleId="TableTextIndented">
    <w:name w:val="Table Text Indented"/>
    <w:basedOn w:val="TableTextLeft"/>
    <w:qFormat/>
    <w:rsid w:val="008E6292"/>
    <w:pPr>
      <w:ind w:left="284"/>
    </w:pPr>
  </w:style>
  <w:style w:type="paragraph" w:customStyle="1" w:styleId="TableHeadingContinued">
    <w:name w:val="Table Heading Continued"/>
    <w:basedOn w:val="TableMainHeading"/>
    <w:next w:val="TableGraphic"/>
    <w:qFormat/>
    <w:rsid w:val="009A277C"/>
  </w:style>
  <w:style w:type="paragraph" w:customStyle="1" w:styleId="TableGraphic">
    <w:name w:val="Table Graphic"/>
    <w:basedOn w:val="HeadingBase"/>
    <w:next w:val="Normal"/>
    <w:qFormat/>
    <w:rsid w:val="008E6292"/>
    <w:pPr>
      <w:spacing w:after="0"/>
    </w:pPr>
  </w:style>
  <w:style w:type="paragraph" w:customStyle="1" w:styleId="HeaderEven">
    <w:name w:val="Header Even"/>
    <w:basedOn w:val="Header"/>
    <w:qFormat/>
    <w:rsid w:val="00F60198"/>
    <w:pPr>
      <w:jc w:val="left"/>
    </w:pPr>
    <w:rPr>
      <w:color w:val="002C47"/>
    </w:rPr>
  </w:style>
  <w:style w:type="paragraph" w:customStyle="1" w:styleId="HeaderOdd">
    <w:name w:val="Header Odd"/>
    <w:basedOn w:val="Header"/>
    <w:qFormat/>
    <w:rsid w:val="00F60198"/>
    <w:rPr>
      <w:color w:val="002C47"/>
    </w:rPr>
  </w:style>
  <w:style w:type="paragraph" w:styleId="FootnoteText">
    <w:name w:val="footnote text"/>
    <w:basedOn w:val="Normal"/>
    <w:link w:val="FootnoteTextChar"/>
    <w:uiPriority w:val="2"/>
    <w:rsid w:val="008C7F71"/>
    <w:pPr>
      <w:spacing w:before="0" w:after="0"/>
    </w:pPr>
    <w:rPr>
      <w:sz w:val="20"/>
    </w:rPr>
  </w:style>
  <w:style w:type="character" w:customStyle="1" w:styleId="FootnoteTextChar">
    <w:name w:val="Footnote Text Char"/>
    <w:basedOn w:val="DefaultParagraphFont"/>
    <w:link w:val="FootnoteText"/>
    <w:uiPriority w:val="2"/>
    <w:rsid w:val="008C7F71"/>
    <w:rPr>
      <w:rFonts w:ascii="Calibri" w:eastAsia="Times New Roman" w:hAnsi="Calibri" w:cs="Times New Roman"/>
      <w:sz w:val="20"/>
      <w:szCs w:val="20"/>
      <w:lang w:eastAsia="en-AU"/>
    </w:rPr>
  </w:style>
  <w:style w:type="character" w:styleId="FootnoteReference">
    <w:name w:val="footnote reference"/>
    <w:aliases w:val="Footnote Reference Number,Footnote Reference_LVL6,Footnote Reference_LVL61,Footnote Reference_LVL62,Footnote Reference_LVL63,Footnote Reference_LVL64,normal,fr,SUPERS,EN Footnote Reference,number,ftref,16 Point,Appel note de bas de p."/>
    <w:basedOn w:val="DefaultParagraphFont"/>
    <w:uiPriority w:val="99"/>
    <w:qFormat/>
    <w:rsid w:val="004C41B6"/>
    <w:rPr>
      <w:rFonts w:ascii="Calibri" w:hAnsi="Calibri"/>
      <w:sz w:val="20"/>
      <w:vertAlign w:val="superscript"/>
    </w:rPr>
  </w:style>
  <w:style w:type="paragraph" w:styleId="BalloonText">
    <w:name w:val="Balloon Text"/>
    <w:basedOn w:val="Normal"/>
    <w:link w:val="BalloonTextChar"/>
    <w:uiPriority w:val="99"/>
    <w:semiHidden/>
    <w:unhideWhenUsed/>
    <w:rsid w:val="00C72318"/>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2318"/>
    <w:rPr>
      <w:rFonts w:ascii="Tahoma" w:eastAsia="Times New Roman" w:hAnsi="Tahoma" w:cs="Tahoma"/>
      <w:sz w:val="16"/>
      <w:szCs w:val="16"/>
      <w:lang w:eastAsia="en-AU"/>
    </w:rPr>
  </w:style>
  <w:style w:type="paragraph" w:styleId="BodyText">
    <w:name w:val="Body Text"/>
    <w:aliases w:val="CAB Body Text"/>
    <w:link w:val="BodyTextChar"/>
    <w:qFormat/>
    <w:rsid w:val="00AE0093"/>
    <w:pPr>
      <w:spacing w:before="120" w:after="0" w:line="240" w:lineRule="auto"/>
    </w:pPr>
    <w:rPr>
      <w:rFonts w:ascii="Arial" w:hAnsi="Arial"/>
    </w:rPr>
  </w:style>
  <w:style w:type="character" w:customStyle="1" w:styleId="BodyTextChar">
    <w:name w:val="Body Text Char"/>
    <w:aliases w:val="CAB Body Text Char"/>
    <w:basedOn w:val="DefaultParagraphFont"/>
    <w:link w:val="BodyText"/>
    <w:rsid w:val="00AE0093"/>
    <w:rPr>
      <w:rFonts w:ascii="Arial" w:hAnsi="Arial"/>
    </w:rPr>
  </w:style>
  <w:style w:type="paragraph" w:customStyle="1" w:styleId="CAB-TableText">
    <w:name w:val="CAB - Table Text"/>
    <w:basedOn w:val="BodyText"/>
    <w:uiPriority w:val="8"/>
    <w:rsid w:val="00AE0093"/>
    <w:pPr>
      <w:spacing w:before="50" w:after="50"/>
    </w:pPr>
    <w:rPr>
      <w:sz w:val="20"/>
      <w:szCs w:val="20"/>
    </w:rPr>
  </w:style>
  <w:style w:type="paragraph" w:customStyle="1" w:styleId="CAB-Border">
    <w:name w:val="CAB - Border"/>
    <w:basedOn w:val="BodyText"/>
    <w:uiPriority w:val="6"/>
    <w:rsid w:val="00AE0093"/>
    <w:pPr>
      <w:pBdr>
        <w:top w:val="single" w:sz="18" w:space="1" w:color="7599BB"/>
      </w:pBdr>
      <w:spacing w:before="160" w:line="20" w:lineRule="exact"/>
    </w:pPr>
  </w:style>
  <w:style w:type="paragraph" w:customStyle="1" w:styleId="ProtectiveMarking">
    <w:name w:val="Protective Marking"/>
    <w:link w:val="ProtectiveMarkingChar"/>
    <w:uiPriority w:val="15"/>
    <w:semiHidden/>
    <w:qFormat/>
    <w:rsid w:val="00AE0093"/>
    <w:pPr>
      <w:spacing w:after="0" w:line="240" w:lineRule="auto"/>
      <w:jc w:val="center"/>
    </w:pPr>
    <w:rPr>
      <w:rFonts w:ascii="Arial" w:hAnsi="Arial"/>
      <w:b/>
      <w:color w:val="FF0000"/>
      <w:sz w:val="30"/>
    </w:rPr>
  </w:style>
  <w:style w:type="character" w:styleId="PageNumber">
    <w:name w:val="page number"/>
    <w:basedOn w:val="DefaultParagraphFont"/>
    <w:uiPriority w:val="99"/>
    <w:semiHidden/>
    <w:unhideWhenUsed/>
    <w:rsid w:val="00AE0093"/>
  </w:style>
  <w:style w:type="paragraph" w:customStyle="1" w:styleId="CAB-AttachmentHeading1">
    <w:name w:val="CAB - Attachment Heading 1"/>
    <w:basedOn w:val="Heading1"/>
    <w:uiPriority w:val="10"/>
    <w:rsid w:val="00AE0093"/>
    <w:pPr>
      <w:keepLines/>
      <w:tabs>
        <w:tab w:val="left" w:pos="567"/>
      </w:tabs>
      <w:spacing w:before="240" w:after="200"/>
    </w:pPr>
    <w:rPr>
      <w:rFonts w:ascii="Arial" w:eastAsiaTheme="majorEastAsia" w:hAnsi="Arial" w:cstheme="majorBidi"/>
      <w:b/>
      <w:bCs/>
      <w:color w:val="003865"/>
      <w:kern w:val="0"/>
      <w:sz w:val="28"/>
      <w:szCs w:val="28"/>
      <w:lang w:eastAsia="en-US"/>
    </w:rPr>
  </w:style>
  <w:style w:type="paragraph" w:customStyle="1" w:styleId="CAB-AttachmentHeading2">
    <w:name w:val="CAB - Attachment Heading 2"/>
    <w:basedOn w:val="Heading2"/>
    <w:uiPriority w:val="11"/>
    <w:rsid w:val="00AE0093"/>
    <w:pPr>
      <w:keepLines/>
      <w:spacing w:before="200" w:after="0"/>
    </w:pPr>
    <w:rPr>
      <w:rFonts w:ascii="Arial" w:eastAsiaTheme="majorEastAsia" w:hAnsi="Arial" w:cstheme="majorBidi"/>
      <w:b/>
      <w:bCs/>
      <w:iCs w:val="0"/>
      <w:color w:val="auto"/>
      <w:kern w:val="0"/>
      <w:sz w:val="25"/>
      <w:szCs w:val="25"/>
      <w:lang w:eastAsia="en-US"/>
    </w:rPr>
  </w:style>
  <w:style w:type="paragraph" w:customStyle="1" w:styleId="ChecklistInstructionCab">
    <w:name w:val="Checklist Instruction Cab"/>
    <w:basedOn w:val="CAB-TableText"/>
    <w:uiPriority w:val="18"/>
    <w:semiHidden/>
    <w:rsid w:val="00AE0093"/>
    <w:rPr>
      <w:sz w:val="18"/>
    </w:rPr>
  </w:style>
  <w:style w:type="paragraph" w:customStyle="1" w:styleId="Spacer">
    <w:name w:val="Spacer"/>
    <w:uiPriority w:val="98"/>
    <w:semiHidden/>
    <w:rsid w:val="00AE0093"/>
    <w:pPr>
      <w:spacing w:after="0" w:line="240" w:lineRule="auto"/>
    </w:pPr>
    <w:rPr>
      <w:rFonts w:ascii="Arial" w:hAnsi="Arial"/>
      <w:sz w:val="4"/>
      <w:szCs w:val="4"/>
    </w:rPr>
  </w:style>
  <w:style w:type="paragraph" w:customStyle="1" w:styleId="DocNoCab">
    <w:name w:val="Doc No Cab"/>
    <w:basedOn w:val="CAB-AttachmentHeading2"/>
    <w:uiPriority w:val="14"/>
    <w:semiHidden/>
    <w:rsid w:val="00AE0093"/>
    <w:pPr>
      <w:ind w:left="34"/>
      <w:jc w:val="right"/>
    </w:pPr>
    <w:rPr>
      <w:noProof/>
      <w:lang w:val="en-US"/>
    </w:rPr>
  </w:style>
  <w:style w:type="paragraph" w:customStyle="1" w:styleId="CAB-RecommendationList">
    <w:name w:val="CAB - Recommendation List"/>
    <w:basedOn w:val="Normal"/>
    <w:uiPriority w:val="1"/>
    <w:rsid w:val="00AE0093"/>
    <w:pPr>
      <w:spacing w:before="0" w:after="0" w:line="276" w:lineRule="auto"/>
    </w:pPr>
    <w:rPr>
      <w:rFonts w:ascii="Arial" w:eastAsiaTheme="minorHAnsi" w:hAnsi="Arial" w:cstheme="minorBidi"/>
      <w:szCs w:val="22"/>
      <w:lang w:eastAsia="en-US"/>
    </w:rPr>
  </w:style>
  <w:style w:type="character" w:styleId="CommentReference">
    <w:name w:val="annotation reference"/>
    <w:basedOn w:val="DefaultParagraphFont"/>
    <w:uiPriority w:val="99"/>
    <w:semiHidden/>
    <w:unhideWhenUsed/>
    <w:rsid w:val="00AE0093"/>
    <w:rPr>
      <w:sz w:val="16"/>
      <w:szCs w:val="16"/>
    </w:rPr>
  </w:style>
  <w:style w:type="paragraph" w:styleId="CommentText">
    <w:name w:val="annotation text"/>
    <w:basedOn w:val="Normal"/>
    <w:link w:val="CommentTextChar"/>
    <w:uiPriority w:val="99"/>
    <w:unhideWhenUsed/>
    <w:rsid w:val="00AE0093"/>
    <w:pPr>
      <w:spacing w:before="0" w:after="200" w:line="276" w:lineRule="auto"/>
    </w:pPr>
    <w:rPr>
      <w:rFonts w:ascii="Arial" w:eastAsiaTheme="minorHAnsi" w:hAnsi="Arial" w:cstheme="minorBidi"/>
      <w:sz w:val="20"/>
      <w:lang w:eastAsia="en-US"/>
    </w:rPr>
  </w:style>
  <w:style w:type="character" w:customStyle="1" w:styleId="CommentTextChar">
    <w:name w:val="Comment Text Char"/>
    <w:basedOn w:val="DefaultParagraphFont"/>
    <w:link w:val="CommentText"/>
    <w:uiPriority w:val="99"/>
    <w:rsid w:val="00AE0093"/>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AE0093"/>
    <w:rPr>
      <w:b/>
      <w:bCs/>
    </w:rPr>
  </w:style>
  <w:style w:type="character" w:customStyle="1" w:styleId="CommentSubjectChar">
    <w:name w:val="Comment Subject Char"/>
    <w:basedOn w:val="CommentTextChar"/>
    <w:link w:val="CommentSubject"/>
    <w:uiPriority w:val="99"/>
    <w:semiHidden/>
    <w:rsid w:val="00AE0093"/>
    <w:rPr>
      <w:rFonts w:ascii="Arial" w:hAnsi="Arial"/>
      <w:b/>
      <w:bCs/>
      <w:sz w:val="20"/>
      <w:szCs w:val="20"/>
    </w:rPr>
  </w:style>
  <w:style w:type="paragraph" w:customStyle="1" w:styleId="CAB-Heading1">
    <w:name w:val="CAB - Heading 1"/>
    <w:basedOn w:val="Heading1"/>
    <w:link w:val="CAB-Heading1Char"/>
    <w:uiPriority w:val="98"/>
    <w:rsid w:val="00AE0093"/>
    <w:pPr>
      <w:keepLines/>
      <w:tabs>
        <w:tab w:val="left" w:pos="567"/>
      </w:tabs>
      <w:spacing w:before="240" w:after="200"/>
    </w:pPr>
    <w:rPr>
      <w:rFonts w:ascii="Arial" w:eastAsiaTheme="majorEastAsia" w:hAnsi="Arial" w:cstheme="majorBidi"/>
      <w:b/>
      <w:bCs/>
      <w:color w:val="003865"/>
      <w:sz w:val="28"/>
      <w:szCs w:val="28"/>
    </w:rPr>
  </w:style>
  <w:style w:type="character" w:customStyle="1" w:styleId="CAB-Heading1Char">
    <w:name w:val="CAB - Heading 1 Char"/>
    <w:basedOn w:val="Heading1Char"/>
    <w:link w:val="CAB-Heading1"/>
    <w:uiPriority w:val="98"/>
    <w:rsid w:val="00AE0093"/>
    <w:rPr>
      <w:rFonts w:ascii="Arial" w:eastAsiaTheme="majorEastAsia" w:hAnsi="Arial" w:cstheme="majorBidi"/>
      <w:b/>
      <w:bCs/>
      <w:color w:val="003865"/>
      <w:kern w:val="32"/>
      <w:sz w:val="28"/>
      <w:szCs w:val="28"/>
      <w:lang w:eastAsia="en-AU"/>
    </w:rPr>
  </w:style>
  <w:style w:type="paragraph" w:customStyle="1" w:styleId="CAB-Heading2">
    <w:name w:val="CAB - Heading 2"/>
    <w:basedOn w:val="Normal"/>
    <w:link w:val="CAB-Heading2Char"/>
    <w:uiPriority w:val="98"/>
    <w:rsid w:val="00AE0093"/>
    <w:pPr>
      <w:keepNext/>
      <w:keepLines/>
      <w:tabs>
        <w:tab w:val="left" w:pos="567"/>
      </w:tabs>
      <w:spacing w:before="0" w:after="0" w:line="276" w:lineRule="auto"/>
      <w:outlineLvl w:val="0"/>
    </w:pPr>
    <w:rPr>
      <w:rFonts w:ascii="Arial" w:eastAsiaTheme="majorEastAsia" w:hAnsi="Arial" w:cstheme="majorBidi"/>
      <w:b/>
      <w:bCs/>
      <w:color w:val="003865"/>
      <w:sz w:val="24"/>
      <w:szCs w:val="28"/>
      <w:lang w:eastAsia="en-US"/>
    </w:rPr>
  </w:style>
  <w:style w:type="paragraph" w:customStyle="1" w:styleId="CAB-Heading3">
    <w:name w:val="CAB - Heading 3"/>
    <w:basedOn w:val="Heading2"/>
    <w:link w:val="CAB-Heading3Char"/>
    <w:uiPriority w:val="98"/>
    <w:rsid w:val="00AE0093"/>
    <w:pPr>
      <w:keepLines/>
      <w:spacing w:before="200" w:after="0"/>
    </w:pPr>
    <w:rPr>
      <w:rFonts w:ascii="Arial" w:eastAsiaTheme="majorEastAsia" w:hAnsi="Arial" w:cstheme="majorBidi"/>
      <w:b/>
      <w:bCs/>
      <w:iCs w:val="0"/>
      <w:color w:val="004A7F"/>
      <w:sz w:val="24"/>
      <w:szCs w:val="32"/>
    </w:rPr>
  </w:style>
  <w:style w:type="character" w:customStyle="1" w:styleId="CAB-Heading2Char">
    <w:name w:val="CAB - Heading 2 Char"/>
    <w:basedOn w:val="DefaultParagraphFont"/>
    <w:link w:val="CAB-Heading2"/>
    <w:uiPriority w:val="98"/>
    <w:rsid w:val="00AE0093"/>
    <w:rPr>
      <w:rFonts w:ascii="Arial" w:eastAsiaTheme="majorEastAsia" w:hAnsi="Arial" w:cstheme="majorBidi"/>
      <w:b/>
      <w:bCs/>
      <w:color w:val="003865"/>
      <w:sz w:val="24"/>
      <w:szCs w:val="28"/>
    </w:rPr>
  </w:style>
  <w:style w:type="paragraph" w:customStyle="1" w:styleId="CABParagraph">
    <w:name w:val="CAB Paragraph"/>
    <w:basedOn w:val="BodyText"/>
    <w:link w:val="CABParagraphChar"/>
    <w:uiPriority w:val="98"/>
    <w:qFormat/>
    <w:rsid w:val="00AE0093"/>
  </w:style>
  <w:style w:type="character" w:customStyle="1" w:styleId="CAB-Heading3Char">
    <w:name w:val="CAB - Heading 3 Char"/>
    <w:basedOn w:val="Heading2Char"/>
    <w:link w:val="CAB-Heading3"/>
    <w:uiPriority w:val="98"/>
    <w:rsid w:val="00AE0093"/>
    <w:rPr>
      <w:rFonts w:ascii="Arial" w:eastAsiaTheme="majorEastAsia" w:hAnsi="Arial" w:cstheme="majorBidi"/>
      <w:b/>
      <w:bCs/>
      <w:iCs w:val="0"/>
      <w:color w:val="004A7F"/>
      <w:kern w:val="32"/>
      <w:sz w:val="24"/>
      <w:szCs w:val="32"/>
      <w:lang w:eastAsia="en-AU"/>
    </w:rPr>
  </w:style>
  <w:style w:type="character" w:customStyle="1" w:styleId="CABParagraphChar">
    <w:name w:val="CAB Paragraph Char"/>
    <w:basedOn w:val="BodyTextChar"/>
    <w:link w:val="CABParagraph"/>
    <w:uiPriority w:val="98"/>
    <w:rsid w:val="00AE0093"/>
    <w:rPr>
      <w:rFonts w:ascii="Arial" w:hAnsi="Arial"/>
    </w:rPr>
  </w:style>
  <w:style w:type="character" w:styleId="FollowedHyperlink">
    <w:name w:val="FollowedHyperlink"/>
    <w:basedOn w:val="DefaultParagraphFont"/>
    <w:uiPriority w:val="99"/>
    <w:semiHidden/>
    <w:unhideWhenUsed/>
    <w:rsid w:val="00AE0093"/>
    <w:rPr>
      <w:color w:val="E61E26" w:themeColor="followedHyperlink"/>
      <w:u w:val="single"/>
    </w:rPr>
  </w:style>
  <w:style w:type="paragraph" w:customStyle="1" w:styleId="CAB-AttachmentHeading3">
    <w:name w:val="CAB - Attachment Heading 3"/>
    <w:basedOn w:val="Heading3"/>
    <w:uiPriority w:val="98"/>
    <w:rsid w:val="00AE0093"/>
    <w:pPr>
      <w:keepNext w:val="0"/>
      <w:spacing w:before="160" w:after="0"/>
    </w:pPr>
    <w:rPr>
      <w:rFonts w:ascii="Arial" w:eastAsiaTheme="majorEastAsia" w:hAnsi="Arial" w:cstheme="majorBidi"/>
      <w:b/>
      <w:bCs/>
      <w:iCs/>
      <w:color w:val="auto"/>
      <w:kern w:val="0"/>
      <w:sz w:val="22"/>
      <w:szCs w:val="22"/>
      <w:lang w:eastAsia="en-US"/>
    </w:rPr>
  </w:style>
  <w:style w:type="paragraph" w:customStyle="1" w:styleId="CAB-TableHeading">
    <w:name w:val="CAB - Table Heading"/>
    <w:basedOn w:val="CAB-TableText"/>
    <w:uiPriority w:val="7"/>
    <w:rsid w:val="00AE0093"/>
    <w:rPr>
      <w:b/>
    </w:rPr>
  </w:style>
  <w:style w:type="paragraph" w:customStyle="1" w:styleId="CABH2">
    <w:name w:val="CAB H2"/>
    <w:basedOn w:val="Normal"/>
    <w:link w:val="CABH2Char"/>
    <w:uiPriority w:val="98"/>
    <w:qFormat/>
    <w:rsid w:val="00AE0093"/>
    <w:pPr>
      <w:keepNext/>
      <w:keepLines/>
      <w:tabs>
        <w:tab w:val="left" w:pos="567"/>
      </w:tabs>
      <w:spacing w:before="240" w:after="200" w:line="276" w:lineRule="auto"/>
      <w:outlineLvl w:val="0"/>
    </w:pPr>
    <w:rPr>
      <w:rFonts w:ascii="Arial" w:eastAsiaTheme="majorEastAsia" w:hAnsi="Arial" w:cstheme="majorBidi"/>
      <w:b/>
      <w:bCs/>
      <w:color w:val="003865"/>
      <w:sz w:val="24"/>
      <w:szCs w:val="28"/>
      <w:lang w:eastAsia="en-US"/>
    </w:rPr>
  </w:style>
  <w:style w:type="character" w:customStyle="1" w:styleId="CABH2Char">
    <w:name w:val="CAB H2 Char"/>
    <w:basedOn w:val="DefaultParagraphFont"/>
    <w:link w:val="CABH2"/>
    <w:uiPriority w:val="98"/>
    <w:rsid w:val="00AE0093"/>
    <w:rPr>
      <w:rFonts w:ascii="Arial" w:eastAsiaTheme="majorEastAsia" w:hAnsi="Arial" w:cstheme="majorBidi"/>
      <w:b/>
      <w:bCs/>
      <w:color w:val="003865"/>
      <w:sz w:val="24"/>
      <w:szCs w:val="28"/>
    </w:rPr>
  </w:style>
  <w:style w:type="paragraph" w:customStyle="1" w:styleId="CABParagraph0">
    <w:name w:val="CAB Paragraph."/>
    <w:basedOn w:val="BodyText"/>
    <w:link w:val="CABParagraphChar0"/>
    <w:uiPriority w:val="98"/>
    <w:rsid w:val="00AE0093"/>
  </w:style>
  <w:style w:type="character" w:customStyle="1" w:styleId="CABParagraphChar0">
    <w:name w:val="CAB Paragraph. Char"/>
    <w:basedOn w:val="BodyTextChar"/>
    <w:link w:val="CABParagraph0"/>
    <w:uiPriority w:val="98"/>
    <w:rsid w:val="00AE0093"/>
    <w:rPr>
      <w:rFonts w:ascii="Arial" w:hAnsi="Arial"/>
    </w:rPr>
  </w:style>
  <w:style w:type="paragraph" w:customStyle="1" w:styleId="PageRefCab">
    <w:name w:val="Page Ref Cab"/>
    <w:uiPriority w:val="98"/>
    <w:semiHidden/>
    <w:rsid w:val="00AE0093"/>
    <w:pPr>
      <w:framePr w:wrap="around" w:vAnchor="text" w:hAnchor="page" w:x="9403" w:y="139"/>
      <w:spacing w:after="200" w:line="240" w:lineRule="auto"/>
    </w:pPr>
    <w:rPr>
      <w:rFonts w:ascii="Arial" w:hAnsi="Arial"/>
      <w:sz w:val="18"/>
      <w:szCs w:val="18"/>
    </w:rPr>
  </w:style>
  <w:style w:type="paragraph" w:customStyle="1" w:styleId="CABFooter">
    <w:name w:val="CAB Footer"/>
    <w:basedOn w:val="Normal"/>
    <w:rsid w:val="00AE0093"/>
    <w:pPr>
      <w:tabs>
        <w:tab w:val="right" w:pos="7513"/>
      </w:tabs>
      <w:spacing w:before="0" w:after="0" w:line="276" w:lineRule="auto"/>
      <w:ind w:right="357"/>
      <w:jc w:val="center"/>
    </w:pPr>
    <w:rPr>
      <w:rFonts w:ascii="Times New Roman" w:eastAsiaTheme="minorHAnsi" w:hAnsi="Times New Roman" w:cstheme="minorBidi"/>
      <w:sz w:val="18"/>
      <w:szCs w:val="18"/>
      <w:lang w:eastAsia="en-US"/>
    </w:rPr>
  </w:style>
  <w:style w:type="paragraph" w:customStyle="1" w:styleId="CABTableText">
    <w:name w:val="CAB Table Text"/>
    <w:basedOn w:val="BodyText"/>
    <w:uiPriority w:val="8"/>
    <w:qFormat/>
    <w:rsid w:val="00AE0093"/>
    <w:pPr>
      <w:spacing w:before="50" w:after="50"/>
    </w:pPr>
    <w:rPr>
      <w:sz w:val="20"/>
      <w:szCs w:val="20"/>
    </w:rPr>
  </w:style>
  <w:style w:type="paragraph" w:styleId="ListParagraph">
    <w:name w:val="List Paragraph"/>
    <w:aliases w:val="CAB - List Bullet,List Bullet Cab,Lists,lp1,Use Case List Paragraph,numbered,Bullet List,FooterText,List Paragraph1,Use Case List ParagraphCxSpLast,Paragraphe de liste1,Bulletr List Paragraph,列出段落,列出段落1,lp11,List Paragraph11,L,1 heading"/>
    <w:basedOn w:val="BodyText"/>
    <w:link w:val="ListParagraphChar"/>
    <w:uiPriority w:val="34"/>
    <w:qFormat/>
    <w:rsid w:val="00AE0093"/>
    <w:pPr>
      <w:tabs>
        <w:tab w:val="left" w:pos="851"/>
      </w:tabs>
      <w:spacing w:before="0"/>
      <w:ind w:left="851" w:hanging="284"/>
      <w:contextualSpacing/>
    </w:pPr>
  </w:style>
  <w:style w:type="paragraph" w:customStyle="1" w:styleId="BorderCab">
    <w:name w:val="Border Cab"/>
    <w:basedOn w:val="BodyText"/>
    <w:uiPriority w:val="6"/>
    <w:rsid w:val="00AE0093"/>
    <w:pPr>
      <w:pBdr>
        <w:top w:val="single" w:sz="18" w:space="1" w:color="7599BB"/>
      </w:pBdr>
      <w:spacing w:before="240" w:line="20" w:lineRule="exact"/>
    </w:pPr>
  </w:style>
  <w:style w:type="paragraph" w:customStyle="1" w:styleId="SummaryHeading1Cab">
    <w:name w:val="Summary Heading 1 Cab"/>
    <w:basedOn w:val="Heading1"/>
    <w:link w:val="SummaryHeading1CabChar"/>
    <w:uiPriority w:val="13"/>
    <w:semiHidden/>
    <w:qFormat/>
    <w:rsid w:val="00AE0093"/>
    <w:pPr>
      <w:keepLines/>
      <w:tabs>
        <w:tab w:val="left" w:pos="567"/>
      </w:tabs>
      <w:spacing w:before="120" w:after="0"/>
    </w:pPr>
    <w:rPr>
      <w:rFonts w:ascii="Arial" w:eastAsiaTheme="majorEastAsia" w:hAnsi="Arial" w:cstheme="majorBidi"/>
      <w:b/>
      <w:bCs/>
      <w:color w:val="003865"/>
      <w:sz w:val="24"/>
      <w:szCs w:val="28"/>
    </w:rPr>
  </w:style>
  <w:style w:type="paragraph" w:customStyle="1" w:styleId="CABTableHeading">
    <w:name w:val="CAB Table Heading"/>
    <w:basedOn w:val="CABTableText"/>
    <w:uiPriority w:val="7"/>
    <w:qFormat/>
    <w:rsid w:val="00AE0093"/>
    <w:rPr>
      <w:b/>
    </w:rPr>
  </w:style>
  <w:style w:type="paragraph" w:customStyle="1" w:styleId="SectionTitleCab">
    <w:name w:val="Section Title Cab"/>
    <w:basedOn w:val="Title"/>
    <w:link w:val="SectionTitleCabChar"/>
    <w:uiPriority w:val="17"/>
    <w:semiHidden/>
    <w:qFormat/>
    <w:rsid w:val="00AE0093"/>
    <w:pPr>
      <w:tabs>
        <w:tab w:val="center" w:pos="1313"/>
      </w:tabs>
      <w:spacing w:before="240" w:after="60"/>
      <w:contextualSpacing w:val="0"/>
    </w:pPr>
    <w:rPr>
      <w:rFonts w:ascii="Arial" w:hAnsi="Arial"/>
      <w:color w:val="003865"/>
      <w:sz w:val="40"/>
      <w:szCs w:val="20"/>
    </w:rPr>
  </w:style>
  <w:style w:type="paragraph" w:customStyle="1" w:styleId="AttachmentHeading1Cab">
    <w:name w:val="Attachment Heading 1 Cab"/>
    <w:basedOn w:val="Heading1"/>
    <w:uiPriority w:val="10"/>
    <w:rsid w:val="00AE0093"/>
    <w:pPr>
      <w:keepLines/>
      <w:tabs>
        <w:tab w:val="left" w:pos="567"/>
      </w:tabs>
      <w:spacing w:before="240" w:after="200"/>
    </w:pPr>
    <w:rPr>
      <w:rFonts w:ascii="Arial" w:eastAsiaTheme="majorEastAsia" w:hAnsi="Arial" w:cstheme="majorBidi"/>
      <w:b/>
      <w:bCs/>
      <w:color w:val="003865"/>
      <w:kern w:val="0"/>
      <w:sz w:val="28"/>
      <w:szCs w:val="28"/>
      <w:lang w:eastAsia="en-US"/>
    </w:rPr>
  </w:style>
  <w:style w:type="paragraph" w:customStyle="1" w:styleId="AttachmentHeading2Cab">
    <w:name w:val="Attachment Heading 2 Cab"/>
    <w:basedOn w:val="Heading2"/>
    <w:uiPriority w:val="11"/>
    <w:rsid w:val="00AE0093"/>
    <w:pPr>
      <w:keepLines/>
      <w:spacing w:before="200" w:after="0"/>
    </w:pPr>
    <w:rPr>
      <w:rFonts w:ascii="Arial" w:eastAsiaTheme="majorEastAsia" w:hAnsi="Arial" w:cstheme="majorBidi"/>
      <w:b/>
      <w:bCs/>
      <w:iCs w:val="0"/>
      <w:color w:val="auto"/>
      <w:kern w:val="0"/>
      <w:sz w:val="25"/>
      <w:szCs w:val="25"/>
      <w:lang w:eastAsia="en-US"/>
    </w:rPr>
  </w:style>
  <w:style w:type="paragraph" w:customStyle="1" w:styleId="RecommendationListCab">
    <w:name w:val="Recommendation List Cab"/>
    <w:basedOn w:val="Normal"/>
    <w:uiPriority w:val="1"/>
    <w:rsid w:val="00AE0093"/>
    <w:pPr>
      <w:spacing w:before="0" w:after="0" w:line="276" w:lineRule="auto"/>
    </w:pPr>
    <w:rPr>
      <w:rFonts w:ascii="Arial" w:eastAsiaTheme="minorHAnsi" w:hAnsi="Arial" w:cstheme="minorBidi"/>
      <w:szCs w:val="22"/>
      <w:lang w:eastAsia="en-US"/>
    </w:rPr>
  </w:style>
  <w:style w:type="paragraph" w:customStyle="1" w:styleId="CABH1">
    <w:name w:val="CAB H1"/>
    <w:basedOn w:val="SectionTitleCab"/>
    <w:link w:val="CABH1Char"/>
    <w:uiPriority w:val="98"/>
    <w:qFormat/>
    <w:rsid w:val="00AE0093"/>
    <w:pPr>
      <w:tabs>
        <w:tab w:val="left" w:pos="5932"/>
      </w:tabs>
    </w:pPr>
  </w:style>
  <w:style w:type="character" w:customStyle="1" w:styleId="SectionTitleCabChar">
    <w:name w:val="Section Title Cab Char"/>
    <w:basedOn w:val="TitleChar"/>
    <w:link w:val="SectionTitleCab"/>
    <w:uiPriority w:val="17"/>
    <w:semiHidden/>
    <w:rsid w:val="00AE0093"/>
    <w:rPr>
      <w:rFonts w:ascii="Arial" w:eastAsiaTheme="majorEastAsia" w:hAnsi="Arial" w:cstheme="majorBidi"/>
      <w:b/>
      <w:color w:val="003865"/>
      <w:spacing w:val="5"/>
      <w:kern w:val="28"/>
      <w:sz w:val="40"/>
      <w:szCs w:val="20"/>
      <w:lang w:eastAsia="en-AU"/>
    </w:rPr>
  </w:style>
  <w:style w:type="character" w:customStyle="1" w:styleId="CABH1Char">
    <w:name w:val="CAB H1 Char"/>
    <w:basedOn w:val="SectionTitleCabChar"/>
    <w:link w:val="CABH1"/>
    <w:uiPriority w:val="98"/>
    <w:rsid w:val="00AE0093"/>
    <w:rPr>
      <w:rFonts w:ascii="Arial" w:eastAsiaTheme="majorEastAsia" w:hAnsi="Arial" w:cstheme="majorBidi"/>
      <w:b/>
      <w:color w:val="003865"/>
      <w:spacing w:val="5"/>
      <w:kern w:val="28"/>
      <w:sz w:val="40"/>
      <w:szCs w:val="20"/>
      <w:lang w:eastAsia="en-AU"/>
    </w:rPr>
  </w:style>
  <w:style w:type="character" w:customStyle="1" w:styleId="SummaryHeading1CabChar">
    <w:name w:val="Summary Heading 1 Cab Char"/>
    <w:basedOn w:val="Heading1Char"/>
    <w:link w:val="SummaryHeading1Cab"/>
    <w:uiPriority w:val="13"/>
    <w:semiHidden/>
    <w:rsid w:val="00AE0093"/>
    <w:rPr>
      <w:rFonts w:ascii="Arial" w:eastAsiaTheme="majorEastAsia" w:hAnsi="Arial" w:cstheme="majorBidi"/>
      <w:b/>
      <w:bCs/>
      <w:color w:val="003865"/>
      <w:kern w:val="32"/>
      <w:sz w:val="24"/>
      <w:szCs w:val="28"/>
      <w:lang w:eastAsia="en-AU"/>
    </w:rPr>
  </w:style>
  <w:style w:type="paragraph" w:customStyle="1" w:styleId="AttachmentHeading3">
    <w:name w:val="Attachment Heading 3"/>
    <w:basedOn w:val="Heading3"/>
    <w:uiPriority w:val="98"/>
    <w:rsid w:val="00AE0093"/>
    <w:pPr>
      <w:keepNext w:val="0"/>
      <w:spacing w:before="160" w:after="0"/>
    </w:pPr>
    <w:rPr>
      <w:rFonts w:ascii="Arial" w:eastAsiaTheme="majorEastAsia" w:hAnsi="Arial" w:cstheme="majorBidi"/>
      <w:b/>
      <w:bCs/>
      <w:iCs/>
      <w:color w:val="auto"/>
      <w:kern w:val="0"/>
      <w:sz w:val="22"/>
      <w:szCs w:val="22"/>
      <w:lang w:eastAsia="en-US"/>
    </w:rPr>
  </w:style>
  <w:style w:type="paragraph" w:styleId="Revision">
    <w:name w:val="Revision"/>
    <w:hidden/>
    <w:uiPriority w:val="99"/>
    <w:semiHidden/>
    <w:rsid w:val="00AE0093"/>
    <w:pPr>
      <w:spacing w:after="0" w:line="240" w:lineRule="auto"/>
    </w:pPr>
    <w:rPr>
      <w:rFonts w:ascii="Arial" w:hAnsi="Arial"/>
    </w:rPr>
  </w:style>
  <w:style w:type="paragraph" w:customStyle="1" w:styleId="CABNumberedParagraph">
    <w:name w:val="CAB Numbered Paragraph"/>
    <w:basedOn w:val="Normal"/>
    <w:uiPriority w:val="98"/>
    <w:rsid w:val="00AE0093"/>
    <w:pPr>
      <w:numPr>
        <w:ilvl w:val="1"/>
        <w:numId w:val="11"/>
      </w:numPr>
      <w:tabs>
        <w:tab w:val="clear" w:pos="340"/>
      </w:tabs>
      <w:spacing w:before="0" w:after="200" w:line="276" w:lineRule="auto"/>
      <w:ind w:left="567" w:hanging="567"/>
    </w:pPr>
    <w:rPr>
      <w:rFonts w:ascii="Arial" w:eastAsiaTheme="minorHAnsi" w:hAnsi="Arial" w:cstheme="minorBidi"/>
      <w:szCs w:val="22"/>
      <w:lang w:eastAsia="en-US"/>
    </w:rPr>
  </w:style>
  <w:style w:type="paragraph" w:customStyle="1" w:styleId="CABBulletList">
    <w:name w:val="CAB Bullet List"/>
    <w:basedOn w:val="ListParagraph"/>
    <w:uiPriority w:val="98"/>
    <w:qFormat/>
    <w:rsid w:val="00AE0093"/>
    <w:pPr>
      <w:numPr>
        <w:numId w:val="12"/>
      </w:numPr>
      <w:tabs>
        <w:tab w:val="num" w:pos="283"/>
      </w:tabs>
      <w:spacing w:before="60" w:after="60"/>
      <w:ind w:left="850" w:hanging="288"/>
    </w:pPr>
  </w:style>
  <w:style w:type="paragraph" w:customStyle="1" w:styleId="StyleCAB-RecommendationListJustified">
    <w:name w:val="Style CAB - Recommendation List + Justified"/>
    <w:basedOn w:val="CAB-RecommendationList"/>
    <w:rsid w:val="00AE0093"/>
    <w:pPr>
      <w:ind w:left="567" w:hanging="567"/>
      <w:jc w:val="both"/>
    </w:pPr>
    <w:rPr>
      <w:rFonts w:eastAsia="Times New Roman" w:cs="Times New Roman"/>
      <w:szCs w:val="20"/>
    </w:rPr>
  </w:style>
  <w:style w:type="paragraph" w:customStyle="1" w:styleId="CABBodyTextBold">
    <w:name w:val="CAB Body Text Bold"/>
    <w:basedOn w:val="BodyText"/>
    <w:qFormat/>
    <w:rsid w:val="00AE0093"/>
    <w:rPr>
      <w:b/>
      <w:bCs/>
    </w:rPr>
  </w:style>
  <w:style w:type="paragraph" w:customStyle="1" w:styleId="CABList">
    <w:name w:val="CAB List"/>
    <w:basedOn w:val="BodyText"/>
    <w:uiPriority w:val="98"/>
    <w:qFormat/>
    <w:rsid w:val="00AE0093"/>
    <w:pPr>
      <w:numPr>
        <w:numId w:val="14"/>
      </w:numPr>
      <w:tabs>
        <w:tab w:val="left" w:pos="4253"/>
      </w:tabs>
    </w:pPr>
  </w:style>
  <w:style w:type="paragraph" w:customStyle="1" w:styleId="CABH2Info">
    <w:name w:val="CAB H2 Info"/>
    <w:basedOn w:val="Heading2"/>
    <w:uiPriority w:val="98"/>
    <w:qFormat/>
    <w:rsid w:val="00AE0093"/>
    <w:pPr>
      <w:keepLines/>
      <w:spacing w:before="200" w:after="0"/>
    </w:pPr>
    <w:rPr>
      <w:rFonts w:ascii="Arial" w:eastAsiaTheme="majorEastAsia" w:hAnsi="Arial" w:cstheme="majorBidi"/>
      <w:b/>
      <w:bCs/>
      <w:iCs w:val="0"/>
      <w:color w:val="auto"/>
      <w:kern w:val="0"/>
      <w:sz w:val="24"/>
      <w:szCs w:val="32"/>
      <w:lang w:eastAsia="en-US"/>
    </w:rPr>
  </w:style>
  <w:style w:type="paragraph" w:customStyle="1" w:styleId="CABRecommendationsList">
    <w:name w:val="CAB Recommendations List"/>
    <w:uiPriority w:val="98"/>
    <w:rsid w:val="00AE0093"/>
    <w:pPr>
      <w:numPr>
        <w:numId w:val="13"/>
      </w:numPr>
      <w:spacing w:before="120" w:after="200" w:line="240" w:lineRule="auto"/>
      <w:ind w:left="589" w:hanging="232"/>
      <w:jc w:val="both"/>
    </w:pPr>
    <w:rPr>
      <w:rFonts w:ascii="Arial" w:hAnsi="Arial"/>
    </w:rPr>
  </w:style>
  <w:style w:type="paragraph" w:customStyle="1" w:styleId="CABTitle2">
    <w:name w:val="CAB Title 2"/>
    <w:basedOn w:val="Normal"/>
    <w:link w:val="CABTitle2Char"/>
    <w:uiPriority w:val="98"/>
    <w:qFormat/>
    <w:rsid w:val="00AE0093"/>
    <w:pPr>
      <w:keepNext/>
      <w:keepLines/>
      <w:tabs>
        <w:tab w:val="left" w:pos="567"/>
      </w:tabs>
      <w:spacing w:before="240" w:after="200"/>
      <w:jc w:val="center"/>
      <w:outlineLvl w:val="0"/>
    </w:pPr>
    <w:rPr>
      <w:rFonts w:ascii="Arial" w:eastAsiaTheme="majorEastAsia" w:hAnsi="Arial" w:cstheme="majorBidi"/>
      <w:b/>
      <w:bCs/>
      <w:color w:val="003865"/>
      <w:sz w:val="24"/>
      <w:szCs w:val="28"/>
      <w:lang w:eastAsia="en-US"/>
    </w:rPr>
  </w:style>
  <w:style w:type="character" w:customStyle="1" w:styleId="CABTitle2Char">
    <w:name w:val="CAB Title 2 Char"/>
    <w:basedOn w:val="DefaultParagraphFont"/>
    <w:link w:val="CABTitle2"/>
    <w:uiPriority w:val="98"/>
    <w:rsid w:val="00AE0093"/>
    <w:rPr>
      <w:rFonts w:ascii="Arial" w:eastAsiaTheme="majorEastAsia" w:hAnsi="Arial" w:cstheme="majorBidi"/>
      <w:b/>
      <w:bCs/>
      <w:color w:val="003865"/>
      <w:sz w:val="24"/>
      <w:szCs w:val="28"/>
    </w:rPr>
  </w:style>
  <w:style w:type="paragraph" w:customStyle="1" w:styleId="CABAttachmentNumber">
    <w:name w:val="CAB Attachment Number"/>
    <w:basedOn w:val="ProtectiveMarking"/>
    <w:link w:val="CABAttachmentNumberChar"/>
    <w:uiPriority w:val="98"/>
    <w:rsid w:val="00AE0093"/>
    <w:pPr>
      <w:spacing w:before="160" w:after="240"/>
      <w:ind w:left="144"/>
      <w:jc w:val="right"/>
    </w:pPr>
    <w:rPr>
      <w:color w:val="002060"/>
      <w:sz w:val="24"/>
    </w:rPr>
  </w:style>
  <w:style w:type="character" w:customStyle="1" w:styleId="ProtectiveMarkingChar">
    <w:name w:val="Protective Marking Char"/>
    <w:basedOn w:val="DefaultParagraphFont"/>
    <w:link w:val="ProtectiveMarking"/>
    <w:uiPriority w:val="15"/>
    <w:semiHidden/>
    <w:rsid w:val="00AE0093"/>
    <w:rPr>
      <w:rFonts w:ascii="Arial" w:hAnsi="Arial"/>
      <w:b/>
      <w:color w:val="FF0000"/>
      <w:sz w:val="30"/>
    </w:rPr>
  </w:style>
  <w:style w:type="character" w:customStyle="1" w:styleId="CABAttachmentNumberChar">
    <w:name w:val="CAB Attachment Number Char"/>
    <w:basedOn w:val="ProtectiveMarkingChar"/>
    <w:link w:val="CABAttachmentNumber"/>
    <w:uiPriority w:val="98"/>
    <w:rsid w:val="00AE0093"/>
    <w:rPr>
      <w:rFonts w:ascii="Arial" w:hAnsi="Arial"/>
      <w:b/>
      <w:color w:val="002060"/>
      <w:sz w:val="24"/>
    </w:rPr>
  </w:style>
  <w:style w:type="paragraph" w:customStyle="1" w:styleId="TableTextCab">
    <w:name w:val="Table Text Cab"/>
    <w:basedOn w:val="BodyText"/>
    <w:uiPriority w:val="8"/>
    <w:qFormat/>
    <w:rsid w:val="00AE0093"/>
    <w:pPr>
      <w:spacing w:before="50" w:after="50"/>
    </w:pPr>
    <w:rPr>
      <w:sz w:val="20"/>
      <w:szCs w:val="20"/>
    </w:rPr>
  </w:style>
  <w:style w:type="paragraph" w:customStyle="1" w:styleId="TableHeadingCab">
    <w:name w:val="Table Heading Cab"/>
    <w:basedOn w:val="TableTextCab"/>
    <w:uiPriority w:val="7"/>
    <w:qFormat/>
    <w:rsid w:val="00AE0093"/>
    <w:rPr>
      <w:b/>
    </w:rPr>
  </w:style>
  <w:style w:type="paragraph" w:customStyle="1" w:styleId="TableHeader-LChar">
    <w:name w:val="TableHeader-L Char"/>
    <w:basedOn w:val="Normal"/>
    <w:link w:val="TableHeader-LCharChar"/>
    <w:rsid w:val="00AE0093"/>
    <w:pPr>
      <w:autoSpaceDE w:val="0"/>
      <w:autoSpaceDN w:val="0"/>
      <w:adjustRightInd w:val="0"/>
      <w:spacing w:before="0" w:after="0"/>
    </w:pPr>
    <w:rPr>
      <w:rFonts w:ascii="Times New Roman" w:hAnsi="Times New Roman"/>
      <w:b/>
      <w:color w:val="000000"/>
      <w:sz w:val="20"/>
      <w:szCs w:val="26"/>
    </w:rPr>
  </w:style>
  <w:style w:type="character" w:customStyle="1" w:styleId="TableHeader-LCharChar">
    <w:name w:val="TableHeader-L Char Char"/>
    <w:basedOn w:val="DefaultParagraphFont"/>
    <w:link w:val="TableHeader-LChar"/>
    <w:rsid w:val="00AE0093"/>
    <w:rPr>
      <w:rFonts w:ascii="Times New Roman" w:eastAsia="Times New Roman" w:hAnsi="Times New Roman" w:cs="Times New Roman"/>
      <w:b/>
      <w:color w:val="000000"/>
      <w:sz w:val="20"/>
      <w:szCs w:val="26"/>
      <w:lang w:eastAsia="en-AU"/>
    </w:rPr>
  </w:style>
  <w:style w:type="paragraph" w:customStyle="1" w:styleId="TableBody-L">
    <w:name w:val="TableBody-L"/>
    <w:basedOn w:val="Normal"/>
    <w:rsid w:val="00AE0093"/>
    <w:pPr>
      <w:autoSpaceDE w:val="0"/>
      <w:autoSpaceDN w:val="0"/>
      <w:adjustRightInd w:val="0"/>
      <w:spacing w:before="0" w:after="0"/>
    </w:pPr>
    <w:rPr>
      <w:rFonts w:ascii="Times New Roman" w:hAnsi="Times New Roman"/>
      <w:color w:val="000000"/>
      <w:sz w:val="20"/>
      <w:szCs w:val="26"/>
    </w:rPr>
  </w:style>
  <w:style w:type="paragraph" w:customStyle="1" w:styleId="CABBackGround">
    <w:name w:val="CABBackGround"/>
    <w:basedOn w:val="Normal"/>
    <w:link w:val="CABBackGroundChar1"/>
    <w:rsid w:val="00AE0093"/>
    <w:pPr>
      <w:spacing w:before="0" w:after="0" w:line="360" w:lineRule="auto"/>
    </w:pPr>
    <w:rPr>
      <w:rFonts w:ascii="Times New Roman" w:hAnsi="Times New Roman"/>
      <w:sz w:val="24"/>
    </w:rPr>
  </w:style>
  <w:style w:type="character" w:customStyle="1" w:styleId="CABBackGroundChar1">
    <w:name w:val="CABBackGround Char1"/>
    <w:basedOn w:val="DefaultParagraphFont"/>
    <w:link w:val="CABBackGround"/>
    <w:rsid w:val="00AE0093"/>
    <w:rPr>
      <w:rFonts w:ascii="Times New Roman" w:eastAsia="Times New Roman" w:hAnsi="Times New Roman" w:cs="Times New Roman"/>
      <w:sz w:val="24"/>
      <w:szCs w:val="20"/>
      <w:lang w:eastAsia="en-AU"/>
    </w:rPr>
  </w:style>
  <w:style w:type="paragraph" w:customStyle="1" w:styleId="Financialtable">
    <w:name w:val="Financial table"/>
    <w:basedOn w:val="Normal"/>
    <w:link w:val="FinancialtableChar"/>
    <w:uiPriority w:val="1"/>
    <w:qFormat/>
    <w:rsid w:val="00AE0093"/>
    <w:pPr>
      <w:tabs>
        <w:tab w:val="left" w:pos="284"/>
      </w:tabs>
      <w:spacing w:before="40" w:after="40"/>
      <w:jc w:val="right"/>
    </w:pPr>
    <w:rPr>
      <w:rFonts w:eastAsia="Calibri"/>
      <w:sz w:val="18"/>
      <w:szCs w:val="18"/>
      <w:lang w:eastAsia="en-US"/>
    </w:rPr>
  </w:style>
  <w:style w:type="character" w:customStyle="1" w:styleId="FinancialtableChar">
    <w:name w:val="Financial table Char"/>
    <w:basedOn w:val="DefaultParagraphFont"/>
    <w:link w:val="Financialtable"/>
    <w:uiPriority w:val="1"/>
    <w:rsid w:val="00AE0093"/>
    <w:rPr>
      <w:rFonts w:ascii="Calibri" w:eastAsia="Calibri" w:hAnsi="Calibri" w:cs="Times New Roman"/>
      <w:sz w:val="18"/>
      <w:szCs w:val="18"/>
    </w:rPr>
  </w:style>
  <w:style w:type="paragraph" w:customStyle="1" w:styleId="TOCLevel2">
    <w:name w:val="TOCLevel2"/>
    <w:basedOn w:val="Normal"/>
    <w:link w:val="TOCLevel2Char"/>
    <w:uiPriority w:val="98"/>
    <w:qFormat/>
    <w:rsid w:val="00AE0093"/>
    <w:pPr>
      <w:keepNext/>
      <w:keepLines/>
      <w:tabs>
        <w:tab w:val="left" w:pos="567"/>
      </w:tabs>
      <w:spacing w:before="240" w:after="200"/>
      <w:jc w:val="center"/>
      <w:outlineLvl w:val="0"/>
    </w:pPr>
    <w:rPr>
      <w:rFonts w:ascii="Arial" w:eastAsiaTheme="majorEastAsia" w:hAnsi="Arial" w:cstheme="majorBidi"/>
      <w:b/>
      <w:bCs/>
      <w:color w:val="003865"/>
      <w:sz w:val="24"/>
      <w:szCs w:val="28"/>
      <w:lang w:eastAsia="en-US"/>
    </w:rPr>
  </w:style>
  <w:style w:type="paragraph" w:customStyle="1" w:styleId="CAB-NumberedParagraph">
    <w:name w:val="CAB - Numbered Paragraph"/>
    <w:basedOn w:val="Normal"/>
    <w:uiPriority w:val="98"/>
    <w:rsid w:val="00AE0093"/>
    <w:pPr>
      <w:ind w:left="567" w:hanging="567"/>
    </w:pPr>
    <w:rPr>
      <w:rFonts w:ascii="Arial" w:eastAsiaTheme="minorHAnsi" w:hAnsi="Arial" w:cstheme="minorBidi"/>
      <w:szCs w:val="22"/>
      <w:lang w:eastAsia="en-US"/>
    </w:rPr>
  </w:style>
  <w:style w:type="character" w:customStyle="1" w:styleId="TOCLevel2Char">
    <w:name w:val="TOCLevel2 Char"/>
    <w:basedOn w:val="DefaultParagraphFont"/>
    <w:link w:val="TOCLevel2"/>
    <w:uiPriority w:val="98"/>
    <w:rsid w:val="00AE0093"/>
    <w:rPr>
      <w:rFonts w:ascii="Arial" w:eastAsiaTheme="majorEastAsia" w:hAnsi="Arial" w:cstheme="majorBidi"/>
      <w:b/>
      <w:bCs/>
      <w:color w:val="003865"/>
      <w:sz w:val="24"/>
      <w:szCs w:val="28"/>
    </w:rPr>
  </w:style>
  <w:style w:type="paragraph" w:customStyle="1" w:styleId="CABHeading2">
    <w:name w:val="CAB Heading 2."/>
    <w:basedOn w:val="Normal"/>
    <w:link w:val="CABHeading2Char"/>
    <w:autoRedefine/>
    <w:uiPriority w:val="98"/>
    <w:qFormat/>
    <w:rsid w:val="00BE0980"/>
    <w:pPr>
      <w:keepNext/>
      <w:keepLines/>
      <w:tabs>
        <w:tab w:val="left" w:pos="567"/>
      </w:tabs>
      <w:spacing w:before="200"/>
      <w:jc w:val="center"/>
      <w:outlineLvl w:val="0"/>
    </w:pPr>
    <w:rPr>
      <w:rFonts w:ascii="Arial" w:eastAsiaTheme="majorEastAsia" w:hAnsi="Arial" w:cstheme="majorBidi"/>
      <w:b/>
      <w:bCs/>
      <w:color w:val="003865"/>
      <w:sz w:val="24"/>
      <w:szCs w:val="28"/>
      <w:lang w:eastAsia="en-US"/>
    </w:rPr>
  </w:style>
  <w:style w:type="character" w:customStyle="1" w:styleId="CABHeading2Char">
    <w:name w:val="CAB Heading 2. Char"/>
    <w:basedOn w:val="DefaultParagraphFont"/>
    <w:link w:val="CABHeading2"/>
    <w:uiPriority w:val="98"/>
    <w:rsid w:val="00BE0980"/>
    <w:rPr>
      <w:rFonts w:ascii="Arial" w:eastAsiaTheme="majorEastAsia" w:hAnsi="Arial" w:cstheme="majorBidi"/>
      <w:b/>
      <w:bCs/>
      <w:color w:val="003865"/>
      <w:sz w:val="24"/>
      <w:szCs w:val="28"/>
    </w:rPr>
  </w:style>
  <w:style w:type="paragraph" w:customStyle="1" w:styleId="CABNETParagraph">
    <w:name w:val="CABNET Paragraph."/>
    <w:basedOn w:val="Normal"/>
    <w:link w:val="CABNETParagraphChar"/>
    <w:uiPriority w:val="98"/>
    <w:qFormat/>
    <w:rsid w:val="00AE0093"/>
    <w:rPr>
      <w:rFonts w:ascii="Arial" w:eastAsiaTheme="minorHAnsi" w:hAnsi="Arial" w:cstheme="minorHAnsi"/>
      <w:szCs w:val="22"/>
      <w:lang w:eastAsia="en-US"/>
    </w:rPr>
  </w:style>
  <w:style w:type="character" w:customStyle="1" w:styleId="CABNETParagraphChar">
    <w:name w:val="CABNET Paragraph. Char"/>
    <w:basedOn w:val="DefaultParagraphFont"/>
    <w:link w:val="CABNETParagraph"/>
    <w:uiPriority w:val="98"/>
    <w:rsid w:val="00AE0093"/>
    <w:rPr>
      <w:rFonts w:ascii="Arial" w:hAnsi="Arial" w:cstheme="minorHAnsi"/>
    </w:rPr>
  </w:style>
  <w:style w:type="character" w:styleId="Strong">
    <w:name w:val="Strong"/>
    <w:basedOn w:val="DefaultParagraphFont"/>
    <w:uiPriority w:val="98"/>
    <w:rsid w:val="00AE0093"/>
    <w:rPr>
      <w:b/>
      <w:bCs/>
    </w:rPr>
  </w:style>
  <w:style w:type="character" w:customStyle="1" w:styleId="TOCLevel1Char">
    <w:name w:val="TOCLevel1 Char"/>
    <w:basedOn w:val="DefaultParagraphFont"/>
    <w:link w:val="TOCLevel1"/>
    <w:uiPriority w:val="98"/>
    <w:locked/>
    <w:rsid w:val="00AE0093"/>
    <w:rPr>
      <w:rFonts w:ascii="Arial" w:eastAsiaTheme="majorEastAsia" w:hAnsi="Arial" w:cstheme="majorBidi"/>
      <w:b/>
      <w:bCs/>
      <w:color w:val="003865"/>
      <w:sz w:val="24"/>
      <w:szCs w:val="28"/>
    </w:rPr>
  </w:style>
  <w:style w:type="paragraph" w:customStyle="1" w:styleId="TOCLevel1">
    <w:name w:val="TOCLevel1"/>
    <w:basedOn w:val="Normal"/>
    <w:link w:val="TOCLevel1Char"/>
    <w:uiPriority w:val="98"/>
    <w:qFormat/>
    <w:rsid w:val="00AE0093"/>
    <w:pPr>
      <w:keepNext/>
      <w:keepLines/>
      <w:tabs>
        <w:tab w:val="left" w:pos="567"/>
      </w:tabs>
      <w:spacing w:before="240" w:after="200"/>
      <w:jc w:val="right"/>
      <w:outlineLvl w:val="0"/>
    </w:pPr>
    <w:rPr>
      <w:rFonts w:ascii="Arial" w:eastAsiaTheme="majorEastAsia" w:hAnsi="Arial" w:cstheme="majorBidi"/>
      <w:b/>
      <w:bCs/>
      <w:color w:val="003865"/>
      <w:sz w:val="24"/>
      <w:szCs w:val="28"/>
      <w:lang w:eastAsia="en-US"/>
    </w:rPr>
  </w:style>
  <w:style w:type="character" w:customStyle="1" w:styleId="ListParagraphChar">
    <w:name w:val="List Paragraph Char"/>
    <w:aliases w:val="CAB - List Bullet Char,List Bullet Cab Char,Lists Char,lp1 Char,Use Case List Paragraph Char,numbered Char,Bullet List Char,FooterText Char,List Paragraph1 Char,Use Case List ParagraphCxSpLast Char,Paragraphe de liste1 Char,列出段落 Char"/>
    <w:basedOn w:val="BodyTextChar"/>
    <w:link w:val="ListParagraph"/>
    <w:uiPriority w:val="34"/>
    <w:qFormat/>
    <w:rsid w:val="00AE0093"/>
    <w:rPr>
      <w:rFonts w:ascii="Arial" w:hAnsi="Arial"/>
    </w:rPr>
  </w:style>
  <w:style w:type="character" w:customStyle="1" w:styleId="BulletChar">
    <w:name w:val="Bullet Char"/>
    <w:aliases w:val="b Char,b + line Char Char,b Char Char,b1 Char,b + line Char,Body Char,L Char,List Paragraph11 Char,Number Char,Recommendation Char,Bullet + line Char,level 1 Char,List Paragraph2 Char,Bullets Char,Bulleted Para Char,F5 List Paragraph Char"/>
    <w:basedOn w:val="ListParagraphChar"/>
    <w:link w:val="Bullet"/>
    <w:qFormat/>
    <w:rsid w:val="00AE0093"/>
    <w:rPr>
      <w:rFonts w:ascii="Calibri" w:eastAsia="Times New Roman" w:hAnsi="Calibri" w:cs="Times New Roman"/>
      <w:szCs w:val="20"/>
      <w:lang w:eastAsia="en-AU"/>
    </w:rPr>
  </w:style>
  <w:style w:type="character" w:customStyle="1" w:styleId="DashChar">
    <w:name w:val="Dash Char"/>
    <w:basedOn w:val="ListParagraphChar"/>
    <w:link w:val="Dash"/>
    <w:rsid w:val="00AE0093"/>
    <w:rPr>
      <w:rFonts w:ascii="Calibri" w:eastAsia="Times New Roman" w:hAnsi="Calibri" w:cs="Times New Roman"/>
      <w:szCs w:val="20"/>
      <w:lang w:eastAsia="en-AU"/>
    </w:rPr>
  </w:style>
  <w:style w:type="character" w:customStyle="1" w:styleId="DoubleDotChar">
    <w:name w:val="Double Dot Char"/>
    <w:basedOn w:val="ListParagraphChar"/>
    <w:link w:val="DoubleDot"/>
    <w:rsid w:val="00AE0093"/>
    <w:rPr>
      <w:rFonts w:ascii="Calibri" w:eastAsia="Times New Roman" w:hAnsi="Calibri" w:cs="Times New Roman"/>
      <w:szCs w:val="20"/>
      <w:lang w:eastAsia="en-AU"/>
    </w:rPr>
  </w:style>
  <w:style w:type="paragraph" w:customStyle="1" w:styleId="HeadingTOC1">
    <w:name w:val="Heading TOC 1"/>
    <w:basedOn w:val="ListParagraph"/>
    <w:autoRedefine/>
    <w:qFormat/>
    <w:rsid w:val="00AE0093"/>
    <w:pPr>
      <w:numPr>
        <w:numId w:val="16"/>
      </w:numPr>
      <w:tabs>
        <w:tab w:val="clear" w:pos="851"/>
        <w:tab w:val="left" w:pos="340"/>
      </w:tabs>
      <w:spacing w:before="200"/>
      <w:ind w:left="720"/>
      <w:contextualSpacing w:val="0"/>
      <w:outlineLvl w:val="0"/>
    </w:pPr>
    <w:rPr>
      <w:rFonts w:eastAsia="Times New Roman" w:cs="Arial"/>
      <w:sz w:val="32"/>
      <w:lang w:eastAsia="en-AU"/>
    </w:rPr>
  </w:style>
  <w:style w:type="table" w:customStyle="1" w:styleId="RecommendationsBox2">
    <w:name w:val="Recommendations Box2"/>
    <w:basedOn w:val="TableList3"/>
    <w:uiPriority w:val="99"/>
    <w:rsid w:val="00AE0093"/>
    <w:pPr>
      <w:spacing w:after="0" w:line="240" w:lineRule="auto"/>
      <w:ind w:left="9" w:hanging="8"/>
    </w:pPr>
    <w:rPr>
      <w:rFonts w:eastAsiaTheme="minorEastAsia"/>
      <w:sz w:val="20"/>
      <w:szCs w:val="20"/>
      <w:lang w:val="en-US" w:eastAsia="en-AU"/>
    </w:rPr>
    <w:tblPr>
      <w:tblStyleRowBandSize w:val="1"/>
      <w:tblBorders>
        <w:top w:val="single" w:sz="4" w:space="0" w:color="5F5F5F" w:themeColor="text2"/>
        <w:left w:val="single" w:sz="4" w:space="0" w:color="5F5F5F" w:themeColor="text2"/>
        <w:bottom w:val="single" w:sz="4" w:space="0" w:color="5F5F5F" w:themeColor="text2"/>
        <w:right w:val="single" w:sz="4" w:space="0" w:color="5F5F5F" w:themeColor="text2"/>
        <w:insideH w:val="none" w:sz="0" w:space="0" w:color="auto"/>
      </w:tblBorders>
    </w:tblPr>
    <w:tcPr>
      <w:shd w:val="clear" w:color="auto" w:fill="5F5F5F" w:themeFill="text2"/>
      <w:tcMar>
        <w:top w:w="85" w:type="dxa"/>
        <w:bottom w:w="28" w:type="dxa"/>
      </w:tcMar>
      <w:vAlign w:val="center"/>
    </w:tcPr>
    <w:tblStylePr w:type="firstRow">
      <w:pPr>
        <w:wordWrap/>
        <w:jc w:val="left"/>
      </w:pPr>
      <w:rPr>
        <w:rFonts w:ascii="Calibri" w:hAnsi="Calibri"/>
        <w:b/>
        <w:bCs/>
        <w:i w:val="0"/>
        <w:caps w:val="0"/>
        <w:smallCaps w:val="0"/>
        <w:strike w:val="0"/>
        <w:dstrike w:val="0"/>
        <w:vanish w:val="0"/>
        <w:color w:val="FFFFFF" w:themeColor="background1"/>
        <w:w w:val="100"/>
        <w:sz w:val="28"/>
        <w:u w:val="none"/>
        <w:vertAlign w:val="baseline"/>
      </w:rPr>
      <w:tblPr/>
      <w:tcPr>
        <w:tcBorders>
          <w:top w:val="single" w:sz="8" w:space="0" w:color="5F5F5F" w:themeColor="text2"/>
          <w:left w:val="single" w:sz="8" w:space="0" w:color="5F5F5F" w:themeColor="text2"/>
          <w:bottom w:val="single" w:sz="8" w:space="0" w:color="5F5F5F" w:themeColor="text2"/>
          <w:right w:val="single" w:sz="8" w:space="0" w:color="5F5F5F" w:themeColor="text2"/>
          <w:insideH w:val="nil"/>
          <w:insideV w:val="nil"/>
          <w:tl2br w:val="nil"/>
          <w:tr2bl w:val="nil"/>
        </w:tcBorders>
      </w:tcPr>
    </w:tblStylePr>
    <w:tblStylePr w:type="lastRow">
      <w:tblPr/>
      <w:tcPr>
        <w:tcBorders>
          <w:top w:val="single" w:sz="12" w:space="0" w:color="000000"/>
          <w:tl2br w:val="none" w:sz="0" w:space="0" w:color="auto"/>
          <w:tr2bl w:val="none" w:sz="0" w:space="0" w:color="auto"/>
        </w:tcBorders>
      </w:tcPr>
    </w:tblStylePr>
    <w:tblStylePr w:type="band1Horz">
      <w:rPr>
        <w:rFonts w:ascii="Calibri" w:hAnsi="Calibri"/>
        <w:b w:val="0"/>
        <w:i w:val="0"/>
        <w:caps w:val="0"/>
        <w:smallCaps w:val="0"/>
        <w:strike w:val="0"/>
        <w:dstrike w:val="0"/>
        <w:vanish w:val="0"/>
        <w:sz w:val="20"/>
        <w:vertAlign w:val="baseline"/>
      </w:rPr>
      <w:tblPr/>
      <w:tcPr>
        <w:shd w:val="clear" w:color="auto" w:fill="D5E1F1" w:themeFill="accent2" w:themeFillTint="33"/>
      </w:tcPr>
    </w:tblStylePr>
    <w:tblStylePr w:type="band2Horz">
      <w:rPr>
        <w:rFonts w:ascii="Calibri" w:hAnsi="Calibri"/>
        <w:b w:val="0"/>
        <w:i w:val="0"/>
        <w:caps w:val="0"/>
        <w:smallCaps w:val="0"/>
        <w:strike w:val="0"/>
        <w:dstrike w:val="0"/>
        <w:vanish w:val="0"/>
        <w:sz w:val="20"/>
        <w:vertAlign w:val="baseline"/>
      </w:rPr>
      <w:tblPr/>
      <w:tcPr>
        <w:shd w:val="clear" w:color="auto" w:fill="D5E1F1" w:themeFill="accent2" w:themeFillTint="33"/>
      </w:tcPr>
    </w:tblStylePr>
    <w:tblStylePr w:type="swCell">
      <w:rPr>
        <w:i/>
        <w:iCs/>
        <w:color w:val="000080"/>
      </w:rPr>
      <w:tblPr/>
      <w:tcPr>
        <w:tcBorders>
          <w:tl2br w:val="none" w:sz="0" w:space="0" w:color="auto"/>
          <w:tr2bl w:val="none" w:sz="0" w:space="0" w:color="auto"/>
        </w:tcBorders>
      </w:tcPr>
    </w:tblStylePr>
  </w:style>
  <w:style w:type="table" w:customStyle="1" w:styleId="RecommendationsBox3">
    <w:name w:val="Recommendations Box3"/>
    <w:basedOn w:val="TableList3"/>
    <w:uiPriority w:val="99"/>
    <w:rsid w:val="00AE0093"/>
    <w:pPr>
      <w:spacing w:after="0" w:line="240" w:lineRule="auto"/>
      <w:ind w:left="9" w:hanging="8"/>
    </w:pPr>
    <w:rPr>
      <w:rFonts w:eastAsiaTheme="minorEastAsia"/>
      <w:sz w:val="20"/>
      <w:szCs w:val="20"/>
      <w:lang w:val="en-US" w:eastAsia="en-AU"/>
    </w:rPr>
    <w:tblPr>
      <w:tblStyleRowBandSize w:val="1"/>
      <w:tblBorders>
        <w:top w:val="single" w:sz="4" w:space="0" w:color="5F5F5F" w:themeColor="text2"/>
        <w:left w:val="single" w:sz="4" w:space="0" w:color="5F5F5F" w:themeColor="text2"/>
        <w:bottom w:val="single" w:sz="4" w:space="0" w:color="5F5F5F" w:themeColor="text2"/>
        <w:right w:val="single" w:sz="4" w:space="0" w:color="5F5F5F" w:themeColor="text2"/>
        <w:insideH w:val="none" w:sz="0" w:space="0" w:color="auto"/>
      </w:tblBorders>
    </w:tblPr>
    <w:tcPr>
      <w:shd w:val="clear" w:color="auto" w:fill="5F5F5F" w:themeFill="text2"/>
      <w:tcMar>
        <w:top w:w="85" w:type="dxa"/>
        <w:bottom w:w="28" w:type="dxa"/>
      </w:tcMar>
      <w:vAlign w:val="center"/>
    </w:tcPr>
    <w:tblStylePr w:type="firstRow">
      <w:pPr>
        <w:wordWrap/>
        <w:jc w:val="left"/>
      </w:pPr>
      <w:rPr>
        <w:rFonts w:ascii="Calibri" w:hAnsi="Calibri"/>
        <w:b/>
        <w:bCs/>
        <w:i w:val="0"/>
        <w:caps w:val="0"/>
        <w:smallCaps w:val="0"/>
        <w:strike w:val="0"/>
        <w:dstrike w:val="0"/>
        <w:vanish w:val="0"/>
        <w:color w:val="FFFFFF" w:themeColor="background1"/>
        <w:w w:val="100"/>
        <w:sz w:val="28"/>
        <w:u w:val="none"/>
        <w:vertAlign w:val="baseline"/>
      </w:rPr>
      <w:tblPr/>
      <w:tcPr>
        <w:tcBorders>
          <w:top w:val="single" w:sz="8" w:space="0" w:color="5F5F5F" w:themeColor="text2"/>
          <w:left w:val="single" w:sz="8" w:space="0" w:color="5F5F5F" w:themeColor="text2"/>
          <w:bottom w:val="single" w:sz="8" w:space="0" w:color="5F5F5F" w:themeColor="text2"/>
          <w:right w:val="single" w:sz="8" w:space="0" w:color="5F5F5F" w:themeColor="text2"/>
          <w:insideH w:val="nil"/>
          <w:insideV w:val="nil"/>
          <w:tl2br w:val="nil"/>
          <w:tr2bl w:val="nil"/>
        </w:tcBorders>
      </w:tcPr>
    </w:tblStylePr>
    <w:tblStylePr w:type="lastRow">
      <w:tblPr/>
      <w:tcPr>
        <w:tcBorders>
          <w:top w:val="single" w:sz="12" w:space="0" w:color="000000"/>
          <w:tl2br w:val="none" w:sz="0" w:space="0" w:color="auto"/>
          <w:tr2bl w:val="none" w:sz="0" w:space="0" w:color="auto"/>
        </w:tcBorders>
      </w:tcPr>
    </w:tblStylePr>
    <w:tblStylePr w:type="band1Horz">
      <w:rPr>
        <w:rFonts w:ascii="Calibri" w:hAnsi="Calibri"/>
        <w:b w:val="0"/>
        <w:i w:val="0"/>
        <w:caps w:val="0"/>
        <w:smallCaps w:val="0"/>
        <w:strike w:val="0"/>
        <w:dstrike w:val="0"/>
        <w:vanish w:val="0"/>
        <w:sz w:val="20"/>
        <w:vertAlign w:val="baseline"/>
      </w:rPr>
      <w:tblPr/>
      <w:tcPr>
        <w:shd w:val="clear" w:color="auto" w:fill="D5E1F1" w:themeFill="accent2" w:themeFillTint="33"/>
      </w:tcPr>
    </w:tblStylePr>
    <w:tblStylePr w:type="band2Horz">
      <w:rPr>
        <w:rFonts w:ascii="Calibri" w:hAnsi="Calibri"/>
        <w:b w:val="0"/>
        <w:i w:val="0"/>
        <w:caps w:val="0"/>
        <w:smallCaps w:val="0"/>
        <w:strike w:val="0"/>
        <w:dstrike w:val="0"/>
        <w:vanish w:val="0"/>
        <w:sz w:val="20"/>
        <w:vertAlign w:val="baseline"/>
      </w:rPr>
      <w:tblPr/>
      <w:tcPr>
        <w:shd w:val="clear" w:color="auto" w:fill="D5E1F1" w:themeFill="accent2" w:themeFillTint="33"/>
      </w:tcPr>
    </w:tblStylePr>
    <w:tblStylePr w:type="swCell">
      <w:rPr>
        <w:i/>
        <w:iCs/>
        <w:color w:val="000080"/>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AE0093"/>
    <w:pPr>
      <w:spacing w:after="200" w:line="276"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GridTable1Light-Accent2">
    <w:name w:val="Grid Table 1 Light Accent 2"/>
    <w:basedOn w:val="TableNormal"/>
    <w:uiPriority w:val="46"/>
    <w:rsid w:val="00AE0093"/>
    <w:pPr>
      <w:spacing w:after="0" w:line="240" w:lineRule="auto"/>
    </w:pPr>
    <w:tblPr>
      <w:tblStyleRowBandSize w:val="1"/>
      <w:tblStyleColBandSize w:val="1"/>
      <w:tblBorders>
        <w:top w:val="single" w:sz="4" w:space="0" w:color="ABC4E3" w:themeColor="accent2" w:themeTint="66"/>
        <w:left w:val="single" w:sz="4" w:space="0" w:color="ABC4E3" w:themeColor="accent2" w:themeTint="66"/>
        <w:bottom w:val="single" w:sz="4" w:space="0" w:color="ABC4E3" w:themeColor="accent2" w:themeTint="66"/>
        <w:right w:val="single" w:sz="4" w:space="0" w:color="ABC4E3" w:themeColor="accent2" w:themeTint="66"/>
        <w:insideH w:val="single" w:sz="4" w:space="0" w:color="ABC4E3" w:themeColor="accent2" w:themeTint="66"/>
        <w:insideV w:val="single" w:sz="4" w:space="0" w:color="ABC4E3" w:themeColor="accent2" w:themeTint="66"/>
      </w:tblBorders>
    </w:tblPr>
    <w:tblStylePr w:type="firstRow">
      <w:rPr>
        <w:b/>
        <w:bCs/>
      </w:rPr>
      <w:tblPr/>
      <w:tcPr>
        <w:tcBorders>
          <w:bottom w:val="single" w:sz="12" w:space="0" w:color="82A7D5" w:themeColor="accent2" w:themeTint="99"/>
        </w:tcBorders>
      </w:tcPr>
    </w:tblStylePr>
    <w:tblStylePr w:type="lastRow">
      <w:rPr>
        <w:b/>
        <w:bCs/>
      </w:rPr>
      <w:tblPr/>
      <w:tcPr>
        <w:tcBorders>
          <w:top w:val="double" w:sz="2" w:space="0" w:color="82A7D5" w:themeColor="accent2" w:themeTint="99"/>
        </w:tcBorders>
      </w:tcPr>
    </w:tblStylePr>
    <w:tblStylePr w:type="firstCol">
      <w:rPr>
        <w:b/>
        <w:bCs/>
      </w:rPr>
    </w:tblStylePr>
    <w:tblStylePr w:type="lastCol">
      <w:rPr>
        <w:b/>
        <w:bCs/>
      </w:rPr>
    </w:tblStylePr>
  </w:style>
  <w:style w:type="character" w:styleId="UnresolvedMention">
    <w:name w:val="Unresolved Mention"/>
    <w:basedOn w:val="DefaultParagraphFont"/>
    <w:uiPriority w:val="99"/>
    <w:unhideWhenUsed/>
    <w:rsid w:val="003B7311"/>
    <w:rPr>
      <w:color w:val="605E5C"/>
      <w:shd w:val="clear" w:color="auto" w:fill="E1DFDD"/>
    </w:rPr>
  </w:style>
  <w:style w:type="character" w:customStyle="1" w:styleId="BoxTextChar">
    <w:name w:val="Box Text Char"/>
    <w:basedOn w:val="DefaultParagraphFont"/>
    <w:link w:val="BoxText"/>
    <w:locked/>
    <w:rsid w:val="006B1B82"/>
    <w:rPr>
      <w:rFonts w:ascii="Calibri" w:eastAsia="Times New Roman" w:hAnsi="Calibri" w:cs="Times New Roman"/>
      <w:szCs w:val="20"/>
      <w:lang w:eastAsia="en-AU"/>
    </w:rPr>
  </w:style>
  <w:style w:type="character" w:styleId="SmartLink">
    <w:name w:val="Smart Link"/>
    <w:basedOn w:val="DefaultParagraphFont"/>
    <w:uiPriority w:val="99"/>
    <w:semiHidden/>
    <w:unhideWhenUsed/>
    <w:rsid w:val="00720C69"/>
    <w:rPr>
      <w:color w:val="0000FF"/>
      <w:u w:val="single"/>
      <w:shd w:val="clear" w:color="auto" w:fill="F3F2F1"/>
    </w:rPr>
  </w:style>
  <w:style w:type="paragraph" w:styleId="ListBullet">
    <w:name w:val="List Bullet"/>
    <w:basedOn w:val="Normal"/>
    <w:uiPriority w:val="99"/>
    <w:semiHidden/>
    <w:unhideWhenUsed/>
    <w:rsid w:val="00B45210"/>
    <w:pPr>
      <w:numPr>
        <w:numId w:val="21"/>
      </w:numPr>
      <w:spacing w:before="0"/>
    </w:pPr>
    <w:rPr>
      <w:rFonts w:ascii="Source Sans Pro" w:eastAsiaTheme="minorHAnsi" w:hAnsi="Source Sans Pro" w:cs="Calibri"/>
      <w:szCs w:val="22"/>
      <w:lang w:eastAsia="ko-KR"/>
    </w:rPr>
  </w:style>
  <w:style w:type="paragraph" w:styleId="ListBullet2">
    <w:name w:val="List Bullet 2"/>
    <w:basedOn w:val="Normal"/>
    <w:uiPriority w:val="99"/>
    <w:semiHidden/>
    <w:unhideWhenUsed/>
    <w:rsid w:val="00B45210"/>
    <w:pPr>
      <w:numPr>
        <w:ilvl w:val="1"/>
        <w:numId w:val="21"/>
      </w:numPr>
      <w:spacing w:before="0"/>
    </w:pPr>
    <w:rPr>
      <w:rFonts w:ascii="Source Sans Pro" w:eastAsiaTheme="minorHAnsi" w:hAnsi="Source Sans Pro" w:cs="Calibri"/>
      <w:szCs w:val="22"/>
      <w:lang w:eastAsia="ko-KR"/>
    </w:rPr>
  </w:style>
  <w:style w:type="paragraph" w:styleId="ListBullet3">
    <w:name w:val="List Bullet 3"/>
    <w:basedOn w:val="Normal"/>
    <w:uiPriority w:val="99"/>
    <w:semiHidden/>
    <w:unhideWhenUsed/>
    <w:rsid w:val="00B45210"/>
    <w:pPr>
      <w:numPr>
        <w:ilvl w:val="2"/>
        <w:numId w:val="21"/>
      </w:numPr>
      <w:spacing w:before="0"/>
      <w:contextualSpacing/>
    </w:pPr>
    <w:rPr>
      <w:rFonts w:ascii="Source Sans Pro" w:eastAsiaTheme="minorHAnsi" w:hAnsi="Source Sans Pro" w:cs="Calibri"/>
      <w:szCs w:val="22"/>
      <w:lang w:eastAsia="ko-KR"/>
    </w:rPr>
  </w:style>
  <w:style w:type="paragraph" w:customStyle="1" w:styleId="IndentBullet1">
    <w:name w:val="Indent Bullet 1"/>
    <w:basedOn w:val="Normal"/>
    <w:rsid w:val="00B45210"/>
    <w:pPr>
      <w:numPr>
        <w:ilvl w:val="3"/>
        <w:numId w:val="21"/>
      </w:numPr>
      <w:spacing w:before="0"/>
    </w:pPr>
    <w:rPr>
      <w:rFonts w:ascii="Source Sans Pro" w:eastAsiaTheme="minorHAnsi" w:hAnsi="Source Sans Pro" w:cs="Calibri"/>
      <w:szCs w:val="22"/>
      <w:lang w:eastAsia="ko-KR"/>
    </w:rPr>
  </w:style>
  <w:style w:type="paragraph" w:customStyle="1" w:styleId="IndentBullet2">
    <w:name w:val="Indent Bullet 2"/>
    <w:basedOn w:val="Normal"/>
    <w:rsid w:val="00B45210"/>
    <w:pPr>
      <w:numPr>
        <w:ilvl w:val="4"/>
        <w:numId w:val="21"/>
      </w:numPr>
      <w:spacing w:before="0"/>
      <w:ind w:left="720" w:firstLine="0"/>
    </w:pPr>
    <w:rPr>
      <w:rFonts w:ascii="Source Sans Pro" w:eastAsiaTheme="minorHAnsi" w:hAnsi="Source Sans Pro" w:cs="Calibri"/>
      <w:szCs w:val="22"/>
      <w:lang w:eastAsia="ko-KR"/>
    </w:rPr>
  </w:style>
  <w:style w:type="numbering" w:customStyle="1" w:styleId="BulletsOAIC">
    <w:name w:val="Bullets_OAIC"/>
    <w:uiPriority w:val="99"/>
    <w:rsid w:val="00B45210"/>
    <w:pPr>
      <w:numPr>
        <w:numId w:val="20"/>
      </w:numPr>
    </w:pPr>
  </w:style>
  <w:style w:type="paragraph" w:customStyle="1" w:styleId="Default">
    <w:name w:val="Default"/>
    <w:basedOn w:val="Normal"/>
    <w:rsid w:val="003427F5"/>
    <w:pPr>
      <w:autoSpaceDE w:val="0"/>
      <w:autoSpaceDN w:val="0"/>
      <w:spacing w:before="0" w:after="0"/>
    </w:pPr>
    <w:rPr>
      <w:rFonts w:eastAsiaTheme="minorHAnsi" w:cs="Calibri"/>
      <w:color w:val="000000"/>
      <w:sz w:val="24"/>
      <w:szCs w:val="24"/>
      <w:lang w:eastAsia="en-US"/>
    </w:rPr>
  </w:style>
  <w:style w:type="character" w:styleId="Mention">
    <w:name w:val="Mention"/>
    <w:basedOn w:val="DefaultParagraphFont"/>
    <w:uiPriority w:val="99"/>
    <w:unhideWhenUsed/>
    <w:rPr>
      <w:color w:val="2B579A"/>
      <w:shd w:val="clear" w:color="auto" w:fill="E6E6E6"/>
    </w:rPr>
  </w:style>
  <w:style w:type="character" w:customStyle="1" w:styleId="normaltextrun">
    <w:name w:val="normaltextrun"/>
    <w:basedOn w:val="DefaultParagraphFont"/>
    <w:rsid w:val="004F3A45"/>
  </w:style>
  <w:style w:type="character" w:customStyle="1" w:styleId="eop">
    <w:name w:val="eop"/>
    <w:basedOn w:val="DefaultParagraphFont"/>
    <w:rsid w:val="004F3A45"/>
  </w:style>
  <w:style w:type="character" w:customStyle="1" w:styleId="OutlineNumbered1Char">
    <w:name w:val="Outline Numbered 1 Char"/>
    <w:basedOn w:val="DefaultParagraphFont"/>
    <w:link w:val="OutlineNumbered1"/>
    <w:rsid w:val="00496A2E"/>
    <w:rPr>
      <w:rFonts w:ascii="Calibri" w:eastAsia="Times New Roman" w:hAnsi="Calibri" w:cs="Times New Roman"/>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54968">
      <w:bodyDiv w:val="1"/>
      <w:marLeft w:val="0"/>
      <w:marRight w:val="0"/>
      <w:marTop w:val="0"/>
      <w:marBottom w:val="0"/>
      <w:divBdr>
        <w:top w:val="none" w:sz="0" w:space="0" w:color="auto"/>
        <w:left w:val="none" w:sz="0" w:space="0" w:color="auto"/>
        <w:bottom w:val="none" w:sz="0" w:space="0" w:color="auto"/>
        <w:right w:val="none" w:sz="0" w:space="0" w:color="auto"/>
      </w:divBdr>
    </w:div>
    <w:div w:id="63459223">
      <w:bodyDiv w:val="1"/>
      <w:marLeft w:val="0"/>
      <w:marRight w:val="0"/>
      <w:marTop w:val="0"/>
      <w:marBottom w:val="0"/>
      <w:divBdr>
        <w:top w:val="none" w:sz="0" w:space="0" w:color="auto"/>
        <w:left w:val="none" w:sz="0" w:space="0" w:color="auto"/>
        <w:bottom w:val="none" w:sz="0" w:space="0" w:color="auto"/>
        <w:right w:val="none" w:sz="0" w:space="0" w:color="auto"/>
      </w:divBdr>
      <w:divsChild>
        <w:div w:id="598756110">
          <w:marLeft w:val="418"/>
          <w:marRight w:val="0"/>
          <w:marTop w:val="0"/>
          <w:marBottom w:val="120"/>
          <w:divBdr>
            <w:top w:val="none" w:sz="0" w:space="0" w:color="auto"/>
            <w:left w:val="none" w:sz="0" w:space="0" w:color="auto"/>
            <w:bottom w:val="none" w:sz="0" w:space="0" w:color="auto"/>
            <w:right w:val="none" w:sz="0" w:space="0" w:color="auto"/>
          </w:divBdr>
        </w:div>
        <w:div w:id="1429231276">
          <w:marLeft w:val="418"/>
          <w:marRight w:val="0"/>
          <w:marTop w:val="0"/>
          <w:marBottom w:val="120"/>
          <w:divBdr>
            <w:top w:val="none" w:sz="0" w:space="0" w:color="auto"/>
            <w:left w:val="none" w:sz="0" w:space="0" w:color="auto"/>
            <w:bottom w:val="none" w:sz="0" w:space="0" w:color="auto"/>
            <w:right w:val="none" w:sz="0" w:space="0" w:color="auto"/>
          </w:divBdr>
        </w:div>
        <w:div w:id="1863980747">
          <w:marLeft w:val="418"/>
          <w:marRight w:val="0"/>
          <w:marTop w:val="0"/>
          <w:marBottom w:val="120"/>
          <w:divBdr>
            <w:top w:val="none" w:sz="0" w:space="0" w:color="auto"/>
            <w:left w:val="none" w:sz="0" w:space="0" w:color="auto"/>
            <w:bottom w:val="none" w:sz="0" w:space="0" w:color="auto"/>
            <w:right w:val="none" w:sz="0" w:space="0" w:color="auto"/>
          </w:divBdr>
        </w:div>
        <w:div w:id="2141461876">
          <w:marLeft w:val="418"/>
          <w:marRight w:val="0"/>
          <w:marTop w:val="0"/>
          <w:marBottom w:val="120"/>
          <w:divBdr>
            <w:top w:val="none" w:sz="0" w:space="0" w:color="auto"/>
            <w:left w:val="none" w:sz="0" w:space="0" w:color="auto"/>
            <w:bottom w:val="none" w:sz="0" w:space="0" w:color="auto"/>
            <w:right w:val="none" w:sz="0" w:space="0" w:color="auto"/>
          </w:divBdr>
        </w:div>
      </w:divsChild>
    </w:div>
    <w:div w:id="75175631">
      <w:bodyDiv w:val="1"/>
      <w:marLeft w:val="0"/>
      <w:marRight w:val="0"/>
      <w:marTop w:val="0"/>
      <w:marBottom w:val="0"/>
      <w:divBdr>
        <w:top w:val="none" w:sz="0" w:space="0" w:color="auto"/>
        <w:left w:val="none" w:sz="0" w:space="0" w:color="auto"/>
        <w:bottom w:val="none" w:sz="0" w:space="0" w:color="auto"/>
        <w:right w:val="none" w:sz="0" w:space="0" w:color="auto"/>
      </w:divBdr>
    </w:div>
    <w:div w:id="250551401">
      <w:bodyDiv w:val="1"/>
      <w:marLeft w:val="0"/>
      <w:marRight w:val="0"/>
      <w:marTop w:val="0"/>
      <w:marBottom w:val="0"/>
      <w:divBdr>
        <w:top w:val="none" w:sz="0" w:space="0" w:color="auto"/>
        <w:left w:val="none" w:sz="0" w:space="0" w:color="auto"/>
        <w:bottom w:val="none" w:sz="0" w:space="0" w:color="auto"/>
        <w:right w:val="none" w:sz="0" w:space="0" w:color="auto"/>
      </w:divBdr>
    </w:div>
    <w:div w:id="374932306">
      <w:bodyDiv w:val="1"/>
      <w:marLeft w:val="0"/>
      <w:marRight w:val="0"/>
      <w:marTop w:val="0"/>
      <w:marBottom w:val="0"/>
      <w:divBdr>
        <w:top w:val="none" w:sz="0" w:space="0" w:color="auto"/>
        <w:left w:val="none" w:sz="0" w:space="0" w:color="auto"/>
        <w:bottom w:val="none" w:sz="0" w:space="0" w:color="auto"/>
        <w:right w:val="none" w:sz="0" w:space="0" w:color="auto"/>
      </w:divBdr>
    </w:div>
    <w:div w:id="451022649">
      <w:bodyDiv w:val="1"/>
      <w:marLeft w:val="0"/>
      <w:marRight w:val="0"/>
      <w:marTop w:val="0"/>
      <w:marBottom w:val="0"/>
      <w:divBdr>
        <w:top w:val="none" w:sz="0" w:space="0" w:color="auto"/>
        <w:left w:val="none" w:sz="0" w:space="0" w:color="auto"/>
        <w:bottom w:val="none" w:sz="0" w:space="0" w:color="auto"/>
        <w:right w:val="none" w:sz="0" w:space="0" w:color="auto"/>
      </w:divBdr>
    </w:div>
    <w:div w:id="593562463">
      <w:bodyDiv w:val="1"/>
      <w:marLeft w:val="0"/>
      <w:marRight w:val="0"/>
      <w:marTop w:val="0"/>
      <w:marBottom w:val="0"/>
      <w:divBdr>
        <w:top w:val="none" w:sz="0" w:space="0" w:color="auto"/>
        <w:left w:val="none" w:sz="0" w:space="0" w:color="auto"/>
        <w:bottom w:val="none" w:sz="0" w:space="0" w:color="auto"/>
        <w:right w:val="none" w:sz="0" w:space="0" w:color="auto"/>
      </w:divBdr>
    </w:div>
    <w:div w:id="882714265">
      <w:bodyDiv w:val="1"/>
      <w:marLeft w:val="0"/>
      <w:marRight w:val="0"/>
      <w:marTop w:val="0"/>
      <w:marBottom w:val="0"/>
      <w:divBdr>
        <w:top w:val="none" w:sz="0" w:space="0" w:color="auto"/>
        <w:left w:val="none" w:sz="0" w:space="0" w:color="auto"/>
        <w:bottom w:val="none" w:sz="0" w:space="0" w:color="auto"/>
        <w:right w:val="none" w:sz="0" w:space="0" w:color="auto"/>
      </w:divBdr>
    </w:div>
    <w:div w:id="916598553">
      <w:bodyDiv w:val="1"/>
      <w:marLeft w:val="0"/>
      <w:marRight w:val="0"/>
      <w:marTop w:val="0"/>
      <w:marBottom w:val="0"/>
      <w:divBdr>
        <w:top w:val="none" w:sz="0" w:space="0" w:color="auto"/>
        <w:left w:val="none" w:sz="0" w:space="0" w:color="auto"/>
        <w:bottom w:val="none" w:sz="0" w:space="0" w:color="auto"/>
        <w:right w:val="none" w:sz="0" w:space="0" w:color="auto"/>
      </w:divBdr>
    </w:div>
    <w:div w:id="933981184">
      <w:bodyDiv w:val="1"/>
      <w:marLeft w:val="0"/>
      <w:marRight w:val="0"/>
      <w:marTop w:val="0"/>
      <w:marBottom w:val="0"/>
      <w:divBdr>
        <w:top w:val="none" w:sz="0" w:space="0" w:color="auto"/>
        <w:left w:val="none" w:sz="0" w:space="0" w:color="auto"/>
        <w:bottom w:val="none" w:sz="0" w:space="0" w:color="auto"/>
        <w:right w:val="none" w:sz="0" w:space="0" w:color="auto"/>
      </w:divBdr>
    </w:div>
    <w:div w:id="999696422">
      <w:bodyDiv w:val="1"/>
      <w:marLeft w:val="0"/>
      <w:marRight w:val="0"/>
      <w:marTop w:val="0"/>
      <w:marBottom w:val="0"/>
      <w:divBdr>
        <w:top w:val="none" w:sz="0" w:space="0" w:color="auto"/>
        <w:left w:val="none" w:sz="0" w:space="0" w:color="auto"/>
        <w:bottom w:val="none" w:sz="0" w:space="0" w:color="auto"/>
        <w:right w:val="none" w:sz="0" w:space="0" w:color="auto"/>
      </w:divBdr>
    </w:div>
    <w:div w:id="1237589956">
      <w:bodyDiv w:val="1"/>
      <w:marLeft w:val="0"/>
      <w:marRight w:val="0"/>
      <w:marTop w:val="0"/>
      <w:marBottom w:val="0"/>
      <w:divBdr>
        <w:top w:val="none" w:sz="0" w:space="0" w:color="auto"/>
        <w:left w:val="none" w:sz="0" w:space="0" w:color="auto"/>
        <w:bottom w:val="none" w:sz="0" w:space="0" w:color="auto"/>
        <w:right w:val="none" w:sz="0" w:space="0" w:color="auto"/>
      </w:divBdr>
    </w:div>
    <w:div w:id="1312099543">
      <w:bodyDiv w:val="1"/>
      <w:marLeft w:val="0"/>
      <w:marRight w:val="0"/>
      <w:marTop w:val="0"/>
      <w:marBottom w:val="0"/>
      <w:divBdr>
        <w:top w:val="none" w:sz="0" w:space="0" w:color="auto"/>
        <w:left w:val="none" w:sz="0" w:space="0" w:color="auto"/>
        <w:bottom w:val="none" w:sz="0" w:space="0" w:color="auto"/>
        <w:right w:val="none" w:sz="0" w:space="0" w:color="auto"/>
      </w:divBdr>
    </w:div>
    <w:div w:id="1502547846">
      <w:bodyDiv w:val="1"/>
      <w:marLeft w:val="0"/>
      <w:marRight w:val="0"/>
      <w:marTop w:val="0"/>
      <w:marBottom w:val="0"/>
      <w:divBdr>
        <w:top w:val="none" w:sz="0" w:space="0" w:color="auto"/>
        <w:left w:val="none" w:sz="0" w:space="0" w:color="auto"/>
        <w:bottom w:val="none" w:sz="0" w:space="0" w:color="auto"/>
        <w:right w:val="none" w:sz="0" w:space="0" w:color="auto"/>
      </w:divBdr>
    </w:div>
    <w:div w:id="1733504172">
      <w:bodyDiv w:val="1"/>
      <w:marLeft w:val="0"/>
      <w:marRight w:val="0"/>
      <w:marTop w:val="0"/>
      <w:marBottom w:val="0"/>
      <w:divBdr>
        <w:top w:val="none" w:sz="0" w:space="0" w:color="auto"/>
        <w:left w:val="none" w:sz="0" w:space="0" w:color="auto"/>
        <w:bottom w:val="none" w:sz="0" w:space="0" w:color="auto"/>
        <w:right w:val="none" w:sz="0" w:space="0" w:color="auto"/>
      </w:divBdr>
    </w:div>
    <w:div w:id="2036687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creativecommons.org/licenses/by/3.0/au/deed.en" TargetMode="External"/><Relationship Id="rId3" Type="http://schemas.openxmlformats.org/officeDocument/2006/relationships/customXml" Target="../customXml/item3.xml"/><Relationship Id="rId21" Type="http://schemas.openxmlformats.org/officeDocument/2006/relationships/hyperlink" Target="http://creativecommons.org/licenses/by/3.0/au/deed.en"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2.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image" Target="media/image3.w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mailto:media@treasury.gov.au" TargetMode="External"/><Relationship Id="rId10" Type="http://schemas.openxmlformats.org/officeDocument/2006/relationships/endnotes" Target="endnotes.xml"/><Relationship Id="rId19" Type="http://schemas.openxmlformats.org/officeDocument/2006/relationships/hyperlink" Target="http://creativecommons.org/licenses/by/3.0/au/legalcod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www.pmc.gov.au/government/commonwealth-coat-arms"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cdr.gov.au/performance" TargetMode="External"/><Relationship Id="rId7" Type="http://schemas.openxmlformats.org/officeDocument/2006/relationships/hyperlink" Target="https://www.asbfeo.gov.au/msme-small-business-facts" TargetMode="External"/><Relationship Id="rId2" Type="http://schemas.openxmlformats.org/officeDocument/2006/relationships/hyperlink" Target="https://treasury.gov.au/publication/inquiry-future-directions-consumer-data-right-final-report" TargetMode="External"/><Relationship Id="rId1" Type="http://schemas.openxmlformats.org/officeDocument/2006/relationships/hyperlink" Target="https://treasury.gov.au/review/statutory-review-consumer-data-right/tor" TargetMode="External"/><Relationship Id="rId6" Type="http://schemas.openxmlformats.org/officeDocument/2006/relationships/hyperlink" Target="https://www.accc.gov.au/about-us/publications/serial-publications/the-consumer-data-right-compliance-audits-and-targeted-compliance-reviews/data-quality-in-the-consumer-data-right-findings-from-stakeholder-consultation" TargetMode="External"/><Relationship Id="rId5" Type="http://schemas.openxmlformats.org/officeDocument/2006/relationships/hyperlink" Target="http://www.cdr.gov.au/for-providers/representative-arrangements" TargetMode="External"/><Relationship Id="rId4" Type="http://schemas.openxmlformats.org/officeDocument/2006/relationships/hyperlink" Target="http://www.cdr.gov.au/find-a-provider" TargetMode="External"/></Relationships>
</file>

<file path=word/theme/theme1.xml><?xml version="1.0" encoding="utf-8"?>
<a:theme xmlns:a="http://schemas.openxmlformats.org/drawingml/2006/main" name="TSY Corporate">
  <a:themeElements>
    <a:clrScheme name="TSY Corporate">
      <a:dk1>
        <a:sysClr val="windowText" lastClr="000000"/>
      </a:dk1>
      <a:lt1>
        <a:sysClr val="window" lastClr="FFFFFF"/>
      </a:lt1>
      <a:dk2>
        <a:srgbClr val="5F5F5F"/>
      </a:dk2>
      <a:lt2>
        <a:srgbClr val="EAEAEA"/>
      </a:lt2>
      <a:accent1>
        <a:srgbClr val="002C47"/>
      </a:accent1>
      <a:accent2>
        <a:srgbClr val="3A6FAF"/>
      </a:accent2>
      <a:accent3>
        <a:srgbClr val="008569"/>
      </a:accent3>
      <a:accent4>
        <a:srgbClr val="C45154"/>
      </a:accent4>
      <a:accent5>
        <a:srgbClr val="00818F"/>
      </a:accent5>
      <a:accent6>
        <a:srgbClr val="844D9E"/>
      </a:accent6>
      <a:hlink>
        <a:srgbClr val="3A6FAF"/>
      </a:hlink>
      <a:folHlink>
        <a:srgbClr val="E61E26"/>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ecurityClassification xmlns="578FC63C-487E-4DD0-B890-EBE693C64552"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PDMS Document" ma:contentTypeID="0x010100266966F133664895A6EE3632470D45F500F6D67B4180AC754DA27F727DD68FE0B6" ma:contentTypeVersion="" ma:contentTypeDescription="PDMS Document Site Content Type" ma:contentTypeScope="" ma:versionID="4388c9e8aee2ba0d5b1178c66c3b86ae">
  <xsd:schema xmlns:xsd="http://www.w3.org/2001/XMLSchema" xmlns:xs="http://www.w3.org/2001/XMLSchema" xmlns:p="http://schemas.microsoft.com/office/2006/metadata/properties" xmlns:ns2="578FC63C-487E-4DD0-B890-EBE693C64552" targetNamespace="http://schemas.microsoft.com/office/2006/metadata/properties" ma:root="true" ma:fieldsID="b94993b1db8bb6d433d7fc86c2ab1fa3" ns2:_="">
    <xsd:import namespace="578FC63C-487E-4DD0-B890-EBE693C64552"/>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8FC63C-487E-4DD0-B890-EBE693C64552"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E728CE7-E18D-4C61-92E1-C5A7201D8CC4}">
  <ds:schemaRefs>
    <ds:schemaRef ds:uri="http://schemas.microsoft.com/office/2006/documentManagement/types"/>
    <ds:schemaRef ds:uri="578FC63C-487E-4DD0-B890-EBE693C64552"/>
    <ds:schemaRef ds:uri="http://www.w3.org/XML/1998/namespace"/>
    <ds:schemaRef ds:uri="http://purl.org/dc/elements/1.1/"/>
    <ds:schemaRef ds:uri="http://purl.org/dc/terms/"/>
    <ds:schemaRef ds:uri="http://schemas.microsoft.com/office/infopath/2007/PartnerControls"/>
    <ds:schemaRef ds:uri="http://schemas.microsoft.com/office/2006/metadata/properties"/>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21236FB4-A092-435B-A055-2CB7B88DE749}">
  <ds:schemaRefs>
    <ds:schemaRef ds:uri="http://schemas.openxmlformats.org/officeDocument/2006/bibliography"/>
  </ds:schemaRefs>
</ds:datastoreItem>
</file>

<file path=customXml/itemProps3.xml><?xml version="1.0" encoding="utf-8"?>
<ds:datastoreItem xmlns:ds="http://schemas.openxmlformats.org/officeDocument/2006/customXml" ds:itemID="{3728661D-BB13-44EC-8357-9CEF3750695C}">
  <ds:schemaRefs>
    <ds:schemaRef ds:uri="http://schemas.microsoft.com/sharepoint/v3/contenttype/forms"/>
  </ds:schemaRefs>
</ds:datastoreItem>
</file>

<file path=customXml/itemProps4.xml><?xml version="1.0" encoding="utf-8"?>
<ds:datastoreItem xmlns:ds="http://schemas.openxmlformats.org/officeDocument/2006/customXml" ds:itemID="{17F0B829-E515-480B-B7D8-35E6DCBEE2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8FC63C-487E-4DD0-B890-EBE693C645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14</Pages>
  <Words>5538</Words>
  <Characters>32068</Characters>
  <Application>Microsoft Office Word</Application>
  <DocSecurity>0</DocSecurity>
  <Lines>760</Lines>
  <Paragraphs>196</Paragraphs>
  <ScaleCrop>false</ScaleCrop>
  <HeadingPairs>
    <vt:vector size="2" baseType="variant">
      <vt:variant>
        <vt:lpstr>Title</vt:lpstr>
      </vt:variant>
      <vt:variant>
        <vt:i4>1</vt:i4>
      </vt:variant>
    </vt:vector>
  </HeadingPairs>
  <TitlesOfParts>
    <vt:vector size="1" baseType="lpstr">
      <vt:lpstr>Government statement in response to the Statutory Review of the Consumer Data Right</vt:lpstr>
    </vt:vector>
  </TitlesOfParts>
  <Company/>
  <LinksUpToDate>false</LinksUpToDate>
  <CharactersWithSpaces>37538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Government statement in response to the Statutory Review of the Consumer Data Right</dc:title>
  <dc:subject/>
  <dc:creator>Australian Government</dc:creator>
  <cp:keywords/>
  <cp:lastModifiedBy>Hill, Christine</cp:lastModifiedBy>
  <cp:revision>4</cp:revision>
  <cp:lastPrinted>2023-04-23T02:06:00Z</cp:lastPrinted>
  <dcterms:created xsi:type="dcterms:W3CDTF">2023-06-06T22:43:00Z</dcterms:created>
  <dcterms:modified xsi:type="dcterms:W3CDTF">2023-06-06T23:12:00Z</dcterms:modified>
  <cp:category/>
</cp:coreProperties>
</file>