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0592B" w14:textId="77777777" w:rsidR="00126204" w:rsidRDefault="00126204" w:rsidP="00126204">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Toc78549733"/>
      <w:bookmarkStart w:id="6" w:name="_Toc78549778"/>
      <w:bookmarkStart w:id="7" w:name="_Toc80097483"/>
      <w:bookmarkStart w:id="8" w:name="_Toc80097777"/>
      <w:bookmarkStart w:id="9" w:name="_Toc80115276"/>
      <w:bookmarkStart w:id="10" w:name="_Toc80172451"/>
      <w:bookmarkStart w:id="11" w:name="_Toc80197115"/>
      <w:bookmarkStart w:id="12" w:name="_Toc81852682"/>
      <w:bookmarkStart w:id="13" w:name="_Toc81852727"/>
      <w:bookmarkStart w:id="14" w:name="_Toc82021619"/>
      <w:bookmarkStart w:id="15" w:name="_Toc82067318"/>
      <w:bookmarkStart w:id="16" w:name="_Toc82072959"/>
      <w:bookmarkStart w:id="17" w:name="_Toc82073275"/>
      <w:bookmarkStart w:id="18" w:name="_Toc82073912"/>
      <w:bookmarkStart w:id="19" w:name="_Toc82074016"/>
      <w:bookmarkStart w:id="20" w:name="_Hlk81640909"/>
      <w:r>
        <w:t>2022–2023</w:t>
      </w:r>
    </w:p>
    <w:p w14:paraId="36498171" w14:textId="77777777" w:rsidR="00126204" w:rsidRDefault="00126204" w:rsidP="00126204">
      <w:pPr>
        <w:pStyle w:val="Baseparagraphcentred"/>
      </w:pPr>
    </w:p>
    <w:p w14:paraId="3CF79615" w14:textId="77777777" w:rsidR="00126204" w:rsidRDefault="00126204" w:rsidP="00126204">
      <w:pPr>
        <w:pStyle w:val="Baseparagraphcentred"/>
      </w:pPr>
      <w:r>
        <w:t>THE PARLIAMENT OF THE COMMONWEALTH OF AUSTRALIA</w:t>
      </w:r>
    </w:p>
    <w:p w14:paraId="014568CB" w14:textId="77777777" w:rsidR="00126204" w:rsidRDefault="00126204" w:rsidP="00126204">
      <w:pPr>
        <w:pStyle w:val="Baseparagraphcentred"/>
      </w:pPr>
    </w:p>
    <w:p w14:paraId="5ED1D9F5" w14:textId="77777777" w:rsidR="00126204" w:rsidRDefault="00126204" w:rsidP="00126204">
      <w:pPr>
        <w:pStyle w:val="Baseparagraphcentred"/>
      </w:pPr>
    </w:p>
    <w:p w14:paraId="33A37E46" w14:textId="77777777" w:rsidR="00126204" w:rsidRDefault="00126204" w:rsidP="00126204">
      <w:pPr>
        <w:pStyle w:val="Baseparagraphcentred"/>
      </w:pPr>
    </w:p>
    <w:p w14:paraId="22300272" w14:textId="0D8BFBF7" w:rsidR="00126204" w:rsidRDefault="002B3935" w:rsidP="00126204">
      <w:pPr>
        <w:pStyle w:val="Baseparagraphcentred"/>
      </w:pPr>
      <w:r>
        <w:t>HOUSE OF REPRESENTATIVES</w:t>
      </w:r>
    </w:p>
    <w:p w14:paraId="26DAA00A" w14:textId="77777777" w:rsidR="00126204" w:rsidRDefault="00126204" w:rsidP="00126204">
      <w:pPr>
        <w:pStyle w:val="Baseparagraphcentred"/>
      </w:pPr>
    </w:p>
    <w:p w14:paraId="2C3A6432" w14:textId="77777777" w:rsidR="00126204" w:rsidRDefault="00126204" w:rsidP="00126204">
      <w:pPr>
        <w:pStyle w:val="Baseparagraphcentred"/>
      </w:pPr>
    </w:p>
    <w:p w14:paraId="57228D5B" w14:textId="77777777" w:rsidR="00126204" w:rsidRDefault="00126204" w:rsidP="00126204">
      <w:pPr>
        <w:pStyle w:val="Baseparagraphcentred"/>
        <w:pBdr>
          <w:bottom w:val="single" w:sz="4" w:space="1" w:color="auto"/>
        </w:pBdr>
      </w:pPr>
    </w:p>
    <w:p w14:paraId="6395C8ED" w14:textId="49488792" w:rsidR="00126204" w:rsidRPr="00E24AA1" w:rsidRDefault="00FD1B41" w:rsidP="00126204">
      <w:pPr>
        <w:pStyle w:val="BillName"/>
      </w:pPr>
      <w:bookmarkStart w:id="21" w:name="BillName"/>
      <w:bookmarkEnd w:id="21"/>
      <w:r>
        <w:t>T</w:t>
      </w:r>
      <w:r w:rsidR="00973155">
        <w:t>r</w:t>
      </w:r>
      <w:r>
        <w:t>easury Laws Amen</w:t>
      </w:r>
      <w:r w:rsidR="00D97B78">
        <w:t>dment (Measures for Consultation) Bill 2023: Miscellaneous and techni</w:t>
      </w:r>
      <w:r w:rsidR="0071467B">
        <w:t>cal amendments</w:t>
      </w:r>
      <w:r w:rsidR="00A50E04">
        <w:t xml:space="preserve"> – </w:t>
      </w:r>
      <w:r w:rsidR="009759B1">
        <w:t>Spring 2023</w:t>
      </w:r>
    </w:p>
    <w:p w14:paraId="044A2962" w14:textId="77777777" w:rsidR="00126204" w:rsidRDefault="00126204" w:rsidP="00126204">
      <w:pPr>
        <w:pStyle w:val="Baseparagraphcentred"/>
        <w:pBdr>
          <w:top w:val="single" w:sz="4" w:space="1" w:color="auto"/>
        </w:pBdr>
      </w:pPr>
    </w:p>
    <w:p w14:paraId="2C223CB1" w14:textId="77777777" w:rsidR="00126204" w:rsidRDefault="00126204" w:rsidP="00126204">
      <w:pPr>
        <w:pStyle w:val="Baseparagraphcentred"/>
      </w:pPr>
    </w:p>
    <w:p w14:paraId="387F0C99" w14:textId="77777777" w:rsidR="00126204" w:rsidRDefault="00126204" w:rsidP="00126204">
      <w:pPr>
        <w:pStyle w:val="Baseparagraphcentred"/>
      </w:pPr>
    </w:p>
    <w:p w14:paraId="7D130931" w14:textId="77777777" w:rsidR="00126204" w:rsidRDefault="00126204" w:rsidP="00126204">
      <w:pPr>
        <w:pStyle w:val="Baseparagraphcentred"/>
      </w:pPr>
    </w:p>
    <w:p w14:paraId="4FD01A81" w14:textId="77777777" w:rsidR="00C759AC" w:rsidRDefault="00C759AC" w:rsidP="00126204">
      <w:pPr>
        <w:pStyle w:val="Baseparagraphcentred"/>
      </w:pPr>
      <w:r>
        <w:t>EXPOSURE DRAFT EXPLANATORY MATERIALS</w:t>
      </w:r>
    </w:p>
    <w:p w14:paraId="705152F0" w14:textId="7B2183F4" w:rsidR="00126204" w:rsidRDefault="00126204" w:rsidP="00126204">
      <w:pPr>
        <w:pStyle w:val="Baseparagraphcentred"/>
      </w:pPr>
    </w:p>
    <w:p w14:paraId="7AE7A5BD" w14:textId="77777777" w:rsidR="00126204" w:rsidRDefault="00126204" w:rsidP="00126204">
      <w:pPr>
        <w:pStyle w:val="Baseparagraphcentred"/>
      </w:pPr>
    </w:p>
    <w:p w14:paraId="23CE3AE0" w14:textId="77777777" w:rsidR="00126204" w:rsidRDefault="00126204" w:rsidP="00126204">
      <w:pPr>
        <w:pStyle w:val="ParaCentredNoSpacing"/>
      </w:pPr>
    </w:p>
    <w:p w14:paraId="39B5568D" w14:textId="77777777" w:rsidR="00126204" w:rsidRPr="00967273" w:rsidRDefault="00126204" w:rsidP="00126204">
      <w:pPr>
        <w:pStyle w:val="Normalparatextnonumbers"/>
        <w:jc w:val="center"/>
        <w:rPr>
          <w:rFonts w:cs="Calibri"/>
          <w:color w:val="000000" w:themeColor="text1"/>
        </w:rPr>
      </w:pPr>
    </w:p>
    <w:p w14:paraId="5BE10879" w14:textId="77777777" w:rsidR="00126204" w:rsidRDefault="00126204" w:rsidP="00126204">
      <w:pPr>
        <w:pStyle w:val="Normalparatextnonumbers"/>
      </w:pPr>
    </w:p>
    <w:p w14:paraId="630EFD1F" w14:textId="77777777" w:rsidR="00126204" w:rsidRPr="00020288" w:rsidRDefault="00126204" w:rsidP="00126204">
      <w:pPr>
        <w:pStyle w:val="Normalparatextnonumbers"/>
      </w:pPr>
    </w:p>
    <w:p w14:paraId="51116F11" w14:textId="77777777" w:rsidR="00126204" w:rsidRPr="00020288" w:rsidRDefault="00126204" w:rsidP="00126204">
      <w:pPr>
        <w:pStyle w:val="TOC1"/>
        <w:sectPr w:rsidR="00126204" w:rsidRPr="00020288" w:rsidSect="00000BFC">
          <w:headerReference w:type="even" r:id="rId12"/>
          <w:headerReference w:type="default" r:id="rId13"/>
          <w:headerReference w:type="first" r:id="rId14"/>
          <w:footerReference w:type="first" r:id="rId15"/>
          <w:type w:val="oddPage"/>
          <w:pgSz w:w="9979" w:h="14175" w:code="138"/>
          <w:pgMar w:top="567" w:right="1134" w:bottom="567" w:left="1134" w:header="709" w:footer="709" w:gutter="0"/>
          <w:cols w:space="708"/>
          <w:titlePg/>
          <w:docGrid w:linePitch="360"/>
        </w:sectPr>
      </w:pPr>
    </w:p>
    <w:p w14:paraId="24DED318" w14:textId="77777777" w:rsidR="00126204" w:rsidRPr="00020288" w:rsidRDefault="00126204" w:rsidP="00126204">
      <w:pPr>
        <w:pStyle w:val="TOCHeading"/>
      </w:pPr>
      <w:bookmarkStart w:id="22" w:name="_Toc80172450"/>
      <w:bookmarkStart w:id="23" w:name="_Toc80197114"/>
      <w:bookmarkStart w:id="24" w:name="_Toc81852681"/>
      <w:bookmarkEnd w:id="0"/>
      <w:bookmarkEnd w:id="1"/>
      <w:bookmarkEnd w:id="2"/>
      <w:bookmarkEnd w:id="3"/>
      <w:bookmarkEnd w:id="4"/>
      <w:r w:rsidRPr="00020288">
        <w:lastRenderedPageBreak/>
        <w:t>Table of Contents</w:t>
      </w:r>
      <w:bookmarkEnd w:id="22"/>
      <w:bookmarkEnd w:id="23"/>
      <w:bookmarkEnd w:id="24"/>
    </w:p>
    <w:p w14:paraId="5EDDEA10" w14:textId="58A57091" w:rsidR="005671A2" w:rsidRDefault="00126204">
      <w:pPr>
        <w:pStyle w:val="TOC1"/>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5671A2">
        <w:rPr>
          <w:noProof/>
        </w:rPr>
        <w:t>Glossary</w:t>
      </w:r>
      <w:r w:rsidR="005671A2">
        <w:rPr>
          <w:noProof/>
        </w:rPr>
        <w:tab/>
      </w:r>
      <w:r w:rsidR="005671A2">
        <w:rPr>
          <w:noProof/>
        </w:rPr>
        <w:tab/>
      </w:r>
      <w:r w:rsidR="005671A2">
        <w:rPr>
          <w:noProof/>
        </w:rPr>
        <w:fldChar w:fldCharType="begin"/>
      </w:r>
      <w:r w:rsidR="005671A2">
        <w:rPr>
          <w:noProof/>
        </w:rPr>
        <w:instrText xml:space="preserve"> PAGEREF _Toc141093337 \h </w:instrText>
      </w:r>
      <w:r w:rsidR="005671A2">
        <w:rPr>
          <w:noProof/>
        </w:rPr>
      </w:r>
      <w:r w:rsidR="005671A2">
        <w:rPr>
          <w:noProof/>
        </w:rPr>
        <w:fldChar w:fldCharType="separate"/>
      </w:r>
      <w:r w:rsidR="00C34E05">
        <w:rPr>
          <w:noProof/>
        </w:rPr>
        <w:t>iii</w:t>
      </w:r>
      <w:r w:rsidR="005671A2">
        <w:rPr>
          <w:noProof/>
        </w:rPr>
        <w:fldChar w:fldCharType="end"/>
      </w:r>
    </w:p>
    <w:p w14:paraId="02694879" w14:textId="6787DEC0" w:rsidR="005671A2" w:rsidRDefault="005671A2">
      <w:pPr>
        <w:pStyle w:val="TOC1"/>
        <w:rPr>
          <w:rFonts w:asciiTheme="minorHAnsi" w:eastAsiaTheme="minorEastAsia" w:hAnsiTheme="minorHAnsi" w:cstheme="minorBidi"/>
          <w:bCs w:val="0"/>
          <w:noProof/>
          <w:sz w:val="22"/>
          <w:szCs w:val="22"/>
          <w:lang w:eastAsia="en-AU"/>
        </w:rPr>
      </w:pPr>
      <w:r w:rsidRPr="00350432">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Minor and technical amendments</w:t>
      </w:r>
      <w:r>
        <w:rPr>
          <w:noProof/>
        </w:rPr>
        <w:tab/>
      </w:r>
      <w:r>
        <w:rPr>
          <w:noProof/>
        </w:rPr>
        <w:fldChar w:fldCharType="begin"/>
      </w:r>
      <w:r>
        <w:rPr>
          <w:noProof/>
        </w:rPr>
        <w:instrText xml:space="preserve"> PAGEREF _Toc141093338 \h </w:instrText>
      </w:r>
      <w:r>
        <w:rPr>
          <w:noProof/>
        </w:rPr>
      </w:r>
      <w:r>
        <w:rPr>
          <w:noProof/>
        </w:rPr>
        <w:fldChar w:fldCharType="separate"/>
      </w:r>
      <w:r w:rsidR="00C34E05">
        <w:rPr>
          <w:noProof/>
        </w:rPr>
        <w:t>5</w:t>
      </w:r>
      <w:r>
        <w:rPr>
          <w:noProof/>
        </w:rPr>
        <w:fldChar w:fldCharType="end"/>
      </w:r>
    </w:p>
    <w:p w14:paraId="4A9CA7F9" w14:textId="1C0E0993" w:rsidR="00126204" w:rsidRPr="00020288" w:rsidRDefault="00126204" w:rsidP="00126204">
      <w:pPr>
        <w:pStyle w:val="TOC1"/>
      </w:pPr>
      <w:r w:rsidRPr="00BC2E4A">
        <w:fldChar w:fldCharType="end"/>
      </w:r>
    </w:p>
    <w:p w14:paraId="7A418F64" w14:textId="77777777" w:rsidR="00126204" w:rsidRPr="00020288" w:rsidRDefault="00126204" w:rsidP="00126204"/>
    <w:p w14:paraId="4026DCB9" w14:textId="77777777" w:rsidR="00126204" w:rsidRPr="00020288" w:rsidRDefault="00126204" w:rsidP="00126204"/>
    <w:p w14:paraId="2DEE868A" w14:textId="77777777" w:rsidR="00126204" w:rsidRPr="00020288" w:rsidRDefault="00126204" w:rsidP="00126204">
      <w:pPr>
        <w:sectPr w:rsidR="00126204" w:rsidRPr="00020288" w:rsidSect="00000BFC">
          <w:headerReference w:type="even" r:id="rId16"/>
          <w:headerReference w:type="default" r:id="rId17"/>
          <w:headerReference w:type="first" r:id="rId18"/>
          <w:footerReference w:type="first" r:id="rId19"/>
          <w:type w:val="oddPage"/>
          <w:pgSz w:w="9979" w:h="14175" w:code="9"/>
          <w:pgMar w:top="567" w:right="1134" w:bottom="567" w:left="1134" w:header="709" w:footer="709" w:gutter="0"/>
          <w:pgNumType w:start="1"/>
          <w:cols w:space="708"/>
          <w:titlePg/>
          <w:docGrid w:linePitch="360"/>
        </w:sectPr>
      </w:pPr>
    </w:p>
    <w:p w14:paraId="7BBF4B1E" w14:textId="77777777" w:rsidR="00873094" w:rsidRPr="00020288" w:rsidRDefault="00873094" w:rsidP="00873094">
      <w:pPr>
        <w:pStyle w:val="Heading1"/>
        <w:rPr>
          <w:rFonts w:hint="eastAsia"/>
        </w:rPr>
      </w:pPr>
      <w:bookmarkStart w:id="25" w:name="_Toc141093337"/>
      <w:r w:rsidRPr="00020288">
        <w:lastRenderedPageBreak/>
        <w:t>Glossary</w:t>
      </w:r>
      <w:bookmarkStart w:id="26" w:name="_Toc485286223"/>
      <w:bookmarkStart w:id="27" w:name="_Toc78193244"/>
      <w:bookmarkStart w:id="28" w:name="_Toc7819340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5"/>
    </w:p>
    <w:p w14:paraId="74B1BD20"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1347E321" w14:textId="77777777" w:rsidTr="002425D9">
        <w:tc>
          <w:tcPr>
            <w:tcW w:w="3776" w:type="dxa"/>
            <w:shd w:val="clear" w:color="auto" w:fill="auto"/>
          </w:tcPr>
          <w:p w14:paraId="61B15EF2" w14:textId="77777777" w:rsidR="00873094" w:rsidRPr="002E7A73" w:rsidRDefault="00873094" w:rsidP="00B7393A">
            <w:pPr>
              <w:pStyle w:val="Tableheaderrowtext"/>
            </w:pPr>
            <w:bookmarkStart w:id="29" w:name="GlossaryTableStart"/>
            <w:bookmarkEnd w:id="29"/>
            <w:r w:rsidRPr="002E7A73">
              <w:t>Abbreviation</w:t>
            </w:r>
          </w:p>
        </w:tc>
        <w:tc>
          <w:tcPr>
            <w:tcW w:w="3874" w:type="dxa"/>
            <w:shd w:val="clear" w:color="auto" w:fill="auto"/>
          </w:tcPr>
          <w:p w14:paraId="6C946086" w14:textId="77777777" w:rsidR="00873094" w:rsidRPr="002E7A73" w:rsidRDefault="00873094" w:rsidP="00B7393A">
            <w:pPr>
              <w:pStyle w:val="Tableheaderrowtext"/>
            </w:pPr>
            <w:r w:rsidRPr="002E7A73">
              <w:t>Definition</w:t>
            </w:r>
          </w:p>
        </w:tc>
      </w:tr>
      <w:tr w:rsidR="00873094" w:rsidRPr="00020288" w14:paraId="2B1227BE" w14:textId="77777777" w:rsidTr="002425D9">
        <w:tc>
          <w:tcPr>
            <w:tcW w:w="3776" w:type="dxa"/>
          </w:tcPr>
          <w:p w14:paraId="47E11293" w14:textId="2F81F0F6" w:rsidR="00873094" w:rsidRPr="00020288" w:rsidRDefault="00D12A6E" w:rsidP="002425D9">
            <w:pPr>
              <w:pStyle w:val="Normalparatextnonumbers"/>
            </w:pPr>
            <w:r>
              <w:t>ACL</w:t>
            </w:r>
          </w:p>
        </w:tc>
        <w:tc>
          <w:tcPr>
            <w:tcW w:w="3874" w:type="dxa"/>
          </w:tcPr>
          <w:p w14:paraId="209263FA" w14:textId="05FC36F2" w:rsidR="00873094" w:rsidRPr="00020288" w:rsidRDefault="00D12A6E" w:rsidP="002425D9">
            <w:pPr>
              <w:pStyle w:val="Normalparatextnonumbers"/>
            </w:pPr>
            <w:r>
              <w:t xml:space="preserve">Australian Consumer Law (Schedule 2 to the </w:t>
            </w:r>
            <w:r w:rsidRPr="0023722E">
              <w:rPr>
                <w:i/>
                <w:iCs/>
              </w:rPr>
              <w:t>Competition and Consumer Act 2010</w:t>
            </w:r>
            <w:r>
              <w:t>)</w:t>
            </w:r>
          </w:p>
        </w:tc>
      </w:tr>
      <w:tr w:rsidR="0024259C" w:rsidRPr="00020288" w14:paraId="39D2DFAC" w14:textId="77777777" w:rsidTr="002425D9">
        <w:tc>
          <w:tcPr>
            <w:tcW w:w="3776" w:type="dxa"/>
          </w:tcPr>
          <w:p w14:paraId="607980F2" w14:textId="7B615F03" w:rsidR="0024259C" w:rsidRDefault="0024259C" w:rsidP="002425D9">
            <w:pPr>
              <w:pStyle w:val="Normalparatextnonumbers"/>
            </w:pPr>
            <w:r>
              <w:t>ACL IGA</w:t>
            </w:r>
          </w:p>
        </w:tc>
        <w:tc>
          <w:tcPr>
            <w:tcW w:w="3874" w:type="dxa"/>
          </w:tcPr>
          <w:p w14:paraId="3054A1E0" w14:textId="2C733284" w:rsidR="0024259C" w:rsidRPr="0024259C" w:rsidRDefault="0024259C" w:rsidP="002425D9">
            <w:pPr>
              <w:pStyle w:val="Normalparatextnonumbers"/>
            </w:pPr>
            <w:r>
              <w:t>Intergovernmental Agreement for the Australian Consumer Law</w:t>
            </w:r>
          </w:p>
        </w:tc>
      </w:tr>
      <w:tr w:rsidR="004A131B" w:rsidRPr="00020288" w14:paraId="5BCB9EBF" w14:textId="77777777" w:rsidTr="002425D9">
        <w:tc>
          <w:tcPr>
            <w:tcW w:w="3776" w:type="dxa"/>
          </w:tcPr>
          <w:p w14:paraId="7357CC82" w14:textId="0D5FD3EE" w:rsidR="004A131B" w:rsidRDefault="004A131B" w:rsidP="002425D9">
            <w:pPr>
              <w:pStyle w:val="Normalparatextnonumbers"/>
            </w:pPr>
            <w:r>
              <w:t>ACNC</w:t>
            </w:r>
          </w:p>
        </w:tc>
        <w:tc>
          <w:tcPr>
            <w:tcW w:w="3874" w:type="dxa"/>
          </w:tcPr>
          <w:p w14:paraId="0A4D8A9F" w14:textId="1A336AA3" w:rsidR="004A131B" w:rsidRDefault="004A131B" w:rsidP="002425D9">
            <w:pPr>
              <w:pStyle w:val="Normalparatextnonumbers"/>
            </w:pPr>
            <w:r>
              <w:t xml:space="preserve">Australian Charities and Not-for-profits Commission </w:t>
            </w:r>
          </w:p>
        </w:tc>
      </w:tr>
      <w:tr w:rsidR="00FF7EFC" w:rsidRPr="00020288" w14:paraId="266329FB" w14:textId="77777777" w:rsidTr="002425D9">
        <w:tc>
          <w:tcPr>
            <w:tcW w:w="3776" w:type="dxa"/>
          </w:tcPr>
          <w:p w14:paraId="23A56780" w14:textId="616AEAB8" w:rsidR="00FF7EFC" w:rsidRDefault="00FF7EFC" w:rsidP="002425D9">
            <w:pPr>
              <w:pStyle w:val="Normalparatextnonumbers"/>
            </w:pPr>
            <w:r>
              <w:t>ACNC Act</w:t>
            </w:r>
          </w:p>
        </w:tc>
        <w:tc>
          <w:tcPr>
            <w:tcW w:w="3874" w:type="dxa"/>
          </w:tcPr>
          <w:p w14:paraId="1B805C57" w14:textId="04CF9C52" w:rsidR="00FF7EFC" w:rsidRPr="00FF7EFC" w:rsidRDefault="00FF7EFC" w:rsidP="002425D9">
            <w:pPr>
              <w:pStyle w:val="Normalparatextnonumbers"/>
              <w:rPr>
                <w:i/>
                <w:iCs/>
              </w:rPr>
            </w:pPr>
            <w:r w:rsidRPr="00FF7EFC">
              <w:rPr>
                <w:i/>
                <w:iCs/>
              </w:rPr>
              <w:t>Australian Charities and Not‑for‑profits Commission Act 2012</w:t>
            </w:r>
          </w:p>
        </w:tc>
      </w:tr>
      <w:tr w:rsidR="00FF7EFC" w:rsidRPr="00020288" w14:paraId="58131A48" w14:textId="77777777" w:rsidTr="002425D9">
        <w:tc>
          <w:tcPr>
            <w:tcW w:w="3776" w:type="dxa"/>
          </w:tcPr>
          <w:p w14:paraId="017C71BA" w14:textId="4E904E8F" w:rsidR="00FF7EFC" w:rsidRDefault="00FF7EFC" w:rsidP="002425D9">
            <w:pPr>
              <w:pStyle w:val="Normalparatextnonumbers"/>
            </w:pPr>
            <w:r>
              <w:t>ASIC</w:t>
            </w:r>
          </w:p>
        </w:tc>
        <w:tc>
          <w:tcPr>
            <w:tcW w:w="3874" w:type="dxa"/>
          </w:tcPr>
          <w:p w14:paraId="1E23A239" w14:textId="68E630AF" w:rsidR="00FF7EFC" w:rsidRDefault="00FF7EFC" w:rsidP="002425D9">
            <w:pPr>
              <w:pStyle w:val="Normalparatextnonumbers"/>
            </w:pPr>
            <w:r>
              <w:t>Australian Securities and Investment Commission</w:t>
            </w:r>
          </w:p>
        </w:tc>
      </w:tr>
      <w:tr w:rsidR="00693B29" w:rsidRPr="00020288" w14:paraId="34FDA755" w14:textId="77777777" w:rsidTr="002425D9">
        <w:tc>
          <w:tcPr>
            <w:tcW w:w="3776" w:type="dxa"/>
          </w:tcPr>
          <w:p w14:paraId="616CED75" w14:textId="0DBF4E5B" w:rsidR="00693B29" w:rsidRDefault="00693B29" w:rsidP="002425D9">
            <w:pPr>
              <w:pStyle w:val="Normalparatextnonumbers"/>
            </w:pPr>
            <w:r>
              <w:t>Bill</w:t>
            </w:r>
          </w:p>
        </w:tc>
        <w:tc>
          <w:tcPr>
            <w:tcW w:w="3874" w:type="dxa"/>
          </w:tcPr>
          <w:p w14:paraId="2ADE80BD" w14:textId="05EDB34E" w:rsidR="00693B29" w:rsidRDefault="00B30468" w:rsidP="002425D9">
            <w:pPr>
              <w:pStyle w:val="Normalparatextnonumbers"/>
            </w:pPr>
            <w:r>
              <w:t>TBC</w:t>
            </w:r>
          </w:p>
        </w:tc>
      </w:tr>
      <w:tr w:rsidR="00873094" w:rsidRPr="00020288" w14:paraId="74D23398" w14:textId="77777777" w:rsidTr="002425D9">
        <w:tc>
          <w:tcPr>
            <w:tcW w:w="3776" w:type="dxa"/>
          </w:tcPr>
          <w:p w14:paraId="728B6728" w14:textId="7865C572" w:rsidR="00873094" w:rsidRPr="00020288" w:rsidRDefault="00BA5E73" w:rsidP="002425D9">
            <w:pPr>
              <w:pStyle w:val="Normalparatextnonumbers"/>
            </w:pPr>
            <w:r>
              <w:t>Corporations Act</w:t>
            </w:r>
          </w:p>
        </w:tc>
        <w:tc>
          <w:tcPr>
            <w:tcW w:w="3874" w:type="dxa"/>
          </w:tcPr>
          <w:p w14:paraId="69016024" w14:textId="489BE338" w:rsidR="00873094" w:rsidRPr="00F20DB9" w:rsidRDefault="00BA5E73" w:rsidP="002425D9">
            <w:pPr>
              <w:pStyle w:val="Normalparatextnonumbers"/>
              <w:rPr>
                <w:i/>
                <w:iCs/>
              </w:rPr>
            </w:pPr>
            <w:r w:rsidRPr="00F20DB9">
              <w:rPr>
                <w:i/>
                <w:iCs/>
              </w:rPr>
              <w:t>Corporations Act</w:t>
            </w:r>
            <w:r w:rsidR="00F20DB9" w:rsidRPr="00F20DB9">
              <w:rPr>
                <w:i/>
                <w:iCs/>
              </w:rPr>
              <w:t xml:space="preserve"> 2001</w:t>
            </w:r>
          </w:p>
        </w:tc>
      </w:tr>
      <w:tr w:rsidR="00D77418" w:rsidRPr="00020288" w14:paraId="432B8040" w14:textId="77777777" w:rsidTr="002425D9">
        <w:tc>
          <w:tcPr>
            <w:tcW w:w="3776" w:type="dxa"/>
          </w:tcPr>
          <w:p w14:paraId="555F3A67" w14:textId="2FA2B863" w:rsidR="00D77418" w:rsidRDefault="00D77418" w:rsidP="002425D9">
            <w:pPr>
              <w:pStyle w:val="Normalparatextnonumbers"/>
            </w:pPr>
            <w:r>
              <w:t>Fees Act</w:t>
            </w:r>
          </w:p>
        </w:tc>
        <w:tc>
          <w:tcPr>
            <w:tcW w:w="3874" w:type="dxa"/>
          </w:tcPr>
          <w:p w14:paraId="41505DCE" w14:textId="33090C65" w:rsidR="00D77418" w:rsidRPr="00F20DB9" w:rsidRDefault="00D77418" w:rsidP="002425D9">
            <w:pPr>
              <w:pStyle w:val="Normalparatextnonumbers"/>
              <w:rPr>
                <w:i/>
                <w:iCs/>
              </w:rPr>
            </w:pPr>
            <w:r w:rsidRPr="00D77418">
              <w:rPr>
                <w:i/>
                <w:iCs/>
              </w:rPr>
              <w:t>Corporations (Fees) Act 2001</w:t>
            </w:r>
            <w:r>
              <w:t xml:space="preserve"> </w:t>
            </w:r>
          </w:p>
        </w:tc>
      </w:tr>
      <w:tr w:rsidR="00126204" w:rsidRPr="00020288" w14:paraId="546CA5E5" w14:textId="77777777" w:rsidTr="002425D9">
        <w:tc>
          <w:tcPr>
            <w:tcW w:w="3776" w:type="dxa"/>
          </w:tcPr>
          <w:p w14:paraId="3F124B59" w14:textId="10D1B2BA" w:rsidR="00126204" w:rsidRPr="00020288" w:rsidRDefault="00126204" w:rsidP="00126204">
            <w:pPr>
              <w:pStyle w:val="Normalparatextnonumbers"/>
            </w:pPr>
            <w:r>
              <w:t>FFR Act</w:t>
            </w:r>
          </w:p>
        </w:tc>
        <w:tc>
          <w:tcPr>
            <w:tcW w:w="3874" w:type="dxa"/>
          </w:tcPr>
          <w:p w14:paraId="3BE17C5C" w14:textId="2150423A" w:rsidR="00126204" w:rsidRPr="00020288" w:rsidRDefault="00126204" w:rsidP="00126204">
            <w:pPr>
              <w:pStyle w:val="Normalparatextnonumbers"/>
            </w:pPr>
            <w:r w:rsidRPr="005A35DE">
              <w:rPr>
                <w:i/>
                <w:iCs/>
              </w:rPr>
              <w:t>Federal Financial Relations Act 2009</w:t>
            </w:r>
            <w:r>
              <w:t xml:space="preserve"> </w:t>
            </w:r>
          </w:p>
        </w:tc>
      </w:tr>
      <w:tr w:rsidR="00126204" w:rsidRPr="00020288" w14:paraId="612ED690" w14:textId="77777777" w:rsidTr="002425D9">
        <w:tc>
          <w:tcPr>
            <w:tcW w:w="3776" w:type="dxa"/>
          </w:tcPr>
          <w:p w14:paraId="67251F2D" w14:textId="42675C75" w:rsidR="00126204" w:rsidRPr="00020288" w:rsidRDefault="00CE2D72" w:rsidP="00126204">
            <w:pPr>
              <w:pStyle w:val="Normalparatextnonumbers"/>
            </w:pPr>
            <w:r w:rsidRPr="00F22675">
              <w:t>ITAA 1997</w:t>
            </w:r>
          </w:p>
        </w:tc>
        <w:tc>
          <w:tcPr>
            <w:tcW w:w="3874" w:type="dxa"/>
          </w:tcPr>
          <w:p w14:paraId="1629EB26" w14:textId="2CEDEC1B" w:rsidR="00126204" w:rsidRPr="006456DC" w:rsidRDefault="00CE2D72" w:rsidP="00126204">
            <w:pPr>
              <w:pStyle w:val="Normalparatextnonumbers"/>
              <w:rPr>
                <w:i/>
                <w:iCs/>
              </w:rPr>
            </w:pPr>
            <w:r w:rsidRPr="006456DC">
              <w:rPr>
                <w:i/>
                <w:iCs/>
              </w:rPr>
              <w:t xml:space="preserve">Income Tax Assessment Act 1997 </w:t>
            </w:r>
          </w:p>
        </w:tc>
      </w:tr>
      <w:tr w:rsidR="00206BAC" w:rsidRPr="00020288" w14:paraId="668A6487" w14:textId="77777777" w:rsidTr="002425D9">
        <w:tc>
          <w:tcPr>
            <w:tcW w:w="3776" w:type="dxa"/>
          </w:tcPr>
          <w:p w14:paraId="72192C71" w14:textId="69FAF203" w:rsidR="00206BAC" w:rsidRDefault="00206BAC" w:rsidP="00126204">
            <w:pPr>
              <w:pStyle w:val="Normalparatextnonumbers"/>
            </w:pPr>
            <w:r>
              <w:t>GST</w:t>
            </w:r>
          </w:p>
        </w:tc>
        <w:tc>
          <w:tcPr>
            <w:tcW w:w="3874" w:type="dxa"/>
          </w:tcPr>
          <w:p w14:paraId="4ACAF0F3" w14:textId="7D0AE914" w:rsidR="00206BAC" w:rsidRPr="00206BAC" w:rsidRDefault="00206BAC" w:rsidP="00126204">
            <w:pPr>
              <w:pStyle w:val="Normalparatextnonumbers"/>
            </w:pPr>
            <w:r>
              <w:t>Goods and services tax</w:t>
            </w:r>
          </w:p>
        </w:tc>
      </w:tr>
      <w:tr w:rsidR="00126204" w:rsidRPr="00020288" w14:paraId="520DD8F7" w14:textId="77777777" w:rsidTr="002425D9">
        <w:tc>
          <w:tcPr>
            <w:tcW w:w="3776" w:type="dxa"/>
          </w:tcPr>
          <w:p w14:paraId="06C8CB85" w14:textId="403EA04C" w:rsidR="00126204" w:rsidRPr="00020288" w:rsidRDefault="00E822AE" w:rsidP="00126204">
            <w:pPr>
              <w:pStyle w:val="Normalparatextnonumbers"/>
            </w:pPr>
            <w:r>
              <w:t>GST Act</w:t>
            </w:r>
          </w:p>
        </w:tc>
        <w:tc>
          <w:tcPr>
            <w:tcW w:w="3874" w:type="dxa"/>
          </w:tcPr>
          <w:p w14:paraId="603450D5" w14:textId="4CDD926E" w:rsidR="00126204" w:rsidRPr="00020288" w:rsidRDefault="00E822AE" w:rsidP="00126204">
            <w:pPr>
              <w:pStyle w:val="Normalparatextnonumbers"/>
            </w:pPr>
            <w:r>
              <w:rPr>
                <w:i/>
                <w:iCs/>
              </w:rPr>
              <w:t>A New Tax System (Goods and Services Tax) Act 1999</w:t>
            </w:r>
          </w:p>
        </w:tc>
      </w:tr>
      <w:tr w:rsidR="0046108E" w:rsidRPr="00020288" w14:paraId="1F246683" w14:textId="77777777">
        <w:tc>
          <w:tcPr>
            <w:tcW w:w="3776" w:type="dxa"/>
          </w:tcPr>
          <w:p w14:paraId="7427227D" w14:textId="77777777" w:rsidR="0046108E" w:rsidRPr="00020288" w:rsidRDefault="0046108E">
            <w:pPr>
              <w:pStyle w:val="Normalparatextnonumbers"/>
            </w:pPr>
            <w:r>
              <w:t>NDIS</w:t>
            </w:r>
          </w:p>
        </w:tc>
        <w:tc>
          <w:tcPr>
            <w:tcW w:w="3874" w:type="dxa"/>
          </w:tcPr>
          <w:p w14:paraId="1C630E32" w14:textId="77777777" w:rsidR="0046108E" w:rsidRPr="00020288" w:rsidRDefault="0046108E">
            <w:pPr>
              <w:pStyle w:val="Normalparatextnonumbers"/>
            </w:pPr>
            <w:r>
              <w:t xml:space="preserve">National Disability Insurance Scheme </w:t>
            </w:r>
          </w:p>
        </w:tc>
      </w:tr>
      <w:tr w:rsidR="006C17B0" w:rsidRPr="00020288" w14:paraId="7FF7B2D1" w14:textId="77777777" w:rsidTr="002425D9">
        <w:tc>
          <w:tcPr>
            <w:tcW w:w="3776" w:type="dxa"/>
          </w:tcPr>
          <w:p w14:paraId="132C1512" w14:textId="1362D435" w:rsidR="006C17B0" w:rsidRDefault="006C17B0" w:rsidP="00126204">
            <w:pPr>
              <w:pStyle w:val="Normalparatextnonumbers"/>
            </w:pPr>
            <w:r>
              <w:t>Review Fees Act</w:t>
            </w:r>
          </w:p>
        </w:tc>
        <w:tc>
          <w:tcPr>
            <w:tcW w:w="3874" w:type="dxa"/>
          </w:tcPr>
          <w:p w14:paraId="1D311B79" w14:textId="34459479" w:rsidR="006C17B0" w:rsidRPr="006C17B0" w:rsidRDefault="006C17B0" w:rsidP="00126204">
            <w:pPr>
              <w:pStyle w:val="Normalparatextnonumbers"/>
              <w:rPr>
                <w:i/>
                <w:iCs/>
              </w:rPr>
            </w:pPr>
            <w:r w:rsidRPr="006C17B0">
              <w:rPr>
                <w:i/>
                <w:iCs/>
              </w:rPr>
              <w:t>Corporations (Review Fees) Act 2003</w:t>
            </w:r>
          </w:p>
        </w:tc>
      </w:tr>
    </w:tbl>
    <w:p w14:paraId="7849508C" w14:textId="77777777" w:rsidR="00873094" w:rsidRPr="00020288" w:rsidRDefault="00873094" w:rsidP="00873094"/>
    <w:p w14:paraId="40ABCD68" w14:textId="77777777" w:rsidR="00873094" w:rsidRPr="00020288" w:rsidRDefault="00873094" w:rsidP="00873094"/>
    <w:p w14:paraId="19F3D704" w14:textId="77777777" w:rsidR="00873094" w:rsidRPr="00020288" w:rsidRDefault="00873094" w:rsidP="00873094">
      <w:pPr>
        <w:pStyle w:val="Heading1"/>
        <w:rPr>
          <w:rFonts w:hint="eastAsia"/>
        </w:rPr>
        <w:sectPr w:rsidR="00873094" w:rsidRPr="00020288" w:rsidSect="00000BFC">
          <w:headerReference w:type="even" r:id="rId20"/>
          <w:headerReference w:type="default" r:id="rId21"/>
          <w:headerReference w:type="first" r:id="rId22"/>
          <w:footerReference w:type="first" r:id="rId23"/>
          <w:type w:val="oddPage"/>
          <w:pgSz w:w="9979" w:h="14175" w:code="9"/>
          <w:pgMar w:top="567" w:right="1134" w:bottom="567" w:left="1134" w:header="709" w:footer="709" w:gutter="0"/>
          <w:pgNumType w:fmt="lowerRoman"/>
          <w:cols w:space="708"/>
          <w:docGrid w:linePitch="360"/>
        </w:sectPr>
      </w:pPr>
      <w:bookmarkStart w:id="30" w:name="_Toc78548464"/>
      <w:bookmarkStart w:id="31" w:name="_Toc78549735"/>
      <w:bookmarkStart w:id="32" w:name="_Toc78549780"/>
      <w:bookmarkStart w:id="33" w:name="_Toc80097484"/>
      <w:bookmarkStart w:id="34" w:name="_Toc80097778"/>
      <w:bookmarkStart w:id="35" w:name="_Toc80115277"/>
      <w:bookmarkStart w:id="36" w:name="_Toc80172452"/>
      <w:bookmarkStart w:id="37" w:name="_Toc80197116"/>
      <w:bookmarkStart w:id="38" w:name="_Toc81852683"/>
      <w:bookmarkStart w:id="39" w:name="_Toc81852728"/>
    </w:p>
    <w:p w14:paraId="2B703125" w14:textId="4C8DCC83" w:rsidR="00873094" w:rsidRPr="0073326A" w:rsidRDefault="00E765E7" w:rsidP="00777A92">
      <w:pPr>
        <w:pStyle w:val="Chapterheading"/>
        <w:rPr>
          <w:rFonts w:hint="eastAsia"/>
        </w:rPr>
      </w:pPr>
      <w:bookmarkStart w:id="40" w:name="GeneralOutline"/>
      <w:bookmarkStart w:id="41" w:name="_Toc141093338"/>
      <w:bookmarkEnd w:id="26"/>
      <w:bookmarkEnd w:id="27"/>
      <w:bookmarkEnd w:id="28"/>
      <w:bookmarkEnd w:id="30"/>
      <w:bookmarkEnd w:id="31"/>
      <w:bookmarkEnd w:id="32"/>
      <w:bookmarkEnd w:id="33"/>
      <w:bookmarkEnd w:id="34"/>
      <w:bookmarkEnd w:id="35"/>
      <w:bookmarkEnd w:id="36"/>
      <w:bookmarkEnd w:id="37"/>
      <w:bookmarkEnd w:id="38"/>
      <w:bookmarkEnd w:id="39"/>
      <w:bookmarkEnd w:id="40"/>
      <w:r>
        <w:lastRenderedPageBreak/>
        <w:t>Minor and technical amendments</w:t>
      </w:r>
      <w:bookmarkEnd w:id="41"/>
    </w:p>
    <w:p w14:paraId="59857F92" w14:textId="77777777" w:rsidR="00873094" w:rsidRPr="00020288" w:rsidRDefault="00873094" w:rsidP="005D0844">
      <w:pPr>
        <w:pStyle w:val="Heading2"/>
        <w:rPr>
          <w:rFonts w:hint="eastAsia"/>
        </w:rPr>
      </w:pPr>
      <w:r w:rsidRPr="00020288">
        <w:t xml:space="preserve">Outline </w:t>
      </w:r>
      <w:r w:rsidRPr="005D0844">
        <w:t>of</w:t>
      </w:r>
      <w:r w:rsidRPr="00020288">
        <w:t xml:space="preserve"> chapter</w:t>
      </w:r>
    </w:p>
    <w:p w14:paraId="717BF82D" w14:textId="526B76FD" w:rsidR="00873094" w:rsidRDefault="00D71B0F" w:rsidP="000E521B">
      <w:pPr>
        <w:pStyle w:val="Normalparatextwithnumbers"/>
      </w:pPr>
      <w:r>
        <w:t xml:space="preserve">Schedule </w:t>
      </w:r>
      <w:r w:rsidR="004A3630">
        <w:t>#</w:t>
      </w:r>
      <w:r>
        <w:t xml:space="preserve"> </w:t>
      </w:r>
      <w:r w:rsidR="00EB6B81">
        <w:t>to</w:t>
      </w:r>
      <w:r>
        <w:t xml:space="preserve"> the Bill makes </w:t>
      </w:r>
      <w:proofErr w:type="gramStart"/>
      <w:r>
        <w:t>a number of</w:t>
      </w:r>
      <w:proofErr w:type="gramEnd"/>
      <w:r>
        <w:t xml:space="preserve"> miscellaneous and technical amendments to Treasury portfolio legislation.</w:t>
      </w:r>
      <w:r w:rsidR="006322E1">
        <w:t xml:space="preserve"> The amendments </w:t>
      </w:r>
      <w:r w:rsidR="00446CDC">
        <w:t>demonstrate the Government’s ongoing commitment to the care and maintenance of Treasury portfolio legislation.</w:t>
      </w:r>
    </w:p>
    <w:p w14:paraId="2570ACF8" w14:textId="74A5E776" w:rsidR="00D71B0F" w:rsidRPr="000E521B" w:rsidRDefault="00D71B0F" w:rsidP="000E521B">
      <w:pPr>
        <w:pStyle w:val="Normalparatextwithnumbers"/>
      </w:pPr>
      <w:r>
        <w:t xml:space="preserve">The amendments </w:t>
      </w:r>
      <w:r w:rsidR="00356392">
        <w:t xml:space="preserve">repeal </w:t>
      </w:r>
      <w:r w:rsidR="00BB6B91">
        <w:t>inoperative provisions, simplify provisions and reduce red</w:t>
      </w:r>
      <w:r w:rsidR="54F87947">
        <w:t xml:space="preserve"> </w:t>
      </w:r>
      <w:r w:rsidR="00BB6B91">
        <w:t>tape.</w:t>
      </w:r>
    </w:p>
    <w:p w14:paraId="0EF62AC8" w14:textId="77777777" w:rsidR="00873094" w:rsidRPr="00020288" w:rsidRDefault="00873094" w:rsidP="005D0844">
      <w:pPr>
        <w:pStyle w:val="Heading2"/>
        <w:rPr>
          <w:rFonts w:hint="eastAsia"/>
        </w:rPr>
      </w:pPr>
      <w:r w:rsidRPr="00020288">
        <w:t xml:space="preserve">Context of </w:t>
      </w:r>
      <w:r w:rsidRPr="005D0844">
        <w:t>amendments</w:t>
      </w:r>
    </w:p>
    <w:p w14:paraId="14D3FA20" w14:textId="68387ACD" w:rsidR="00873094" w:rsidRDefault="007C768B" w:rsidP="00873094">
      <w:pPr>
        <w:pStyle w:val="Normalparatextwithnumbers"/>
        <w:numPr>
          <w:ilvl w:val="1"/>
          <w:numId w:val="3"/>
        </w:numPr>
      </w:pPr>
      <w:r w:rsidRPr="007C768B">
        <w:t>Miscellaneous and technical amendments are periodically made to Treasury portfolio legislation to correct drafting errors, repeal inoperative provisions, address unintended outcomes and make other technical changes. The amendments are part of the Government’s ongoing commitment to the care and maintenance of Treasury portfolio legislation.</w:t>
      </w:r>
    </w:p>
    <w:p w14:paraId="0D508B1E" w14:textId="3099A390" w:rsidR="00BD3656" w:rsidRPr="00020288" w:rsidRDefault="00BD3656" w:rsidP="00873094">
      <w:pPr>
        <w:pStyle w:val="Normalparatextwithnumbers"/>
        <w:numPr>
          <w:ilvl w:val="1"/>
          <w:numId w:val="3"/>
        </w:numPr>
      </w:pPr>
      <w:r w:rsidRPr="00BD3656">
        <w:t>The miscellaneous and technical amendments process was first supported by a recommendation of the 2008 Tax Design Review Panel, which was appointed to examine how to reduce delays in the enactment of tax legislation and improve the quality of tax legislation. The miscellaneous and technical</w:t>
      </w:r>
      <w:r>
        <w:t xml:space="preserve"> </w:t>
      </w:r>
      <w:r w:rsidRPr="00BD3656">
        <w:t>amendments process has since been expanded to all Treasury portfolio legislation.</w:t>
      </w:r>
    </w:p>
    <w:p w14:paraId="0FF00180" w14:textId="77777777" w:rsidR="00873094" w:rsidRPr="00020288" w:rsidRDefault="00873094" w:rsidP="005D0844">
      <w:pPr>
        <w:pStyle w:val="Heading2"/>
        <w:rPr>
          <w:rFonts w:hint="eastAsia"/>
        </w:rPr>
      </w:pPr>
      <w:r w:rsidRPr="00020288">
        <w:t xml:space="preserve">Summary of </w:t>
      </w:r>
      <w:r w:rsidRPr="005D0844">
        <w:t>new</w:t>
      </w:r>
      <w:r w:rsidRPr="00020288">
        <w:t xml:space="preserve"> law</w:t>
      </w:r>
    </w:p>
    <w:p w14:paraId="05763384" w14:textId="773528B0" w:rsidR="00873094" w:rsidRDefault="001D1A9A" w:rsidP="00873094">
      <w:pPr>
        <w:pStyle w:val="Normalparatextwithnumbers"/>
        <w:numPr>
          <w:ilvl w:val="1"/>
          <w:numId w:val="3"/>
        </w:numPr>
      </w:pPr>
      <w:r w:rsidRPr="001D1A9A">
        <w:t>The miscellaneous and technical amendments maintain and improve the quality of Treasury legislation by:</w:t>
      </w:r>
    </w:p>
    <w:p w14:paraId="68DAABAC" w14:textId="400ABD1D" w:rsidR="00BB6B91" w:rsidRPr="009027FD" w:rsidRDefault="00BB6B91" w:rsidP="001D1A9A">
      <w:pPr>
        <w:pStyle w:val="Dotpoint1"/>
      </w:pPr>
      <w:r w:rsidRPr="009027FD">
        <w:t xml:space="preserve">repealing redundant and inoperative </w:t>
      </w:r>
      <w:proofErr w:type="gramStart"/>
      <w:r w:rsidRPr="009027FD">
        <w:t>provisions;</w:t>
      </w:r>
      <w:proofErr w:type="gramEnd"/>
    </w:p>
    <w:p w14:paraId="6B943FCB" w14:textId="4D1AC4A7" w:rsidR="00BB6B91" w:rsidRPr="009027FD" w:rsidRDefault="00634027" w:rsidP="001D1A9A">
      <w:pPr>
        <w:pStyle w:val="Dotpoint1"/>
      </w:pPr>
      <w:r w:rsidRPr="009027FD">
        <w:t xml:space="preserve">enhancing readability and administrative </w:t>
      </w:r>
      <w:proofErr w:type="gramStart"/>
      <w:r w:rsidRPr="009027FD">
        <w:t>efficiency;</w:t>
      </w:r>
      <w:proofErr w:type="gramEnd"/>
      <w:r w:rsidRPr="009027FD">
        <w:t xml:space="preserve"> </w:t>
      </w:r>
    </w:p>
    <w:p w14:paraId="64582507" w14:textId="1B756AAE" w:rsidR="00634027" w:rsidRPr="009027FD" w:rsidRDefault="00634027" w:rsidP="001D1A9A">
      <w:pPr>
        <w:pStyle w:val="Dotpoint1"/>
      </w:pPr>
      <w:r w:rsidRPr="009027FD">
        <w:t>reducing unnecessary red tape;</w:t>
      </w:r>
      <w:r w:rsidR="009027FD" w:rsidRPr="009027FD">
        <w:t xml:space="preserve"> and</w:t>
      </w:r>
    </w:p>
    <w:p w14:paraId="29779CBD" w14:textId="25329D52" w:rsidR="00FA3EB0" w:rsidRPr="009027FD" w:rsidRDefault="009027FD" w:rsidP="009027FD">
      <w:pPr>
        <w:pStyle w:val="Dotpoint1"/>
      </w:pPr>
      <w:r w:rsidRPr="009027FD">
        <w:t>making other technical changes</w:t>
      </w:r>
      <w:r w:rsidR="67C4B82B">
        <w:t>.</w:t>
      </w:r>
    </w:p>
    <w:p w14:paraId="5C781A9A" w14:textId="77777777" w:rsidR="00873094" w:rsidRPr="00020288" w:rsidRDefault="00873094" w:rsidP="003675AE">
      <w:pPr>
        <w:pStyle w:val="Heading2"/>
        <w:rPr>
          <w:rFonts w:hint="eastAsia"/>
        </w:rPr>
      </w:pPr>
      <w:r w:rsidRPr="00020288">
        <w:lastRenderedPageBreak/>
        <w:t>Detailed explanation of new law</w:t>
      </w:r>
    </w:p>
    <w:p w14:paraId="1B36DFA8" w14:textId="57749E0A" w:rsidR="0017090C" w:rsidRDefault="00557FE8" w:rsidP="003675AE">
      <w:pPr>
        <w:pStyle w:val="Heading3"/>
        <w:rPr>
          <w:rFonts w:hint="eastAsia"/>
        </w:rPr>
      </w:pPr>
      <w:r>
        <w:t>Part 1 – Amendments commencing the day after Royal Assent</w:t>
      </w:r>
    </w:p>
    <w:p w14:paraId="7CD2B56A" w14:textId="512A4947" w:rsidR="009E2FDE" w:rsidRDefault="009E2FDE" w:rsidP="009E2FDE">
      <w:pPr>
        <w:pStyle w:val="Heading4"/>
      </w:pPr>
      <w:r>
        <w:t xml:space="preserve">Division 1 </w:t>
      </w:r>
      <w:r w:rsidR="000F69B0">
        <w:t>–</w:t>
      </w:r>
      <w:r w:rsidR="00585B29">
        <w:t xml:space="preserve"> </w:t>
      </w:r>
      <w:r w:rsidR="00BF2F31">
        <w:t xml:space="preserve">Federal </w:t>
      </w:r>
      <w:r w:rsidR="000F69B0">
        <w:t xml:space="preserve">Financial Relations Act 2009 </w:t>
      </w:r>
    </w:p>
    <w:p w14:paraId="0BAD0036" w14:textId="08B3810B" w:rsidR="00331E10" w:rsidRDefault="00331E10" w:rsidP="00331E10">
      <w:pPr>
        <w:pStyle w:val="Normalparatextwithnumbers"/>
      </w:pPr>
      <w:r>
        <w:t xml:space="preserve">Division 1 of Part 1 </w:t>
      </w:r>
      <w:r w:rsidR="00B158B5">
        <w:t>of</w:t>
      </w:r>
      <w:r>
        <w:t xml:space="preserve"> Schedule </w:t>
      </w:r>
      <w:r w:rsidR="008E04E2">
        <w:t>#</w:t>
      </w:r>
      <w:r>
        <w:t xml:space="preserve"> </w:t>
      </w:r>
      <w:r w:rsidR="008303EF">
        <w:t>t</w:t>
      </w:r>
      <w:r>
        <w:t>o th</w:t>
      </w:r>
      <w:r w:rsidR="0075635A">
        <w:t>e</w:t>
      </w:r>
      <w:r>
        <w:t xml:space="preserve"> Bill repeals section 13 of the </w:t>
      </w:r>
      <w:r w:rsidR="005A35DE">
        <w:t xml:space="preserve">FFR Act </w:t>
      </w:r>
      <w:r>
        <w:t xml:space="preserve">and removes a reference to the section in paragraph 21(aa) of the </w:t>
      </w:r>
      <w:r w:rsidR="005A35DE">
        <w:t>FFR Act</w:t>
      </w:r>
      <w:r>
        <w:t>.</w:t>
      </w:r>
    </w:p>
    <w:p w14:paraId="06EDDCA1" w14:textId="4CCAA0CC" w:rsidR="00331E10" w:rsidRDefault="00331E10" w:rsidP="00331E10">
      <w:pPr>
        <w:pStyle w:val="Normalparatextwithnumbers"/>
      </w:pPr>
      <w:r>
        <w:t xml:space="preserve">Section 13 </w:t>
      </w:r>
      <w:r w:rsidR="005E0DCC">
        <w:t xml:space="preserve">of the FFR Act </w:t>
      </w:r>
      <w:r>
        <w:t>provides that financial assistance is payable to states and territories for the purpose of expenditure on disability services. Payments under section 13 were provided to states and territories during their transition to the</w:t>
      </w:r>
      <w:r w:rsidR="00847786">
        <w:t xml:space="preserve"> NDIS</w:t>
      </w:r>
      <w:r>
        <w:t xml:space="preserve">. </w:t>
      </w:r>
      <w:r w:rsidR="00C37691">
        <w:t>A</w:t>
      </w:r>
      <w:r>
        <w:t>s all states and territories have now fully transitioned to the NDIS</w:t>
      </w:r>
      <w:r w:rsidR="005A22FB">
        <w:t xml:space="preserve">, </w:t>
      </w:r>
      <w:r>
        <w:t xml:space="preserve">payments under </w:t>
      </w:r>
      <w:r w:rsidR="005A22FB">
        <w:t>section 13</w:t>
      </w:r>
      <w:r>
        <w:t xml:space="preserve"> are no longer made. </w:t>
      </w:r>
    </w:p>
    <w:p w14:paraId="475B5811" w14:textId="31408AFD" w:rsidR="00833385" w:rsidRPr="00833385" w:rsidRDefault="00331E10" w:rsidP="00833385">
      <w:pPr>
        <w:pStyle w:val="Normalparatextwithnumbers"/>
        <w:rPr>
          <w:rStyle w:val="References"/>
          <w:b w:val="0"/>
          <w:bCs w:val="0"/>
          <w:i w:val="0"/>
          <w:iCs w:val="0"/>
        </w:rPr>
      </w:pPr>
      <w:r>
        <w:t>A consequential amendment is made to paragraph 21(aa)</w:t>
      </w:r>
      <w:r w:rsidR="005E0DCC">
        <w:t xml:space="preserve"> of the FFR Act</w:t>
      </w:r>
      <w:r w:rsidR="00ED61F8">
        <w:t xml:space="preserve"> to remove the</w:t>
      </w:r>
      <w:r>
        <w:t xml:space="preserve"> reference to section 13.</w:t>
      </w:r>
      <w:r w:rsidR="00833385">
        <w:br/>
      </w:r>
      <w:r w:rsidR="00833385" w:rsidRPr="00833385">
        <w:rPr>
          <w:rStyle w:val="References"/>
        </w:rPr>
        <w:t xml:space="preserve">[Schedule </w:t>
      </w:r>
      <w:r w:rsidR="00F20102">
        <w:rPr>
          <w:rStyle w:val="References"/>
        </w:rPr>
        <w:t>#</w:t>
      </w:r>
      <w:r w:rsidR="00833385" w:rsidRPr="00833385">
        <w:rPr>
          <w:rStyle w:val="References"/>
        </w:rPr>
        <w:t>, item</w:t>
      </w:r>
      <w:r w:rsidR="00A24F8F">
        <w:rPr>
          <w:rStyle w:val="References"/>
        </w:rPr>
        <w:t>s</w:t>
      </w:r>
      <w:r w:rsidR="00E16742">
        <w:rPr>
          <w:rStyle w:val="References"/>
        </w:rPr>
        <w:t xml:space="preserve"> 1</w:t>
      </w:r>
      <w:r w:rsidR="00AB1570">
        <w:rPr>
          <w:rStyle w:val="References"/>
        </w:rPr>
        <w:t xml:space="preserve"> and </w:t>
      </w:r>
      <w:r w:rsidR="00A24F8F">
        <w:rPr>
          <w:rStyle w:val="References"/>
        </w:rPr>
        <w:t>2</w:t>
      </w:r>
      <w:r w:rsidR="00833385" w:rsidRPr="00833385">
        <w:rPr>
          <w:rStyle w:val="References"/>
        </w:rPr>
        <w:t>,</w:t>
      </w:r>
      <w:r w:rsidR="00E16742">
        <w:rPr>
          <w:rStyle w:val="References"/>
        </w:rPr>
        <w:t xml:space="preserve"> </w:t>
      </w:r>
      <w:r w:rsidR="00BD2168">
        <w:rPr>
          <w:rStyle w:val="References"/>
        </w:rPr>
        <w:t xml:space="preserve">section </w:t>
      </w:r>
      <w:r w:rsidR="00E16742">
        <w:rPr>
          <w:rStyle w:val="References"/>
        </w:rPr>
        <w:t xml:space="preserve">13 </w:t>
      </w:r>
      <w:r w:rsidR="00AB704F">
        <w:rPr>
          <w:rStyle w:val="References"/>
        </w:rPr>
        <w:t xml:space="preserve">and </w:t>
      </w:r>
      <w:r w:rsidR="00BD2168">
        <w:rPr>
          <w:rStyle w:val="References"/>
        </w:rPr>
        <w:t xml:space="preserve">paragraph </w:t>
      </w:r>
      <w:r w:rsidR="00407067">
        <w:rPr>
          <w:rStyle w:val="References"/>
        </w:rPr>
        <w:t xml:space="preserve">21(aa) of the FFR </w:t>
      </w:r>
      <w:r w:rsidR="00833385" w:rsidRPr="00833385">
        <w:rPr>
          <w:rStyle w:val="References"/>
        </w:rPr>
        <w:t xml:space="preserve">Act] </w:t>
      </w:r>
    </w:p>
    <w:p w14:paraId="47FA03CC" w14:textId="29893A59" w:rsidR="00557FE8" w:rsidRDefault="00557FE8" w:rsidP="003675AE">
      <w:pPr>
        <w:pStyle w:val="Heading4"/>
      </w:pPr>
      <w:r>
        <w:t xml:space="preserve">Division </w:t>
      </w:r>
      <w:r w:rsidR="008B6C8B">
        <w:t>2</w:t>
      </w:r>
      <w:r>
        <w:t xml:space="preserve"> </w:t>
      </w:r>
      <w:r w:rsidR="008D0380">
        <w:t>–</w:t>
      </w:r>
      <w:r w:rsidR="00585B29">
        <w:t xml:space="preserve"> </w:t>
      </w:r>
      <w:r w:rsidR="008D0380">
        <w:t>Corporations Act 2001</w:t>
      </w:r>
    </w:p>
    <w:p w14:paraId="13350C64" w14:textId="77777777" w:rsidR="00A4242A" w:rsidRDefault="00A4242A" w:rsidP="00A4242A">
      <w:pPr>
        <w:pStyle w:val="Normalparatextwithnumbers"/>
      </w:pPr>
      <w:r>
        <w:t>Section 1351 of the Corporations Act relevantly provides that fees imposed under the Fees Act and the Review Fees Act are payable to the Commonwealth. Of those fees, some are payable for the lodgement of documents (see paragraphs 4(1)(a) and (m) of the Fees Act).  Section 1354 of the Corporations Act provides that non-payment of the fee will not invalidate the lodgement of the document.</w:t>
      </w:r>
    </w:p>
    <w:p w14:paraId="5429B7C2" w14:textId="544008D1" w:rsidR="00D20F60" w:rsidRPr="00261969" w:rsidRDefault="00A4242A" w:rsidP="00A4242A">
      <w:pPr>
        <w:pStyle w:val="Normalparatextwithnumbers"/>
        <w:rPr>
          <w:rStyle w:val="References"/>
          <w:b w:val="0"/>
          <w:bCs w:val="0"/>
          <w:i w:val="0"/>
          <w:iCs w:val="0"/>
        </w:rPr>
      </w:pPr>
      <w:r>
        <w:t xml:space="preserve">Division 2 of Part 1 </w:t>
      </w:r>
      <w:r w:rsidR="0075635A">
        <w:t>of</w:t>
      </w:r>
      <w:r>
        <w:t xml:space="preserve"> Schedule # </w:t>
      </w:r>
      <w:r w:rsidR="0075635A">
        <w:t>to</w:t>
      </w:r>
      <w:r>
        <w:t xml:space="preserve"> th</w:t>
      </w:r>
      <w:r w:rsidR="0075635A">
        <w:t>e</w:t>
      </w:r>
      <w:r>
        <w:t xml:space="preserve"> Bill updates subsection</w:t>
      </w:r>
      <w:r w:rsidR="0075635A">
        <w:t> </w:t>
      </w:r>
      <w:r>
        <w:t>1354(2) of the Corporations Act to simplify the provision, which previously contained a triple negative.</w:t>
      </w:r>
      <w:r w:rsidR="00261969">
        <w:br/>
      </w:r>
      <w:r w:rsidR="0007506C" w:rsidRPr="0007506C">
        <w:rPr>
          <w:rStyle w:val="References"/>
        </w:rPr>
        <w:t xml:space="preserve">[Schedule </w:t>
      </w:r>
      <w:r w:rsidR="0065773C">
        <w:rPr>
          <w:rStyle w:val="References"/>
        </w:rPr>
        <w:t>#</w:t>
      </w:r>
      <w:r w:rsidR="0007506C" w:rsidRPr="0007506C">
        <w:rPr>
          <w:rStyle w:val="References"/>
        </w:rPr>
        <w:t>, item</w:t>
      </w:r>
      <w:r w:rsidR="001262F0">
        <w:rPr>
          <w:rStyle w:val="References"/>
        </w:rPr>
        <w:t xml:space="preserve"> </w:t>
      </w:r>
      <w:r w:rsidR="00B63B9D">
        <w:rPr>
          <w:rStyle w:val="References"/>
        </w:rPr>
        <w:t>3</w:t>
      </w:r>
      <w:r w:rsidR="0007506C" w:rsidRPr="0007506C">
        <w:rPr>
          <w:rStyle w:val="References"/>
        </w:rPr>
        <w:t>,</w:t>
      </w:r>
      <w:r w:rsidR="001262F0">
        <w:rPr>
          <w:rStyle w:val="References"/>
        </w:rPr>
        <w:t xml:space="preserve"> subsection 1354(2) </w:t>
      </w:r>
      <w:r w:rsidR="0007506C" w:rsidRPr="0007506C">
        <w:rPr>
          <w:rStyle w:val="References"/>
        </w:rPr>
        <w:t xml:space="preserve">of </w:t>
      </w:r>
      <w:r w:rsidR="00E22F49">
        <w:rPr>
          <w:rStyle w:val="References"/>
        </w:rPr>
        <w:t xml:space="preserve">the Corporations </w:t>
      </w:r>
      <w:r w:rsidR="0007506C" w:rsidRPr="0007506C">
        <w:rPr>
          <w:rStyle w:val="References"/>
        </w:rPr>
        <w:t xml:space="preserve">Act] </w:t>
      </w:r>
    </w:p>
    <w:p w14:paraId="0CC4A52B" w14:textId="59CC70EE" w:rsidR="00D20F60" w:rsidRPr="00C325F5" w:rsidRDefault="00D20F60" w:rsidP="00D20F60">
      <w:pPr>
        <w:pStyle w:val="Heading4"/>
      </w:pPr>
      <w:r>
        <w:t xml:space="preserve">Division 3 – </w:t>
      </w:r>
      <w:r w:rsidR="00E56DB5">
        <w:t>Australian Consumer Law</w:t>
      </w:r>
    </w:p>
    <w:p w14:paraId="042933C8" w14:textId="1AF1FE91" w:rsidR="006C40D8" w:rsidRDefault="006C40D8" w:rsidP="006C40D8">
      <w:pPr>
        <w:pStyle w:val="Normalparatextwithnumbers"/>
      </w:pPr>
      <w:r>
        <w:t xml:space="preserve">Division 3 of Part 1 </w:t>
      </w:r>
      <w:r w:rsidR="00CC6BBE">
        <w:t>of</w:t>
      </w:r>
      <w:r>
        <w:t xml:space="preserve"> Schedule # </w:t>
      </w:r>
      <w:r w:rsidR="00CC6BBE">
        <w:t>to</w:t>
      </w:r>
      <w:r>
        <w:t xml:space="preserve"> th</w:t>
      </w:r>
      <w:r w:rsidR="00CC6BBE">
        <w:t>e</w:t>
      </w:r>
      <w:r>
        <w:t xml:space="preserve"> Bill amends </w:t>
      </w:r>
      <w:proofErr w:type="gramStart"/>
      <w:r>
        <w:t xml:space="preserve">subsection </w:t>
      </w:r>
      <w:r w:rsidR="00CC6BBE">
        <w:t> </w:t>
      </w:r>
      <w:r>
        <w:t>104</w:t>
      </w:r>
      <w:proofErr w:type="gramEnd"/>
      <w:r>
        <w:t xml:space="preserve">(2) of the ACL. Section 104 sets out requirements for making safety standards for consumer goods and product related services. Under paragraph 104(2)(c), the Minister can prescribe ‘the form and content of markings, warnings or instructions to accompany consumer goods of that kind’. This means that the safety standards accompany a physical </w:t>
      </w:r>
      <w:proofErr w:type="gramStart"/>
      <w:r>
        <w:t>product, and</w:t>
      </w:r>
      <w:proofErr w:type="gramEnd"/>
      <w:r>
        <w:t xml:space="preserve"> cannot be communicated by other manners such as on a retailer’s website.  </w:t>
      </w:r>
    </w:p>
    <w:p w14:paraId="3BB443C4" w14:textId="75EDB535" w:rsidR="006C40D8" w:rsidRDefault="006C40D8" w:rsidP="006C40D8">
      <w:pPr>
        <w:pStyle w:val="Normalparatextwithnumbers"/>
      </w:pPr>
      <w:r>
        <w:t xml:space="preserve">An increase in online shopping makes it increasingly important that safety information is available at the online point of sale to assist consumers’ purchasing decisions.  Point of sale information requirements could be made </w:t>
      </w:r>
      <w:r>
        <w:lastRenderedPageBreak/>
        <w:t>under an information standard under section 134 of the ACL. However, this would create unnecessary duplication as both an information standard and safety standard may be required to cover different types of safety information for one product. Furthermore, it is unnecessarily burdensome for businesses (who must navigate both standards), and for State and Commonwealth Consumer Ministers who are required to vote on section 134 information standards under the ACL IGA.</w:t>
      </w:r>
    </w:p>
    <w:p w14:paraId="4F0EB979" w14:textId="00D5B8B0" w:rsidR="00706507" w:rsidRPr="006C40D8" w:rsidRDefault="006C40D8" w:rsidP="006C40D8">
      <w:pPr>
        <w:pStyle w:val="Normalparatextwithnumbers"/>
        <w:rPr>
          <w:rStyle w:val="References"/>
          <w:b w:val="0"/>
          <w:bCs w:val="0"/>
          <w:i w:val="0"/>
          <w:iCs w:val="0"/>
        </w:rPr>
      </w:pPr>
      <w:r>
        <w:t xml:space="preserve">The amendment in Division 3 inserts new paragraph 104(2)(d) to ensure that the Minister </w:t>
      </w:r>
      <w:proofErr w:type="gramStart"/>
      <w:r>
        <w:t>is able to</w:t>
      </w:r>
      <w:proofErr w:type="gramEnd"/>
      <w:r>
        <w:t xml:space="preserve"> prescribe point of sale safety information requirements as product safety standards. This allows the Minister to make all safety information requirements under the single provision, as opposed to issuing </w:t>
      </w:r>
      <w:r w:rsidR="006A7B42">
        <w:t>separate</w:t>
      </w:r>
      <w:r>
        <w:t xml:space="preserve"> safety standard</w:t>
      </w:r>
      <w:r w:rsidR="006A7B42">
        <w:t>s</w:t>
      </w:r>
      <w:r>
        <w:t xml:space="preserve"> and information standard</w:t>
      </w:r>
      <w:r w:rsidR="006A7B42">
        <w:t>s under different provisions</w:t>
      </w:r>
      <w:r>
        <w:t xml:space="preserve"> on the safety information of each product.</w:t>
      </w:r>
      <w:r w:rsidRPr="00432D51">
        <w:rPr>
          <w:rStyle w:val="References"/>
        </w:rPr>
        <w:t xml:space="preserve"> </w:t>
      </w:r>
      <w:r>
        <w:rPr>
          <w:rStyle w:val="References"/>
          <w:b w:val="0"/>
          <w:bCs w:val="0"/>
          <w:i w:val="0"/>
          <w:iCs w:val="0"/>
        </w:rPr>
        <w:br/>
      </w:r>
      <w:r w:rsidR="00432D51" w:rsidRPr="00432D51">
        <w:rPr>
          <w:rStyle w:val="References"/>
        </w:rPr>
        <w:t xml:space="preserve">[Schedule </w:t>
      </w:r>
      <w:r w:rsidR="00F5253F">
        <w:rPr>
          <w:rStyle w:val="References"/>
        </w:rPr>
        <w:t>#</w:t>
      </w:r>
      <w:r w:rsidR="00432D51" w:rsidRPr="00432D51">
        <w:rPr>
          <w:rStyle w:val="References"/>
        </w:rPr>
        <w:t>, item</w:t>
      </w:r>
      <w:r w:rsidR="00432D51">
        <w:rPr>
          <w:rStyle w:val="References"/>
        </w:rPr>
        <w:t xml:space="preserve"> </w:t>
      </w:r>
      <w:r w:rsidR="00B63B9D">
        <w:rPr>
          <w:rStyle w:val="References"/>
        </w:rPr>
        <w:t>4</w:t>
      </w:r>
      <w:r w:rsidR="00432D51" w:rsidRPr="00432D51">
        <w:rPr>
          <w:rStyle w:val="References"/>
        </w:rPr>
        <w:t xml:space="preserve">, </w:t>
      </w:r>
      <w:r w:rsidR="00432D51">
        <w:rPr>
          <w:rStyle w:val="References"/>
        </w:rPr>
        <w:t>paragraphs 104(2)(c)-(d)</w:t>
      </w:r>
      <w:r w:rsidR="00432D51" w:rsidRPr="00432D51">
        <w:rPr>
          <w:rStyle w:val="References"/>
        </w:rPr>
        <w:t xml:space="preserve"> of </w:t>
      </w:r>
      <w:r w:rsidR="00881117">
        <w:rPr>
          <w:rStyle w:val="References"/>
        </w:rPr>
        <w:t xml:space="preserve">the </w:t>
      </w:r>
      <w:r w:rsidR="00E822AE">
        <w:rPr>
          <w:rStyle w:val="References"/>
        </w:rPr>
        <w:t>ACL</w:t>
      </w:r>
      <w:r w:rsidR="00432D51" w:rsidRPr="00432D51">
        <w:rPr>
          <w:rStyle w:val="References"/>
        </w:rPr>
        <w:t xml:space="preserve">] </w:t>
      </w:r>
    </w:p>
    <w:p w14:paraId="4BEBEBED" w14:textId="2F7991BF" w:rsidR="00706507" w:rsidRPr="00D05308" w:rsidRDefault="00706507" w:rsidP="00706507">
      <w:pPr>
        <w:pStyle w:val="Heading4"/>
      </w:pPr>
      <w:r w:rsidRPr="00D05308">
        <w:t>Division 4 – When resignation of directors of registered charities and not-for-profits takes effect</w:t>
      </w:r>
    </w:p>
    <w:p w14:paraId="40B85BEE" w14:textId="6ECDB3E7" w:rsidR="00837A32" w:rsidRDefault="00837A32" w:rsidP="00837A32">
      <w:pPr>
        <w:pStyle w:val="Normalparatextwithnumbers"/>
      </w:pPr>
      <w:r>
        <w:t xml:space="preserve">The </w:t>
      </w:r>
      <w:r w:rsidRPr="00D3381E">
        <w:rPr>
          <w:i/>
          <w:iCs/>
        </w:rPr>
        <w:t xml:space="preserve">Treasury Laws Amendment (Combating Illegal </w:t>
      </w:r>
      <w:proofErr w:type="spellStart"/>
      <w:r w:rsidRPr="00D3381E">
        <w:rPr>
          <w:i/>
          <w:iCs/>
        </w:rPr>
        <w:t>Phoenixing</w:t>
      </w:r>
      <w:proofErr w:type="spellEnd"/>
      <w:r w:rsidRPr="00D3381E">
        <w:rPr>
          <w:i/>
          <w:iCs/>
        </w:rPr>
        <w:t>) Act 2020</w:t>
      </w:r>
      <w:r>
        <w:t xml:space="preserve"> introduced a series of reforms to combat illegal </w:t>
      </w:r>
      <w:proofErr w:type="spellStart"/>
      <w:r>
        <w:t>phoenixing</w:t>
      </w:r>
      <w:proofErr w:type="spellEnd"/>
      <w:r>
        <w:t xml:space="preserve"> of companies. These reforms included section 203AA </w:t>
      </w:r>
      <w:r w:rsidR="00E55804">
        <w:t xml:space="preserve">of </w:t>
      </w:r>
      <w:r>
        <w:t xml:space="preserve">the Corporations Act. </w:t>
      </w:r>
    </w:p>
    <w:p w14:paraId="49F73614" w14:textId="77777777" w:rsidR="00837A32" w:rsidRDefault="00837A32" w:rsidP="00837A32">
      <w:pPr>
        <w:pStyle w:val="Normalparatextwithnumbers"/>
      </w:pPr>
      <w:r>
        <w:t xml:space="preserve">Section 203AA provides that, generally, the resignation of a company director can only take effect after written notice is provided to ASIC. </w:t>
      </w:r>
    </w:p>
    <w:p w14:paraId="2BE2874A" w14:textId="6DF508FA" w:rsidR="00837A32" w:rsidRDefault="00837A32" w:rsidP="00837A32">
      <w:pPr>
        <w:pStyle w:val="Normalparatextwithnumbers"/>
      </w:pPr>
      <w:r>
        <w:t xml:space="preserve">Section 111N of the Corporations Act provides that certain information provided to the ACNC by a not-for-profit body corporate is taken to have also been provided to ASIC. However, section 111N does not apply to a notice to the ACNC that a director of an entity registered with the ACNC has resigned. </w:t>
      </w:r>
    </w:p>
    <w:p w14:paraId="2C6CFC8C" w14:textId="5DF3E2AB" w:rsidR="00837A32" w:rsidRDefault="00837A32" w:rsidP="00837A32">
      <w:pPr>
        <w:pStyle w:val="Normalparatextwithnumbers"/>
      </w:pPr>
      <w:r>
        <w:t xml:space="preserve">As a result, the resignation of a company director for a not-for-profit body corporate cannot take effect until notice is provided to both ASIC and the ACNC. </w:t>
      </w:r>
    </w:p>
    <w:p w14:paraId="6C215874" w14:textId="7E49C896" w:rsidR="00837A32" w:rsidRDefault="00837A32" w:rsidP="00837A32">
      <w:pPr>
        <w:pStyle w:val="Normalparatextwithnumbers"/>
      </w:pPr>
      <w:r>
        <w:t xml:space="preserve">Division 4 of Part 1 of Schedule # to the Bill amends section 111N of the Corporations Act so that notifying the Commissioner of the ACNC that a director of an entity registered with the ACNC has resigned will also satisfy the obligation to notify ASIC of a resignation under section 203AA. </w:t>
      </w:r>
    </w:p>
    <w:p w14:paraId="564B52ED" w14:textId="6C6656EE" w:rsidR="00837A32" w:rsidRDefault="00837A32" w:rsidP="00837A32">
      <w:pPr>
        <w:pStyle w:val="Normalparatextwithnumbers"/>
      </w:pPr>
      <w:r>
        <w:t>If the notice provided to the ACNC specifies a date the person ceased to be a director, the person will be treated as having stopped being a director of the entity from that day for the purposes of subsection 203</w:t>
      </w:r>
      <w:proofErr w:type="gramStart"/>
      <w:r>
        <w:t>AA(</w:t>
      </w:r>
      <w:proofErr w:type="gramEnd"/>
      <w:r>
        <w:t>1) of the Corporations Act.</w:t>
      </w:r>
      <w:r>
        <w:br/>
      </w:r>
      <w:r w:rsidRPr="004909D7">
        <w:rPr>
          <w:rStyle w:val="References"/>
        </w:rPr>
        <w:t xml:space="preserve">[Schedule </w:t>
      </w:r>
      <w:r>
        <w:rPr>
          <w:rStyle w:val="References"/>
        </w:rPr>
        <w:t>#</w:t>
      </w:r>
      <w:r w:rsidRPr="004909D7">
        <w:rPr>
          <w:rStyle w:val="References"/>
        </w:rPr>
        <w:t>, item</w:t>
      </w:r>
      <w:r>
        <w:rPr>
          <w:rStyle w:val="References"/>
        </w:rPr>
        <w:t xml:space="preserve"> 6</w:t>
      </w:r>
      <w:r w:rsidRPr="004909D7">
        <w:rPr>
          <w:rStyle w:val="References"/>
        </w:rPr>
        <w:t xml:space="preserve">, </w:t>
      </w:r>
      <w:r>
        <w:rPr>
          <w:rStyle w:val="References"/>
        </w:rPr>
        <w:t xml:space="preserve"> paragraph 111N(5)(b)</w:t>
      </w:r>
      <w:r w:rsidRPr="004909D7">
        <w:rPr>
          <w:rStyle w:val="References"/>
        </w:rPr>
        <w:t xml:space="preserve"> of </w:t>
      </w:r>
      <w:r>
        <w:rPr>
          <w:rStyle w:val="References"/>
        </w:rPr>
        <w:t xml:space="preserve"> the Corporations Act</w:t>
      </w:r>
      <w:r w:rsidRPr="004909D7">
        <w:rPr>
          <w:rStyle w:val="References"/>
        </w:rPr>
        <w:t xml:space="preserve">] </w:t>
      </w:r>
    </w:p>
    <w:p w14:paraId="0EEDD30A" w14:textId="5E9153E0" w:rsidR="00837A32" w:rsidRDefault="00837A32" w:rsidP="00837A32">
      <w:pPr>
        <w:pStyle w:val="Normalparatextwithnumbers"/>
      </w:pPr>
      <w:r>
        <w:t xml:space="preserve">If the notice does not specify a date the person ceased to be director, </w:t>
      </w:r>
      <w:r w:rsidRPr="00481C87">
        <w:t xml:space="preserve">resignation will </w:t>
      </w:r>
      <w:r>
        <w:t xml:space="preserve">generally </w:t>
      </w:r>
      <w:r w:rsidRPr="00481C87">
        <w:t>take effect in accordance with s</w:t>
      </w:r>
      <w:r>
        <w:t>ection</w:t>
      </w:r>
      <w:r w:rsidRPr="00481C87">
        <w:t xml:space="preserve"> 203AA of the Corporations Act</w:t>
      </w:r>
      <w:r>
        <w:t>, which sets out when resignation takes effect. These rules are modified for a director of a ‘</w:t>
      </w:r>
      <w:proofErr w:type="gramStart"/>
      <w:r>
        <w:t>s</w:t>
      </w:r>
      <w:r w:rsidRPr="00481C87">
        <w:t>mall registered</w:t>
      </w:r>
      <w:proofErr w:type="gramEnd"/>
      <w:r w:rsidRPr="00481C87">
        <w:t xml:space="preserve"> entit</w:t>
      </w:r>
      <w:r>
        <w:t>y’,</w:t>
      </w:r>
      <w:r w:rsidRPr="00481C87">
        <w:t xml:space="preserve"> as defined by the ACNC</w:t>
      </w:r>
      <w:r w:rsidR="00271D1D">
        <w:t> </w:t>
      </w:r>
      <w:r w:rsidRPr="00481C87">
        <w:t>Act</w:t>
      </w:r>
      <w:r>
        <w:t>, so that the entity</w:t>
      </w:r>
      <w:r w:rsidRPr="00481C87">
        <w:t xml:space="preserve"> will have 60 days to notify the Commissioner of </w:t>
      </w:r>
      <w:r w:rsidRPr="00481C87">
        <w:lastRenderedPageBreak/>
        <w:t>the ACNC of the resignation rather than 28 days.</w:t>
      </w:r>
      <w:r>
        <w:br/>
      </w:r>
      <w:r>
        <w:rPr>
          <w:b/>
          <w:bCs/>
          <w:i/>
          <w:iCs/>
        </w:rPr>
        <w:t>[Schedule #, item 6, paragraph 111N(5)(c) of the Corporations Act]</w:t>
      </w:r>
    </w:p>
    <w:p w14:paraId="331E80CB" w14:textId="148E28DF" w:rsidR="00837A32" w:rsidRDefault="00837A32" w:rsidP="00837A32">
      <w:pPr>
        <w:pStyle w:val="Normalparatextwithnumbers"/>
      </w:pPr>
      <w:r>
        <w:t xml:space="preserve">Item 6 also clarifies that acting responsible entities within the meaning of Subdivision 100C of the ACNC Act are company directors and are subject to the same notification obligations. ASIC is treated as being notified once an acting responsible entity gives written resignation to the Commissioner of the ACNC. This resignation takes effect as set out in </w:t>
      </w:r>
      <w:r w:rsidR="00A927D4">
        <w:t>subsection</w:t>
      </w:r>
      <w:r>
        <w:t xml:space="preserve"> 110</w:t>
      </w:r>
      <w:r w:rsidR="00A927D4">
        <w:noBreakHyphen/>
      </w:r>
      <w:r>
        <w:t>50(2) of the ACNC Act.</w:t>
      </w:r>
      <w:r>
        <w:br/>
      </w:r>
      <w:r w:rsidRPr="00514976">
        <w:rPr>
          <w:rStyle w:val="References"/>
        </w:rPr>
        <w:t xml:space="preserve">[Schedule </w:t>
      </w:r>
      <w:r>
        <w:rPr>
          <w:rStyle w:val="References"/>
        </w:rPr>
        <w:t>#</w:t>
      </w:r>
      <w:r w:rsidRPr="00514976">
        <w:rPr>
          <w:rStyle w:val="References"/>
        </w:rPr>
        <w:t xml:space="preserve">, item </w:t>
      </w:r>
      <w:r>
        <w:rPr>
          <w:rStyle w:val="References"/>
        </w:rPr>
        <w:t>6</w:t>
      </w:r>
      <w:r w:rsidRPr="00514976">
        <w:rPr>
          <w:rStyle w:val="References"/>
        </w:rPr>
        <w:t xml:space="preserve">, </w:t>
      </w:r>
      <w:r>
        <w:rPr>
          <w:rStyle w:val="References"/>
        </w:rPr>
        <w:t>sub</w:t>
      </w:r>
      <w:r w:rsidRPr="00514976">
        <w:rPr>
          <w:rStyle w:val="References"/>
        </w:rPr>
        <w:t>section 111</w:t>
      </w:r>
      <w:proofErr w:type="gramStart"/>
      <w:r w:rsidRPr="00514976">
        <w:rPr>
          <w:rStyle w:val="References"/>
        </w:rPr>
        <w:t>N(</w:t>
      </w:r>
      <w:proofErr w:type="gramEnd"/>
      <w:r w:rsidRPr="00514976">
        <w:rPr>
          <w:rStyle w:val="References"/>
        </w:rPr>
        <w:t xml:space="preserve">6) of the Corporations Act] </w:t>
      </w:r>
    </w:p>
    <w:p w14:paraId="343FBB3F" w14:textId="2D21C8E5" w:rsidR="00837A32" w:rsidRDefault="00837A32" w:rsidP="00837A32">
      <w:pPr>
        <w:pStyle w:val="Normalparatextwithnumbers"/>
      </w:pPr>
      <w:r>
        <w:t>The ACNC must provide details of the resignation notice to ASIC. This applies in relation to notices of resignation from responsible entities and acting responsible entities who are directors.</w:t>
      </w:r>
      <w:r>
        <w:br/>
      </w:r>
      <w:r w:rsidRPr="00514976">
        <w:rPr>
          <w:rStyle w:val="References"/>
        </w:rPr>
        <w:t xml:space="preserve">[Schedule </w:t>
      </w:r>
      <w:r>
        <w:rPr>
          <w:rStyle w:val="References"/>
        </w:rPr>
        <w:t>#</w:t>
      </w:r>
      <w:r w:rsidRPr="00514976">
        <w:rPr>
          <w:rStyle w:val="References"/>
        </w:rPr>
        <w:t xml:space="preserve">, item </w:t>
      </w:r>
      <w:r>
        <w:rPr>
          <w:rStyle w:val="References"/>
        </w:rPr>
        <w:t>6</w:t>
      </w:r>
      <w:r w:rsidRPr="00514976">
        <w:rPr>
          <w:rStyle w:val="References"/>
        </w:rPr>
        <w:t xml:space="preserve">, </w:t>
      </w:r>
      <w:r>
        <w:rPr>
          <w:rStyle w:val="References"/>
        </w:rPr>
        <w:t>sub</w:t>
      </w:r>
      <w:r w:rsidRPr="00514976">
        <w:rPr>
          <w:rStyle w:val="References"/>
        </w:rPr>
        <w:t>section 111</w:t>
      </w:r>
      <w:proofErr w:type="gramStart"/>
      <w:r w:rsidRPr="00514976">
        <w:rPr>
          <w:rStyle w:val="References"/>
        </w:rPr>
        <w:t>N(</w:t>
      </w:r>
      <w:proofErr w:type="gramEnd"/>
      <w:r w:rsidRPr="00514976">
        <w:rPr>
          <w:rStyle w:val="References"/>
        </w:rPr>
        <w:t xml:space="preserve">7) of the Corporations Act] </w:t>
      </w:r>
    </w:p>
    <w:p w14:paraId="6D88FCA2" w14:textId="05260A2E" w:rsidR="00706507" w:rsidRPr="00837A32" w:rsidRDefault="00837A32" w:rsidP="00837A32">
      <w:pPr>
        <w:pStyle w:val="Normalparatextwithnumbers"/>
        <w:rPr>
          <w:rStyle w:val="References"/>
          <w:b w:val="0"/>
          <w:bCs w:val="0"/>
          <w:i w:val="0"/>
          <w:iCs w:val="0"/>
        </w:rPr>
      </w:pPr>
      <w:r>
        <w:t>The amendments made by Division 4 will only apply to resignation notices given to the Commissioner of the ACNC on or after commencement of the Division.</w:t>
      </w:r>
      <w:r>
        <w:br/>
      </w:r>
      <w:r w:rsidRPr="00514976">
        <w:rPr>
          <w:rStyle w:val="References"/>
        </w:rPr>
        <w:t xml:space="preserve">[Schedule </w:t>
      </w:r>
      <w:r>
        <w:rPr>
          <w:rStyle w:val="References"/>
        </w:rPr>
        <w:t>#</w:t>
      </w:r>
      <w:r w:rsidRPr="00514976">
        <w:rPr>
          <w:rStyle w:val="References"/>
        </w:rPr>
        <w:t xml:space="preserve">, item </w:t>
      </w:r>
      <w:r>
        <w:rPr>
          <w:rStyle w:val="References"/>
        </w:rPr>
        <w:t>7</w:t>
      </w:r>
      <w:r w:rsidRPr="00514976">
        <w:rPr>
          <w:rStyle w:val="References"/>
        </w:rPr>
        <w:t xml:space="preserve">, section 1703 of the Corporations Act] </w:t>
      </w:r>
    </w:p>
    <w:p w14:paraId="66138275" w14:textId="5ED646EC" w:rsidR="001607DD" w:rsidRDefault="00646697" w:rsidP="00646697">
      <w:pPr>
        <w:pStyle w:val="Heading3"/>
        <w:rPr>
          <w:rFonts w:hint="eastAsia"/>
        </w:rPr>
      </w:pPr>
      <w:r>
        <w:t>Part 2 – Amendments commencing first quarter after Royal Assent</w:t>
      </w:r>
    </w:p>
    <w:p w14:paraId="1B49B34D" w14:textId="77777777" w:rsidR="005F33D1" w:rsidRPr="002B398E" w:rsidRDefault="005F33D1" w:rsidP="005F33D1">
      <w:pPr>
        <w:pStyle w:val="Heading4"/>
        <w:numPr>
          <w:ilvl w:val="3"/>
          <w:numId w:val="2"/>
        </w:numPr>
        <w:rPr>
          <w:rStyle w:val="References"/>
          <w:rFonts w:ascii="Helvetica" w:hAnsi="Helvetica"/>
          <w:b w:val="0"/>
          <w:bCs w:val="0"/>
          <w:i w:val="0"/>
          <w:iCs/>
          <w:sz w:val="28"/>
        </w:rPr>
      </w:pPr>
      <w:r>
        <w:t>Division 1 – Input tax credits</w:t>
      </w:r>
    </w:p>
    <w:p w14:paraId="4D564068" w14:textId="54C3B7DB" w:rsidR="005174DE" w:rsidRDefault="005174DE" w:rsidP="005174DE">
      <w:pPr>
        <w:pStyle w:val="Normalparatextwithnumbers"/>
      </w:pPr>
      <w:r>
        <w:t xml:space="preserve">Division </w:t>
      </w:r>
      <w:r w:rsidR="00560F68">
        <w:t>1</w:t>
      </w:r>
      <w:r>
        <w:t xml:space="preserve"> of Part </w:t>
      </w:r>
      <w:r w:rsidR="004D3908">
        <w:t xml:space="preserve">2 </w:t>
      </w:r>
      <w:r w:rsidR="00877294">
        <w:t>of</w:t>
      </w:r>
      <w:r w:rsidR="004D3908">
        <w:t xml:space="preserve"> Schedule </w:t>
      </w:r>
      <w:r w:rsidR="004A3630">
        <w:t>#</w:t>
      </w:r>
      <w:r w:rsidR="004D3908">
        <w:t xml:space="preserve"> </w:t>
      </w:r>
      <w:r w:rsidR="00877294">
        <w:t xml:space="preserve">to </w:t>
      </w:r>
      <w:r w:rsidR="004D3908">
        <w:t>the Bill</w:t>
      </w:r>
      <w:r>
        <w:t xml:space="preserve"> amends provisions in the GST Act relating to the attribution of input tax credits to tax periods. The amendments ensure the provisions operate as intended and that input tax credits are attributable to appropriate tax periods. The amendments are not intended or expected to be detrimental to taxpayers in any way. </w:t>
      </w:r>
    </w:p>
    <w:p w14:paraId="00F1C714" w14:textId="46D53A08" w:rsidR="005174DE" w:rsidRDefault="005174DE" w:rsidP="005174DE">
      <w:pPr>
        <w:pStyle w:val="Normalparatextwithnumbers"/>
      </w:pPr>
      <w:r>
        <w:t xml:space="preserve">Subject to the outcomes of public consultation on the </w:t>
      </w:r>
      <w:r w:rsidR="00D87C4A">
        <w:t xml:space="preserve">draft </w:t>
      </w:r>
      <w:r>
        <w:t xml:space="preserve">amendments, </w:t>
      </w:r>
      <w:r w:rsidR="001F0825">
        <w:t>equi</w:t>
      </w:r>
      <w:r w:rsidR="00D12D13">
        <w:t>valent</w:t>
      </w:r>
      <w:r>
        <w:t xml:space="preserve"> amendments to the </w:t>
      </w:r>
      <w:r w:rsidRPr="00900AEA">
        <w:rPr>
          <w:i/>
          <w:iCs/>
        </w:rPr>
        <w:t>Fuel Tax Act 2006</w:t>
      </w:r>
      <w:r>
        <w:t xml:space="preserve"> and other relevant legislation will be prepared and </w:t>
      </w:r>
      <w:r w:rsidR="00820E13">
        <w:t xml:space="preserve">introduced </w:t>
      </w:r>
      <w:r>
        <w:t>alongside the</w:t>
      </w:r>
      <w:r w:rsidR="00D0324E">
        <w:t>se</w:t>
      </w:r>
      <w:r>
        <w:t xml:space="preserve"> amendments.</w:t>
      </w:r>
    </w:p>
    <w:p w14:paraId="0FBECE78" w14:textId="77777777" w:rsidR="001F7CD2" w:rsidRPr="0088789B" w:rsidRDefault="001F7CD2" w:rsidP="001F7CD2">
      <w:pPr>
        <w:pStyle w:val="Heading5"/>
        <w:numPr>
          <w:ilvl w:val="4"/>
          <w:numId w:val="2"/>
        </w:numPr>
        <w:rPr>
          <w:b w:val="0"/>
          <w:bCs/>
        </w:rPr>
      </w:pPr>
      <w:r w:rsidRPr="0088789B">
        <w:rPr>
          <w:b w:val="0"/>
          <w:bCs/>
        </w:rPr>
        <w:t xml:space="preserve">Attribution rules for input tax credits not taken into account in </w:t>
      </w:r>
      <w:proofErr w:type="gramStart"/>
      <w:r w:rsidRPr="0088789B">
        <w:rPr>
          <w:b w:val="0"/>
          <w:bCs/>
        </w:rPr>
        <w:t>assessments</w:t>
      </w:r>
      <w:proofErr w:type="gramEnd"/>
    </w:p>
    <w:p w14:paraId="26039927" w14:textId="543A5356" w:rsidR="001F7CD2" w:rsidRDefault="001F7CD2" w:rsidP="001F7CD2">
      <w:pPr>
        <w:pStyle w:val="Normalparatextwithnumbers"/>
      </w:pPr>
      <w:r>
        <w:t xml:space="preserve">Input tax credits for creditable acquisitions are ordinarily attributable to tax periods under subsections 29-10(1), (2) or (3) of the GST Act. Current subsection 29-10(4) of the GST Act provides attribution rules for cases where the GST return for a tax period did not </w:t>
      </w:r>
      <w:proofErr w:type="gramStart"/>
      <w:r>
        <w:t>take into account</w:t>
      </w:r>
      <w:proofErr w:type="gramEnd"/>
      <w:r>
        <w:t xml:space="preserve"> an input tax credit that would otherwise be attributable to that tax period. Following the decision of the </w:t>
      </w:r>
      <w:r w:rsidRPr="00A92C89">
        <w:rPr>
          <w:i/>
          <w:iCs/>
        </w:rPr>
        <w:t>Federal Commissioner of Taxation v Travelex Limited</w:t>
      </w:r>
      <w:r w:rsidRPr="00A92C89">
        <w:t xml:space="preserve"> [2021] HCA 8</w:t>
      </w:r>
      <w:r>
        <w:t>, the operation of this rule does not align with the past administrative practice</w:t>
      </w:r>
      <w:r w:rsidR="00FB1851">
        <w:t xml:space="preserve"> of the Commissioner of Taxation</w:t>
      </w:r>
      <w:r>
        <w:t xml:space="preserve"> and taxpayers’ expectations. The amendments provide new attribution rules which will align with the prior understanding of the law and ensure flexibility for taxpayers. </w:t>
      </w:r>
    </w:p>
    <w:p w14:paraId="7317328C" w14:textId="77777777" w:rsidR="001F7CD2" w:rsidRDefault="001F7CD2" w:rsidP="001F7CD2">
      <w:pPr>
        <w:pStyle w:val="Normalparatextwithnumbers"/>
      </w:pPr>
      <w:r>
        <w:lastRenderedPageBreak/>
        <w:t xml:space="preserve">Current subsection 29-10(4) of the GST Act is repealed and replaced with new subsections 29-10(4) to (6). The new provisions provide rules for when an input tax credit to which a taxpayer is entitled is not </w:t>
      </w:r>
      <w:proofErr w:type="gramStart"/>
      <w:r>
        <w:t>taken into account</w:t>
      </w:r>
      <w:proofErr w:type="gramEnd"/>
      <w:r>
        <w:t xml:space="preserve"> in the assessment for the tax period to which it would be attributable under subsections 29-10(1), (2) or (3). </w:t>
      </w:r>
    </w:p>
    <w:p w14:paraId="5BFB2CB4" w14:textId="77777777" w:rsidR="001F7CD2" w:rsidRDefault="001F7CD2" w:rsidP="001F7CD2">
      <w:pPr>
        <w:pStyle w:val="Normalparatextwithnumbers"/>
      </w:pPr>
      <w:r>
        <w:t xml:space="preserve">Under the new provisions, if an input tax credit that is attributable to a tax period is not </w:t>
      </w:r>
      <w:proofErr w:type="gramStart"/>
      <w:r>
        <w:t>taken into account</w:t>
      </w:r>
      <w:proofErr w:type="gramEnd"/>
      <w:r>
        <w:t xml:space="preserve"> in a taxpayer’s assessment for that period, the taxpayer may elect for the input tax credit to instead be attributable to a later specified tax period. The election must be made in the approved form and cannot be amended or revoked. It is expected that one of the approved forms for this purpose would form part of the business activity statement, allowing taxpayers to make the choice by including the credit in the business activity statement for a subsequent period.</w:t>
      </w:r>
      <w:r>
        <w:br/>
      </w:r>
      <w:r w:rsidRPr="00242AA7">
        <w:rPr>
          <w:rStyle w:val="References"/>
        </w:rPr>
        <w:t xml:space="preserve">[Schedule </w:t>
      </w:r>
      <w:r>
        <w:rPr>
          <w:rStyle w:val="References"/>
        </w:rPr>
        <w:t>#</w:t>
      </w:r>
      <w:r w:rsidRPr="00242AA7">
        <w:rPr>
          <w:rStyle w:val="References"/>
        </w:rPr>
        <w:t>, items</w:t>
      </w:r>
      <w:r>
        <w:rPr>
          <w:rStyle w:val="References"/>
        </w:rPr>
        <w:t xml:space="preserve"> 8, 9, 17 and 18</w:t>
      </w:r>
      <w:r w:rsidRPr="00242AA7">
        <w:rPr>
          <w:rStyle w:val="References"/>
        </w:rPr>
        <w:t xml:space="preserve">, </w:t>
      </w:r>
      <w:r>
        <w:rPr>
          <w:rStyle w:val="References"/>
        </w:rPr>
        <w:t>sections 29-10 and 133-5 of the GST Act</w:t>
      </w:r>
      <w:r w:rsidRPr="00242AA7">
        <w:rPr>
          <w:rStyle w:val="References"/>
        </w:rPr>
        <w:t xml:space="preserve">] </w:t>
      </w:r>
      <w:r>
        <w:t xml:space="preserve"> </w:t>
      </w:r>
    </w:p>
    <w:p w14:paraId="4DEEDB5E" w14:textId="77777777" w:rsidR="001F7CD2" w:rsidRDefault="001F7CD2" w:rsidP="001F7CD2">
      <w:pPr>
        <w:pStyle w:val="Normalparatextwithnumbers"/>
      </w:pPr>
      <w:r>
        <w:t xml:space="preserve">The provisions in Division 93 of the GST Act continue to provide a time limit on a taxpayer’s entitlements to an input tax credit for creditable acquisitions. Under these provisions, a taxpayer’s entitlement to an input tax credit ceases unless it is </w:t>
      </w:r>
      <w:proofErr w:type="gramStart"/>
      <w:r>
        <w:t>taken into account</w:t>
      </w:r>
      <w:proofErr w:type="gramEnd"/>
      <w:r>
        <w:t xml:space="preserve"> in an assessment within a certain period (generally, four years after the taxpayer was required to lodge the GST return for the tax period to which the credit would ordinarily be attributable). Any election under the new rules must also be made within the time limit and attribute the input tax credit to a specified </w:t>
      </w:r>
      <w:proofErr w:type="gramStart"/>
      <w:r>
        <w:t>time period</w:t>
      </w:r>
      <w:proofErr w:type="gramEnd"/>
      <w:r>
        <w:t xml:space="preserve"> within the time limit. Otherwise, the taxpayer will cease to be entitled to the input tax credit.</w:t>
      </w:r>
      <w:r w:rsidRPr="002F1267">
        <w:rPr>
          <w:rStyle w:val="References"/>
        </w:rPr>
        <w:t xml:space="preserve"> </w:t>
      </w:r>
    </w:p>
    <w:p w14:paraId="5F628727" w14:textId="38413361" w:rsidR="001F7CD2" w:rsidRDefault="001F7CD2" w:rsidP="001F7CD2">
      <w:pPr>
        <w:pStyle w:val="Normalparatextwithnumbers"/>
      </w:pPr>
      <w:r>
        <w:t xml:space="preserve">The amendments apply in relation to input tax credits that are ordinarily attributable to tax periods that start on or after 1 July 2012, being the date on which the previous attribution rules came into effect. The retrospective application helps ensure the legislation conforms with past practice, avoiding uncertainty for taxpayers and the </w:t>
      </w:r>
      <w:r w:rsidR="00134D76">
        <w:t xml:space="preserve">Commissioner of Taxation </w:t>
      </w:r>
      <w:r>
        <w:t xml:space="preserve">by confirming past actions had the effect they were understood to have at the time. </w:t>
      </w:r>
      <w:r>
        <w:br/>
      </w:r>
      <w:r w:rsidRPr="00485CDD">
        <w:rPr>
          <w:rStyle w:val="References"/>
        </w:rPr>
        <w:t xml:space="preserve">[Schedule </w:t>
      </w:r>
      <w:r>
        <w:rPr>
          <w:rStyle w:val="References"/>
        </w:rPr>
        <w:t>#</w:t>
      </w:r>
      <w:r w:rsidRPr="00485CDD">
        <w:rPr>
          <w:rStyle w:val="References"/>
        </w:rPr>
        <w:t xml:space="preserve">, </w:t>
      </w:r>
      <w:r>
        <w:rPr>
          <w:rStyle w:val="References"/>
        </w:rPr>
        <w:t>subitem 19(1)</w:t>
      </w:r>
      <w:r w:rsidRPr="00485CDD">
        <w:rPr>
          <w:rStyle w:val="References"/>
        </w:rPr>
        <w:t xml:space="preserve">] </w:t>
      </w:r>
    </w:p>
    <w:p w14:paraId="61E7D37C" w14:textId="77777777" w:rsidR="001F7CD2" w:rsidRPr="00EC4688" w:rsidRDefault="001F7CD2" w:rsidP="001F7CD2">
      <w:pPr>
        <w:pStyle w:val="Normalparatextwithnumbers"/>
      </w:pPr>
      <w:r w:rsidRPr="00EC4688">
        <w:t>Transitional provisions support the retrospective application of the amendments and help ensure unintended consequences do not arise. First</w:t>
      </w:r>
      <w:r>
        <w:t>ly</w:t>
      </w:r>
      <w:r w:rsidRPr="00EC4688">
        <w:t xml:space="preserve">, subitem </w:t>
      </w:r>
      <w:r>
        <w:t>19(2) in Schedule # to the Bill</w:t>
      </w:r>
      <w:r w:rsidRPr="00EC4688">
        <w:t xml:space="preserve"> is intended to limit the retrospective application of the amendments to ensure they do not unintentionally revive past disputes in relation to old input tax credits that have never been claimed and, as of the day of the release of this exposure draft, are outside the usual four-year time limit for input tax credit entitlements under Division 93 (see paragraph 1.</w:t>
      </w:r>
      <w:r>
        <w:t>29)</w:t>
      </w:r>
      <w:r w:rsidRPr="00EC4688">
        <w:t xml:space="preserve">. Treasury is continuing to consider whether subitem </w:t>
      </w:r>
      <w:r>
        <w:t>19(2)</w:t>
      </w:r>
      <w:r w:rsidRPr="00EC4688">
        <w:t xml:space="preserve"> appropriately gives effect to this intention.</w:t>
      </w:r>
      <w:r>
        <w:br/>
      </w:r>
      <w:r w:rsidRPr="00485CDD">
        <w:rPr>
          <w:rStyle w:val="References"/>
        </w:rPr>
        <w:t xml:space="preserve">[Schedule </w:t>
      </w:r>
      <w:r>
        <w:rPr>
          <w:rStyle w:val="References"/>
        </w:rPr>
        <w:t>#</w:t>
      </w:r>
      <w:r w:rsidRPr="00485CDD">
        <w:rPr>
          <w:rStyle w:val="References"/>
        </w:rPr>
        <w:t xml:space="preserve">, </w:t>
      </w:r>
      <w:r>
        <w:rPr>
          <w:rStyle w:val="References"/>
        </w:rPr>
        <w:t>sub</w:t>
      </w:r>
      <w:r w:rsidRPr="00485CDD">
        <w:rPr>
          <w:rStyle w:val="References"/>
        </w:rPr>
        <w:t>item</w:t>
      </w:r>
      <w:r>
        <w:rPr>
          <w:rStyle w:val="References"/>
        </w:rPr>
        <w:t xml:space="preserve"> 19(2)</w:t>
      </w:r>
      <w:r w:rsidRPr="00485CDD">
        <w:rPr>
          <w:rStyle w:val="References"/>
        </w:rPr>
        <w:t xml:space="preserve">] </w:t>
      </w:r>
      <w:r w:rsidRPr="00EC4688">
        <w:t xml:space="preserve"> </w:t>
      </w:r>
    </w:p>
    <w:p w14:paraId="15A9209B" w14:textId="77777777" w:rsidR="001F7CD2" w:rsidRPr="003C5967" w:rsidRDefault="001F7CD2" w:rsidP="001F7CD2">
      <w:pPr>
        <w:pStyle w:val="Normalparatextwithnumbers"/>
        <w:rPr>
          <w:rStyle w:val="CommentReference"/>
          <w:sz w:val="22"/>
          <w:szCs w:val="22"/>
        </w:rPr>
      </w:pPr>
      <w:r w:rsidRPr="003C5967">
        <w:t>Second</w:t>
      </w:r>
      <w:r>
        <w:t>ly,</w:t>
      </w:r>
      <w:r w:rsidRPr="003C5967">
        <w:t xml:space="preserve"> item </w:t>
      </w:r>
      <w:r>
        <w:t>20</w:t>
      </w:r>
      <w:r w:rsidRPr="003C5967">
        <w:t xml:space="preserve"> provides a specific transitional rule to ensure that where input tax credits were taken account into a GST return, purported GST return or assessment for GST</w:t>
      </w:r>
      <w:r>
        <w:t>, then</w:t>
      </w:r>
      <w:r w:rsidRPr="003C5967">
        <w:t xml:space="preserve"> this will be appropriately recognised in the retrospective application of the new law. This will ensure these past actions are </w:t>
      </w:r>
      <w:r w:rsidRPr="003C5967">
        <w:lastRenderedPageBreak/>
        <w:t xml:space="preserve">validated and the previously understood outcomes </w:t>
      </w:r>
      <w:r>
        <w:t xml:space="preserve">are </w:t>
      </w:r>
      <w:r w:rsidRPr="003C5967">
        <w:t>preserved.</w:t>
      </w:r>
      <w:r>
        <w:br/>
      </w:r>
      <w:r w:rsidRPr="002F786C">
        <w:rPr>
          <w:rStyle w:val="References"/>
        </w:rPr>
        <w:t xml:space="preserve">[Schedule </w:t>
      </w:r>
      <w:r>
        <w:rPr>
          <w:rStyle w:val="References"/>
        </w:rPr>
        <w:t>#</w:t>
      </w:r>
      <w:r w:rsidRPr="002F786C">
        <w:rPr>
          <w:rStyle w:val="References"/>
        </w:rPr>
        <w:t>, item</w:t>
      </w:r>
      <w:r>
        <w:rPr>
          <w:rStyle w:val="References"/>
        </w:rPr>
        <w:t xml:space="preserve"> 20</w:t>
      </w:r>
      <w:r w:rsidRPr="002F786C">
        <w:rPr>
          <w:rStyle w:val="References"/>
        </w:rPr>
        <w:t xml:space="preserve">] </w:t>
      </w:r>
    </w:p>
    <w:p w14:paraId="145484A5" w14:textId="77777777" w:rsidR="001F7CD2" w:rsidRDefault="001F7CD2" w:rsidP="001F7CD2">
      <w:pPr>
        <w:pStyle w:val="Normalparatextwithnumbers"/>
      </w:pPr>
      <w:r>
        <w:t>The retrospective application and transitional provisions are not expected to result in the amendments causing any detriment to taxpayers.</w:t>
      </w:r>
    </w:p>
    <w:p w14:paraId="09717979" w14:textId="77777777" w:rsidR="001F7CD2" w:rsidRPr="0088789B" w:rsidRDefault="001F7CD2" w:rsidP="001F7CD2">
      <w:pPr>
        <w:pStyle w:val="Heading5"/>
        <w:numPr>
          <w:ilvl w:val="4"/>
          <w:numId w:val="2"/>
        </w:numPr>
        <w:rPr>
          <w:b w:val="0"/>
          <w:bCs/>
        </w:rPr>
      </w:pPr>
      <w:r w:rsidRPr="0088789B">
        <w:rPr>
          <w:b w:val="0"/>
          <w:bCs/>
        </w:rPr>
        <w:t>Time limit on entitlements to input tax credits in relation to certain determinations</w:t>
      </w:r>
    </w:p>
    <w:p w14:paraId="614DCE07" w14:textId="77777777" w:rsidR="001F7CD2" w:rsidRDefault="001F7CD2" w:rsidP="001F7CD2">
      <w:pPr>
        <w:pStyle w:val="Normalparatextwithnumbers"/>
      </w:pPr>
      <w:r>
        <w:t>Under subsection 29-25(1) of the GST Act, the Commissioner of Taxation can determine the tax period to which an input tax credit for a creditable acquisition is attributable. Prior to the amendments, the legislation did not adequately deal with the interactions between subsection 29</w:t>
      </w:r>
      <w:r>
        <w:noBreakHyphen/>
        <w:t xml:space="preserve">25(1) and the time limit rules in Division 93 of the GST Act. </w:t>
      </w:r>
    </w:p>
    <w:p w14:paraId="00E5CFCB" w14:textId="5F222D29" w:rsidR="001F7CD2" w:rsidRDefault="001A25B4" w:rsidP="001F7CD2">
      <w:pPr>
        <w:pStyle w:val="Normalparatextwithnumbers"/>
      </w:pPr>
      <w:r>
        <w:t xml:space="preserve">Under the amendments, </w:t>
      </w:r>
      <w:r w:rsidR="001F7CD2">
        <w:t>subsection 93-10(1) of the GST Act addresses this issue by providing that, if the Commissioner makes such a determination, a taxpayer only ceases to be entitled to the input tax credit if it has not been taken into account in an assessment of theirs within four years after they were required to lodge the GST return for the tax period to which the input tax credit is attributable under the determination. This time limit is broadly consistent with other time limits in Division 93 of the GST Act (for example, subsection 93</w:t>
      </w:r>
      <w:r w:rsidR="001F7CD2">
        <w:noBreakHyphen/>
        <w:t xml:space="preserve">5(1) of the GST Act provides a four-year time limit). </w:t>
      </w:r>
      <w:r w:rsidR="001F7CD2">
        <w:br/>
      </w:r>
      <w:r w:rsidR="001F7CD2" w:rsidRPr="00351521">
        <w:rPr>
          <w:rStyle w:val="References"/>
        </w:rPr>
        <w:t xml:space="preserve">[Schedule </w:t>
      </w:r>
      <w:r w:rsidR="001F7CD2">
        <w:rPr>
          <w:rStyle w:val="References"/>
        </w:rPr>
        <w:t>#</w:t>
      </w:r>
      <w:r w:rsidR="001F7CD2" w:rsidRPr="00351521">
        <w:rPr>
          <w:rStyle w:val="References"/>
        </w:rPr>
        <w:t>, item</w:t>
      </w:r>
      <w:r w:rsidR="001F7CD2">
        <w:rPr>
          <w:rStyle w:val="References"/>
        </w:rPr>
        <w:t>s 10</w:t>
      </w:r>
      <w:r w:rsidR="00AC60DE">
        <w:rPr>
          <w:rStyle w:val="References"/>
        </w:rPr>
        <w:t xml:space="preserve"> to </w:t>
      </w:r>
      <w:r w:rsidR="001F7CD2">
        <w:rPr>
          <w:rStyle w:val="References"/>
        </w:rPr>
        <w:t>16</w:t>
      </w:r>
      <w:r w:rsidR="00925830">
        <w:rPr>
          <w:rStyle w:val="References"/>
        </w:rPr>
        <w:t>,</w:t>
      </w:r>
      <w:r w:rsidR="001F7CD2">
        <w:rPr>
          <w:rStyle w:val="References"/>
        </w:rPr>
        <w:t xml:space="preserve"> and 19</w:t>
      </w:r>
      <w:r w:rsidR="001F7CD2" w:rsidRPr="00351521">
        <w:rPr>
          <w:rStyle w:val="References"/>
        </w:rPr>
        <w:t xml:space="preserve">, </w:t>
      </w:r>
      <w:r w:rsidR="001F7CD2">
        <w:rPr>
          <w:rStyle w:val="References"/>
        </w:rPr>
        <w:t>section 93-10 of the GST Act]</w:t>
      </w:r>
      <w:r w:rsidR="001F7CD2" w:rsidRPr="00351521">
        <w:rPr>
          <w:rStyle w:val="References"/>
        </w:rPr>
        <w:t xml:space="preserve"> </w:t>
      </w:r>
    </w:p>
    <w:p w14:paraId="0B614BC8" w14:textId="77777777" w:rsidR="001F7CD2" w:rsidRPr="005174DE" w:rsidRDefault="001F7CD2" w:rsidP="001F7CD2">
      <w:pPr>
        <w:pStyle w:val="Normalparatextwithnumbers"/>
      </w:pPr>
      <w:r>
        <w:t>The amendments apply in relation to input tax credits that would ordinarily be attributable to a tax period that starts on or after 1 July 2012, being the date on which the current version of Division 93 of the GST Act came into effect. The retrospective application helps ensure the legislation conforms with past administrative practice and taxpayers’ expectations, and it is not expected to be detrimental to taxpayers in any way.</w:t>
      </w:r>
      <w:r>
        <w:br/>
      </w:r>
      <w:r w:rsidRPr="00351521">
        <w:rPr>
          <w:rStyle w:val="References"/>
        </w:rPr>
        <w:t xml:space="preserve">[Schedule </w:t>
      </w:r>
      <w:r>
        <w:rPr>
          <w:rStyle w:val="References"/>
        </w:rPr>
        <w:t>#</w:t>
      </w:r>
      <w:r w:rsidRPr="00351521">
        <w:rPr>
          <w:rStyle w:val="References"/>
        </w:rPr>
        <w:t>, item</w:t>
      </w:r>
      <w:r>
        <w:rPr>
          <w:rStyle w:val="References"/>
        </w:rPr>
        <w:t xml:space="preserve"> 19</w:t>
      </w:r>
      <w:r w:rsidRPr="00351521">
        <w:rPr>
          <w:rStyle w:val="References"/>
        </w:rPr>
        <w:t xml:space="preserve">] </w:t>
      </w:r>
    </w:p>
    <w:p w14:paraId="19D46203" w14:textId="6329901A" w:rsidR="00C66A21" w:rsidRDefault="00C66A21" w:rsidP="00C66A21">
      <w:pPr>
        <w:pStyle w:val="Heading4"/>
        <w:numPr>
          <w:ilvl w:val="3"/>
          <w:numId w:val="2"/>
        </w:numPr>
      </w:pPr>
      <w:r>
        <w:t>Division 2 – I</w:t>
      </w:r>
      <w:r w:rsidRPr="00341E65">
        <w:t>ncome tax deduction for GST paid by reverse charge</w:t>
      </w:r>
      <w:r>
        <w:t xml:space="preserve"> </w:t>
      </w:r>
    </w:p>
    <w:p w14:paraId="607117FB" w14:textId="299E36C3" w:rsidR="00C66A21" w:rsidRPr="00EF4B4E" w:rsidRDefault="00C66A21" w:rsidP="00C66A21">
      <w:pPr>
        <w:pStyle w:val="Normalparatextwithnumbers"/>
      </w:pPr>
      <w:r>
        <w:t xml:space="preserve">GST that constitutes a cost to business should generally be deductible for income tax purposes, to the extent that the cost cannot otherwise be recouped via an input tax credit. </w:t>
      </w:r>
    </w:p>
    <w:p w14:paraId="5CD55F31" w14:textId="2D6868AC" w:rsidR="00C66A21" w:rsidRPr="006456DC" w:rsidRDefault="00C66A21" w:rsidP="00C66A21">
      <w:pPr>
        <w:pStyle w:val="Normalparatextwithnumbers"/>
      </w:pPr>
      <w:r w:rsidRPr="006456DC">
        <w:t xml:space="preserve">Under subsection 27-15(1) of the ITAA 1997, a taxpayer is not able to obtain an income tax deduction for the payment of GST under Division 33 of the GST Act, subject to certain exceptions. Currently, GST payable by way of reverse charge </w:t>
      </w:r>
      <w:r w:rsidR="00E80DBE">
        <w:t>is not explicitly provided for as a deduction</w:t>
      </w:r>
      <w:r w:rsidRPr="006456DC">
        <w:t xml:space="preserve"> for income tax purposes. </w:t>
      </w:r>
    </w:p>
    <w:p w14:paraId="3D96BBCD" w14:textId="7D201826" w:rsidR="00C66A21" w:rsidRPr="006456DC" w:rsidRDefault="00C66A21" w:rsidP="00C66A21">
      <w:pPr>
        <w:pStyle w:val="Normalparatextwithnumbers"/>
      </w:pPr>
      <w:r w:rsidRPr="006456DC">
        <w:t xml:space="preserve">GST payable by way of reverse charge is a legitimate cost that a taxpayer can incur in deriving assessable income. A taxpayer should be able to claim an income tax deduction for GST payable by way of reverse charge, to the extent that: </w:t>
      </w:r>
    </w:p>
    <w:p w14:paraId="76570F02" w14:textId="02713F2C" w:rsidR="00C66A21" w:rsidRPr="006456DC" w:rsidRDefault="00C66A21" w:rsidP="00C66A21">
      <w:pPr>
        <w:pStyle w:val="Dotpoint1"/>
        <w:numPr>
          <w:ilvl w:val="0"/>
          <w:numId w:val="8"/>
        </w:numPr>
        <w:ind w:left="1418" w:hanging="709"/>
      </w:pPr>
      <w:r>
        <w:t xml:space="preserve">the </w:t>
      </w:r>
      <w:r w:rsidRPr="0023722E">
        <w:t xml:space="preserve">GST is greater than any input tax credits they are entitled to; </w:t>
      </w:r>
      <w:r w:rsidRPr="00EF4B4E">
        <w:t>and</w:t>
      </w:r>
    </w:p>
    <w:p w14:paraId="3FA11860" w14:textId="583F6661" w:rsidR="00C66A21" w:rsidRPr="00B142B7" w:rsidRDefault="00C66A21" w:rsidP="00C66A21">
      <w:pPr>
        <w:pStyle w:val="Dotpoint1"/>
        <w:numPr>
          <w:ilvl w:val="0"/>
          <w:numId w:val="8"/>
        </w:numPr>
        <w:ind w:left="1418" w:hanging="709"/>
      </w:pPr>
      <w:r>
        <w:lastRenderedPageBreak/>
        <w:t xml:space="preserve">the </w:t>
      </w:r>
      <w:r w:rsidRPr="00B142B7">
        <w:t xml:space="preserve">requirements of section 8-1 (general deductions) of the ITAA 1997 are satisfied. </w:t>
      </w:r>
    </w:p>
    <w:p w14:paraId="2BBBFF4A" w14:textId="7249BCF0" w:rsidR="00341E65" w:rsidRPr="00341E65" w:rsidRDefault="00C66A21" w:rsidP="00C66A21">
      <w:pPr>
        <w:pStyle w:val="Normalparatextwithnumbers"/>
      </w:pPr>
      <w:r w:rsidRPr="00EF4B4E">
        <w:t xml:space="preserve">Amendments </w:t>
      </w:r>
      <w:r>
        <w:t xml:space="preserve">are made to section 27-15 of the ITAA 1997 to </w:t>
      </w:r>
      <w:r w:rsidR="00E80DBE">
        <w:t>clarify the deduction</w:t>
      </w:r>
      <w:r>
        <w:t>.</w:t>
      </w:r>
      <w:r>
        <w:br/>
      </w:r>
      <w:r w:rsidRPr="00EF4B4E">
        <w:rPr>
          <w:rStyle w:val="References"/>
        </w:rPr>
        <w:t xml:space="preserve">[Schedule </w:t>
      </w:r>
      <w:r>
        <w:rPr>
          <w:rStyle w:val="References"/>
        </w:rPr>
        <w:t>#</w:t>
      </w:r>
      <w:r w:rsidRPr="00EF4B4E">
        <w:rPr>
          <w:rStyle w:val="References"/>
        </w:rPr>
        <w:t>, item</w:t>
      </w:r>
      <w:r>
        <w:rPr>
          <w:rStyle w:val="References"/>
        </w:rPr>
        <w:t>s 21</w:t>
      </w:r>
      <w:r w:rsidR="00925830">
        <w:rPr>
          <w:rStyle w:val="References"/>
        </w:rPr>
        <w:t xml:space="preserve"> and </w:t>
      </w:r>
      <w:r>
        <w:rPr>
          <w:rStyle w:val="References"/>
        </w:rPr>
        <w:t>22</w:t>
      </w:r>
      <w:r w:rsidRPr="00EF4B4E">
        <w:rPr>
          <w:rStyle w:val="References"/>
        </w:rPr>
        <w:t xml:space="preserve">, </w:t>
      </w:r>
      <w:r>
        <w:rPr>
          <w:rStyle w:val="References"/>
        </w:rPr>
        <w:t>section 27-15 of the ITAA 1997</w:t>
      </w:r>
      <w:r w:rsidRPr="00EF4B4E">
        <w:rPr>
          <w:rStyle w:val="References"/>
        </w:rPr>
        <w:t xml:space="preserve">] </w:t>
      </w:r>
      <w:r w:rsidRPr="00C03AB6">
        <w:t xml:space="preserve">  </w:t>
      </w:r>
      <w:r w:rsidR="00081B12" w:rsidRPr="00EF4B4E">
        <w:rPr>
          <w:rStyle w:val="References"/>
        </w:rPr>
        <w:t xml:space="preserve"> </w:t>
      </w:r>
      <w:r w:rsidR="0023722E" w:rsidRPr="00C03AB6">
        <w:t xml:space="preserve">  </w:t>
      </w:r>
    </w:p>
    <w:p w14:paraId="407556F5" w14:textId="77777777" w:rsidR="00363E60" w:rsidRPr="00020288" w:rsidRDefault="00363E60" w:rsidP="00363E60">
      <w:pPr>
        <w:pStyle w:val="Normalparatextwithnumbers"/>
        <w:numPr>
          <w:ilvl w:val="0"/>
          <w:numId w:val="0"/>
        </w:numPr>
      </w:pPr>
    </w:p>
    <w:p w14:paraId="5213F7BB" w14:textId="631A3145" w:rsidR="00873094" w:rsidRPr="00020288" w:rsidRDefault="00873094" w:rsidP="00885A73">
      <w:pPr>
        <w:pStyle w:val="Normalparatextwithnumbers"/>
        <w:numPr>
          <w:ilvl w:val="0"/>
          <w:numId w:val="0"/>
        </w:numPr>
      </w:pPr>
      <w:bookmarkStart w:id="42" w:name="_Toc78193246"/>
      <w:bookmarkStart w:id="43" w:name="_Toc78193403"/>
      <w:bookmarkStart w:id="44" w:name="_Toc78548476"/>
      <w:bookmarkStart w:id="45" w:name="_Toc78549747"/>
      <w:bookmarkStart w:id="46" w:name="_Toc78549791"/>
    </w:p>
    <w:p w14:paraId="365FD033" w14:textId="77777777" w:rsidR="006479AC" w:rsidRPr="006479AC" w:rsidRDefault="006479AC" w:rsidP="006479AC">
      <w:pPr>
        <w:pStyle w:val="Normalparatextnonumbers"/>
      </w:pPr>
    </w:p>
    <w:p w14:paraId="14C2F56B" w14:textId="3BBCD276" w:rsidR="00873094" w:rsidRDefault="00873094" w:rsidP="006479AC">
      <w:pPr>
        <w:pStyle w:val="Normalparatextnonumbers"/>
      </w:pPr>
    </w:p>
    <w:p w14:paraId="164DC8E3" w14:textId="77777777" w:rsidR="00873094" w:rsidRDefault="00873094" w:rsidP="00873094">
      <w:pPr>
        <w:spacing w:after="0" w:line="360" w:lineRule="auto"/>
        <w:contextualSpacing/>
      </w:pPr>
      <w:bookmarkStart w:id="47" w:name="_Hlk83390738"/>
    </w:p>
    <w:bookmarkEnd w:id="20"/>
    <w:bookmarkEnd w:id="42"/>
    <w:bookmarkEnd w:id="43"/>
    <w:bookmarkEnd w:id="44"/>
    <w:bookmarkEnd w:id="45"/>
    <w:bookmarkEnd w:id="46"/>
    <w:bookmarkEnd w:id="47"/>
    <w:p w14:paraId="4D8B5DA6" w14:textId="77777777" w:rsidR="00B77D03" w:rsidRDefault="00B77D03" w:rsidP="00C759AC">
      <w:pPr>
        <w:pStyle w:val="Normalparatextnonumbers"/>
      </w:pPr>
    </w:p>
    <w:sectPr w:rsidR="00B77D03" w:rsidSect="00000BFC">
      <w:headerReference w:type="first" r:id="rId24"/>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3778E" w14:textId="77777777" w:rsidR="001B7042" w:rsidRDefault="001B7042">
      <w:pPr>
        <w:spacing w:before="0" w:after="0"/>
      </w:pPr>
      <w:r>
        <w:separator/>
      </w:r>
    </w:p>
  </w:endnote>
  <w:endnote w:type="continuationSeparator" w:id="0">
    <w:p w14:paraId="4E53923C" w14:textId="77777777" w:rsidR="001B7042" w:rsidRDefault="001B7042">
      <w:pPr>
        <w:spacing w:before="0" w:after="0"/>
      </w:pPr>
      <w:r>
        <w:continuationSeparator/>
      </w:r>
    </w:p>
  </w:endnote>
  <w:endnote w:type="continuationNotice" w:id="1">
    <w:p w14:paraId="51297318" w14:textId="77777777" w:rsidR="001B7042" w:rsidRDefault="001B704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itica">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F6F3E" w14:textId="77777777" w:rsidR="00126204" w:rsidRDefault="00126204"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82D4" w14:textId="77777777" w:rsidR="00126204" w:rsidRPr="004D61CF" w:rsidRDefault="00126204"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1096" w14:textId="77777777" w:rsidR="007A2DBD" w:rsidRPr="00091474" w:rsidRDefault="007A2DBD" w:rsidP="00C759AC">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D887D" w14:textId="77777777" w:rsidR="001B7042" w:rsidRDefault="001B7042">
      <w:pPr>
        <w:spacing w:before="0" w:after="0"/>
      </w:pPr>
      <w:r>
        <w:separator/>
      </w:r>
    </w:p>
  </w:footnote>
  <w:footnote w:type="continuationSeparator" w:id="0">
    <w:p w14:paraId="2B5EBEC9" w14:textId="77777777" w:rsidR="001B7042" w:rsidRDefault="001B7042">
      <w:pPr>
        <w:spacing w:before="0" w:after="0"/>
      </w:pPr>
      <w:r>
        <w:continuationSeparator/>
      </w:r>
    </w:p>
  </w:footnote>
  <w:footnote w:type="continuationNotice" w:id="1">
    <w:p w14:paraId="170D4B9B" w14:textId="77777777" w:rsidR="001B7042" w:rsidRDefault="001B704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FC65" w14:textId="77777777" w:rsidR="00126204" w:rsidRDefault="0012620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82EB" w14:textId="77777777" w:rsidR="00C759AC" w:rsidRDefault="00C759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E3FDE" w14:textId="77777777" w:rsidR="00126204" w:rsidRDefault="001262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08EC1" w14:textId="77777777" w:rsidR="00126204" w:rsidRDefault="00B3677F">
    <w:pPr>
      <w:pStyle w:val="Header"/>
    </w:pPr>
    <w:r>
      <w:rPr>
        <w:noProof/>
      </w:rPr>
      <w:pict w14:anchorId="32AC3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BAA9D" w14:textId="77777777" w:rsidR="00126204" w:rsidRPr="009106AC" w:rsidRDefault="00126204" w:rsidP="002425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7467" w14:textId="74EF140C" w:rsidR="00126204" w:rsidRPr="0070093E" w:rsidRDefault="00126204"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C34E05">
      <w:rPr>
        <w:b/>
        <w:bCs/>
        <w:noProof/>
        <w:lang w:val="en-US"/>
      </w:rPr>
      <w:t>Error! Use the Home tab to apply ChapterNameOnly to the text that you want to appear here.</w:t>
    </w:r>
    <w:r>
      <w:rPr>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D92F0" w14:textId="77777777" w:rsidR="00126204" w:rsidRDefault="0012620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CE048" w14:textId="5FE9848D" w:rsidR="007A2DBD" w:rsidRPr="00C759AC" w:rsidRDefault="00B3677F" w:rsidP="00C759AC">
    <w:pPr>
      <w:pStyle w:val="leftheader"/>
    </w:pPr>
    <w:r>
      <w:fldChar w:fldCharType="begin"/>
    </w:r>
    <w:r>
      <w:instrText xml:space="preserve"> STYLEREF "Chapter heading" \* MERGEFORMAT </w:instrText>
    </w:r>
    <w:r>
      <w:fldChar w:fldCharType="separate"/>
    </w:r>
    <w:r>
      <w:rPr>
        <w:noProof/>
      </w:rPr>
      <w:t>Minor and technical amendments</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EED6C" w14:textId="52AE8B77" w:rsidR="007A2DBD" w:rsidRPr="00C759AC" w:rsidRDefault="00B3677F" w:rsidP="00C759AC">
    <w:pPr>
      <w:pStyle w:val="rightheader"/>
    </w:pPr>
    <w:r>
      <w:fldChar w:fldCharType="begin"/>
    </w:r>
    <w:r>
      <w:instrText xml:space="preserve"> STYLEREF "Bill Name" \* MERGEFORMAT </w:instrText>
    </w:r>
    <w:r>
      <w:fldChar w:fldCharType="separate"/>
    </w:r>
    <w:r>
      <w:rPr>
        <w:noProof/>
      </w:rPr>
      <w:t>Treasury Laws Amendment (Measures for Consultation) Bill 2023: Miscellaneous and technical amendments – Spring 2023</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4D1C" w14:textId="77777777" w:rsidR="007A2DBD" w:rsidRDefault="007A2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lvl>
    <w:lvl w:ilvl="2">
      <w:start w:val="1"/>
      <w:numFmt w:val="decimal"/>
      <w:lvlRestart w:val="1"/>
      <w:pStyle w:val="DiagramHeading"/>
      <w:suff w:val="space"/>
      <w:lvlText w:val="Diagram %1.%3"/>
      <w:lvlJc w:val="left"/>
      <w:pPr>
        <w:ind w:left="1701" w:hanging="1701"/>
      </w:pPr>
    </w:lvl>
    <w:lvl w:ilvl="3">
      <w:start w:val="1"/>
      <w:numFmt w:val="decimal"/>
      <w:lvlRestart w:val="1"/>
      <w:pStyle w:val="ExampleHeading"/>
      <w:suff w:val="space"/>
      <w:lvlText w:val="Example %1.%4"/>
      <w:lvlJc w:val="left"/>
      <w:pPr>
        <w:ind w:left="1701" w:hanging="1701"/>
      </w:pPr>
    </w:lvl>
    <w:lvl w:ilvl="4">
      <w:start w:val="1"/>
      <w:numFmt w:val="decimal"/>
      <w:lvlRestart w:val="1"/>
      <w:pStyle w:val="TableHeading"/>
      <w:suff w:val="space"/>
      <w:lvlText w:val="Table %1.%5"/>
      <w:lvlJc w:val="left"/>
      <w:pPr>
        <w:ind w:left="1701" w:hanging="1701"/>
      </w:pPr>
    </w:lvl>
    <w:lvl w:ilvl="5">
      <w:start w:val="1"/>
      <w:numFmt w:val="decimal"/>
      <w:lvlRestart w:val="0"/>
      <w:suff w:val="nothing"/>
      <w:lvlText w:val=""/>
      <w:lvlJc w:val="left"/>
      <w:pPr>
        <w:ind w:left="0" w:firstLine="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6" w15:restartNumberingAfterBreak="0">
    <w:nsid w:val="45255D4F"/>
    <w:multiLevelType w:val="multilevel"/>
    <w:tmpl w:val="7DF22AFE"/>
    <w:name w:val="StandardNumberedList"/>
    <w:lvl w:ilvl="0">
      <w:start w:val="1"/>
      <w:numFmt w:val="decimal"/>
      <w:pStyle w:val="OutlineNumbered1"/>
      <w:lvlText w:val="%1."/>
      <w:lvlJc w:val="left"/>
      <w:pPr>
        <w:tabs>
          <w:tab w:val="num" w:pos="638"/>
        </w:tabs>
        <w:ind w:left="638" w:hanging="638"/>
      </w:pPr>
      <w:rPr>
        <w:color w:val="7F7F7F" w:themeColor="text1" w:themeTint="80"/>
        <w:sz w:val="22"/>
        <w:szCs w:val="22"/>
      </w:rPr>
    </w:lvl>
    <w:lvl w:ilvl="1">
      <w:start w:val="1"/>
      <w:numFmt w:val="decimal"/>
      <w:pStyle w:val="OutlineNumbered2"/>
      <w:lvlText w:val="%1.%2."/>
      <w:lvlJc w:val="left"/>
      <w:pPr>
        <w:tabs>
          <w:tab w:val="num" w:pos="1276"/>
        </w:tabs>
        <w:ind w:left="1276" w:hanging="638"/>
      </w:pPr>
    </w:lvl>
    <w:lvl w:ilvl="2">
      <w:start w:val="1"/>
      <w:numFmt w:val="decimal"/>
      <w:pStyle w:val="OutlineNumbered3"/>
      <w:lvlText w:val="%1.%2.%3."/>
      <w:lvlJc w:val="left"/>
      <w:pPr>
        <w:tabs>
          <w:tab w:val="num" w:pos="1914"/>
        </w:tabs>
        <w:ind w:left="1914" w:hanging="638"/>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9"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62045838">
    <w:abstractNumId w:val="0"/>
  </w:num>
  <w:num w:numId="2" w16cid:durableId="980231959">
    <w:abstractNumId w:val="11"/>
  </w:num>
  <w:num w:numId="3" w16cid:durableId="192771556">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1740245613">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126508507">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2054963566">
    <w:abstractNumId w:val="3"/>
  </w:num>
  <w:num w:numId="7" w16cid:durableId="399212068">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637078608">
    <w:abstractNumId w:val="4"/>
  </w:num>
  <w:num w:numId="9" w16cid:durableId="1033193177">
    <w:abstractNumId w:val="13"/>
  </w:num>
  <w:num w:numId="10" w16cid:durableId="521822388">
    <w:abstractNumId w:val="7"/>
  </w:num>
  <w:num w:numId="11" w16cid:durableId="294484496">
    <w:abstractNumId w:val="5"/>
  </w:num>
  <w:num w:numId="12" w16cid:durableId="572161007">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1609239854">
    <w:abstractNumId w:val="11"/>
  </w:num>
  <w:num w:numId="14" w16cid:durableId="1882939922">
    <w:abstractNumId w:val="9"/>
  </w:num>
  <w:num w:numId="15" w16cid:durableId="1311866530">
    <w:abstractNumId w:val="10"/>
  </w:num>
  <w:num w:numId="16" w16cid:durableId="1720665117">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303316725">
    <w:abstractNumId w:val="4"/>
  </w:num>
  <w:num w:numId="18" w16cid:durableId="324020970">
    <w:abstractNumId w:val="2"/>
  </w:num>
  <w:num w:numId="19" w16cid:durableId="141191799">
    <w:abstractNumId w:val="8"/>
  </w:num>
  <w:num w:numId="20" w16cid:durableId="696934381">
    <w:abstractNumId w:val="12"/>
  </w:num>
  <w:num w:numId="21" w16cid:durableId="2057046099">
    <w:abstractNumId w:val="11"/>
  </w:num>
  <w:num w:numId="22" w16cid:durableId="1713652416">
    <w:abstractNumId w:val="1"/>
  </w:num>
  <w:num w:numId="23" w16cid:durableId="1156527412">
    <w:abstractNumId w:val="11"/>
  </w:num>
  <w:num w:numId="24" w16cid:durableId="906037080">
    <w:abstractNumId w:val="11"/>
  </w:num>
  <w:num w:numId="25" w16cid:durableId="21351013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0E"/>
    <w:rsid w:val="00000BFC"/>
    <w:rsid w:val="00002DEF"/>
    <w:rsid w:val="00006018"/>
    <w:rsid w:val="000069E3"/>
    <w:rsid w:val="000109D8"/>
    <w:rsid w:val="00010C09"/>
    <w:rsid w:val="00015484"/>
    <w:rsid w:val="000160D9"/>
    <w:rsid w:val="00017786"/>
    <w:rsid w:val="00017B8A"/>
    <w:rsid w:val="00021534"/>
    <w:rsid w:val="00021DAA"/>
    <w:rsid w:val="000238C3"/>
    <w:rsid w:val="000246FA"/>
    <w:rsid w:val="00030D11"/>
    <w:rsid w:val="00040058"/>
    <w:rsid w:val="00041348"/>
    <w:rsid w:val="00042A99"/>
    <w:rsid w:val="00043E9F"/>
    <w:rsid w:val="00047FF2"/>
    <w:rsid w:val="00055866"/>
    <w:rsid w:val="00057AED"/>
    <w:rsid w:val="000603F5"/>
    <w:rsid w:val="0006228B"/>
    <w:rsid w:val="00062C39"/>
    <w:rsid w:val="00065C1A"/>
    <w:rsid w:val="000709CE"/>
    <w:rsid w:val="00071073"/>
    <w:rsid w:val="0007506C"/>
    <w:rsid w:val="000759E3"/>
    <w:rsid w:val="0007680D"/>
    <w:rsid w:val="000810A1"/>
    <w:rsid w:val="00081B12"/>
    <w:rsid w:val="00082B7D"/>
    <w:rsid w:val="000841FA"/>
    <w:rsid w:val="000854CF"/>
    <w:rsid w:val="0008656C"/>
    <w:rsid w:val="00086570"/>
    <w:rsid w:val="00086EFD"/>
    <w:rsid w:val="00087159"/>
    <w:rsid w:val="00087524"/>
    <w:rsid w:val="00087F47"/>
    <w:rsid w:val="00087FE9"/>
    <w:rsid w:val="00087FF3"/>
    <w:rsid w:val="00090A2C"/>
    <w:rsid w:val="00091745"/>
    <w:rsid w:val="00094081"/>
    <w:rsid w:val="0009680A"/>
    <w:rsid w:val="000A3230"/>
    <w:rsid w:val="000A495A"/>
    <w:rsid w:val="000A49F2"/>
    <w:rsid w:val="000B2E42"/>
    <w:rsid w:val="000B3BA6"/>
    <w:rsid w:val="000B4B0C"/>
    <w:rsid w:val="000B6B3E"/>
    <w:rsid w:val="000B6DC9"/>
    <w:rsid w:val="000B7D6E"/>
    <w:rsid w:val="000C058C"/>
    <w:rsid w:val="000C1DCD"/>
    <w:rsid w:val="000C36DD"/>
    <w:rsid w:val="000C732F"/>
    <w:rsid w:val="000D1093"/>
    <w:rsid w:val="000D261C"/>
    <w:rsid w:val="000D4CC3"/>
    <w:rsid w:val="000D50D5"/>
    <w:rsid w:val="000D5491"/>
    <w:rsid w:val="000E2E0F"/>
    <w:rsid w:val="000E330D"/>
    <w:rsid w:val="000E3F36"/>
    <w:rsid w:val="000E4D39"/>
    <w:rsid w:val="000E521B"/>
    <w:rsid w:val="000E5C22"/>
    <w:rsid w:val="000E5F4B"/>
    <w:rsid w:val="000F6837"/>
    <w:rsid w:val="000F69B0"/>
    <w:rsid w:val="00100371"/>
    <w:rsid w:val="00103DA8"/>
    <w:rsid w:val="001054D6"/>
    <w:rsid w:val="00105E85"/>
    <w:rsid w:val="001064C7"/>
    <w:rsid w:val="00106599"/>
    <w:rsid w:val="00106FDC"/>
    <w:rsid w:val="001075A7"/>
    <w:rsid w:val="00107B2D"/>
    <w:rsid w:val="00107C49"/>
    <w:rsid w:val="00111F8A"/>
    <w:rsid w:val="001123BC"/>
    <w:rsid w:val="001136D4"/>
    <w:rsid w:val="00115509"/>
    <w:rsid w:val="00120A2B"/>
    <w:rsid w:val="001210FF"/>
    <w:rsid w:val="001213CF"/>
    <w:rsid w:val="001227A2"/>
    <w:rsid w:val="0012320E"/>
    <w:rsid w:val="00126204"/>
    <w:rsid w:val="001262F0"/>
    <w:rsid w:val="0012731A"/>
    <w:rsid w:val="001277A5"/>
    <w:rsid w:val="0013252C"/>
    <w:rsid w:val="00134D76"/>
    <w:rsid w:val="00137666"/>
    <w:rsid w:val="00141701"/>
    <w:rsid w:val="001426CD"/>
    <w:rsid w:val="00143A43"/>
    <w:rsid w:val="001464A0"/>
    <w:rsid w:val="00154237"/>
    <w:rsid w:val="001572C8"/>
    <w:rsid w:val="00157FCF"/>
    <w:rsid w:val="001607DD"/>
    <w:rsid w:val="00161CA6"/>
    <w:rsid w:val="00162CAE"/>
    <w:rsid w:val="00163457"/>
    <w:rsid w:val="001649F7"/>
    <w:rsid w:val="00165335"/>
    <w:rsid w:val="001668C3"/>
    <w:rsid w:val="0017090C"/>
    <w:rsid w:val="00170C78"/>
    <w:rsid w:val="00170E28"/>
    <w:rsid w:val="0017115D"/>
    <w:rsid w:val="00171BA9"/>
    <w:rsid w:val="00171F41"/>
    <w:rsid w:val="00172824"/>
    <w:rsid w:val="001741A2"/>
    <w:rsid w:val="00177CA5"/>
    <w:rsid w:val="0018564F"/>
    <w:rsid w:val="001857D1"/>
    <w:rsid w:val="00192DCB"/>
    <w:rsid w:val="00195D1C"/>
    <w:rsid w:val="001969A8"/>
    <w:rsid w:val="00196BBD"/>
    <w:rsid w:val="001A0D5B"/>
    <w:rsid w:val="001A1958"/>
    <w:rsid w:val="001A25B4"/>
    <w:rsid w:val="001A5405"/>
    <w:rsid w:val="001A6A08"/>
    <w:rsid w:val="001B07FA"/>
    <w:rsid w:val="001B0FA4"/>
    <w:rsid w:val="001B1306"/>
    <w:rsid w:val="001B27B0"/>
    <w:rsid w:val="001B404C"/>
    <w:rsid w:val="001B588E"/>
    <w:rsid w:val="001B7042"/>
    <w:rsid w:val="001B7AA8"/>
    <w:rsid w:val="001C5499"/>
    <w:rsid w:val="001C5CBF"/>
    <w:rsid w:val="001D1A9A"/>
    <w:rsid w:val="001D318D"/>
    <w:rsid w:val="001D7BF9"/>
    <w:rsid w:val="001E01BF"/>
    <w:rsid w:val="001E15E6"/>
    <w:rsid w:val="001E169A"/>
    <w:rsid w:val="001E3D6A"/>
    <w:rsid w:val="001E63C4"/>
    <w:rsid w:val="001F0825"/>
    <w:rsid w:val="001F2319"/>
    <w:rsid w:val="001F355D"/>
    <w:rsid w:val="001F3DFD"/>
    <w:rsid w:val="001F4166"/>
    <w:rsid w:val="001F5D3B"/>
    <w:rsid w:val="001F7CD2"/>
    <w:rsid w:val="0020626B"/>
    <w:rsid w:val="00206BAC"/>
    <w:rsid w:val="002140B2"/>
    <w:rsid w:val="00214668"/>
    <w:rsid w:val="002160E6"/>
    <w:rsid w:val="00217DC3"/>
    <w:rsid w:val="002218CA"/>
    <w:rsid w:val="00230C17"/>
    <w:rsid w:val="002332E2"/>
    <w:rsid w:val="0023409D"/>
    <w:rsid w:val="002353F7"/>
    <w:rsid w:val="002359B2"/>
    <w:rsid w:val="0023722E"/>
    <w:rsid w:val="0024259C"/>
    <w:rsid w:val="002425D9"/>
    <w:rsid w:val="00242AA7"/>
    <w:rsid w:val="00242B2A"/>
    <w:rsid w:val="0024443C"/>
    <w:rsid w:val="00245720"/>
    <w:rsid w:val="00246B16"/>
    <w:rsid w:val="0024784F"/>
    <w:rsid w:val="00250844"/>
    <w:rsid w:val="002508D6"/>
    <w:rsid w:val="00253406"/>
    <w:rsid w:val="00254BA6"/>
    <w:rsid w:val="00257788"/>
    <w:rsid w:val="00260A07"/>
    <w:rsid w:val="00260A5A"/>
    <w:rsid w:val="00260B8B"/>
    <w:rsid w:val="00261969"/>
    <w:rsid w:val="00263639"/>
    <w:rsid w:val="00264EC7"/>
    <w:rsid w:val="00267C79"/>
    <w:rsid w:val="002704BC"/>
    <w:rsid w:val="00271D1D"/>
    <w:rsid w:val="002730F9"/>
    <w:rsid w:val="002731AE"/>
    <w:rsid w:val="0027381F"/>
    <w:rsid w:val="00274D5C"/>
    <w:rsid w:val="0027556A"/>
    <w:rsid w:val="00276753"/>
    <w:rsid w:val="00280FA9"/>
    <w:rsid w:val="002872AB"/>
    <w:rsid w:val="002935AC"/>
    <w:rsid w:val="0029573B"/>
    <w:rsid w:val="00296A54"/>
    <w:rsid w:val="00297081"/>
    <w:rsid w:val="00297F33"/>
    <w:rsid w:val="002A0FDD"/>
    <w:rsid w:val="002A2137"/>
    <w:rsid w:val="002A52E5"/>
    <w:rsid w:val="002B0B67"/>
    <w:rsid w:val="002B13DC"/>
    <w:rsid w:val="002B1D9E"/>
    <w:rsid w:val="002B3935"/>
    <w:rsid w:val="002B398E"/>
    <w:rsid w:val="002B41B9"/>
    <w:rsid w:val="002B623C"/>
    <w:rsid w:val="002B6F60"/>
    <w:rsid w:val="002B72E1"/>
    <w:rsid w:val="002C356D"/>
    <w:rsid w:val="002C46E2"/>
    <w:rsid w:val="002C78D6"/>
    <w:rsid w:val="002D080A"/>
    <w:rsid w:val="002D1B56"/>
    <w:rsid w:val="002D7F9A"/>
    <w:rsid w:val="002E0E33"/>
    <w:rsid w:val="002E3552"/>
    <w:rsid w:val="002E3D3B"/>
    <w:rsid w:val="002F04D4"/>
    <w:rsid w:val="002F095F"/>
    <w:rsid w:val="002F1267"/>
    <w:rsid w:val="002F1CB0"/>
    <w:rsid w:val="002F4B60"/>
    <w:rsid w:val="002F5302"/>
    <w:rsid w:val="002F72CF"/>
    <w:rsid w:val="002F786C"/>
    <w:rsid w:val="00305D2A"/>
    <w:rsid w:val="00306369"/>
    <w:rsid w:val="00310208"/>
    <w:rsid w:val="00315D81"/>
    <w:rsid w:val="003165CE"/>
    <w:rsid w:val="0031765C"/>
    <w:rsid w:val="00317EA1"/>
    <w:rsid w:val="00323C61"/>
    <w:rsid w:val="0032660D"/>
    <w:rsid w:val="00326AA7"/>
    <w:rsid w:val="00326F29"/>
    <w:rsid w:val="00331E10"/>
    <w:rsid w:val="00341E65"/>
    <w:rsid w:val="00342871"/>
    <w:rsid w:val="00343153"/>
    <w:rsid w:val="00344D99"/>
    <w:rsid w:val="003510A8"/>
    <w:rsid w:val="00351274"/>
    <w:rsid w:val="00351521"/>
    <w:rsid w:val="00351D4D"/>
    <w:rsid w:val="003529E1"/>
    <w:rsid w:val="00352F2C"/>
    <w:rsid w:val="00353C43"/>
    <w:rsid w:val="0035414E"/>
    <w:rsid w:val="00354322"/>
    <w:rsid w:val="003556BF"/>
    <w:rsid w:val="00356392"/>
    <w:rsid w:val="0035664C"/>
    <w:rsid w:val="0036133E"/>
    <w:rsid w:val="00361417"/>
    <w:rsid w:val="00363DC5"/>
    <w:rsid w:val="00363E60"/>
    <w:rsid w:val="00366F68"/>
    <w:rsid w:val="00367591"/>
    <w:rsid w:val="003675AE"/>
    <w:rsid w:val="0036790F"/>
    <w:rsid w:val="00367E15"/>
    <w:rsid w:val="0037344A"/>
    <w:rsid w:val="00373F38"/>
    <w:rsid w:val="00375BD0"/>
    <w:rsid w:val="0037655F"/>
    <w:rsid w:val="00377489"/>
    <w:rsid w:val="003816F3"/>
    <w:rsid w:val="003829C6"/>
    <w:rsid w:val="003829F6"/>
    <w:rsid w:val="00383506"/>
    <w:rsid w:val="0038534B"/>
    <w:rsid w:val="0038616F"/>
    <w:rsid w:val="00387402"/>
    <w:rsid w:val="003916C2"/>
    <w:rsid w:val="0039351C"/>
    <w:rsid w:val="003937F9"/>
    <w:rsid w:val="0039391C"/>
    <w:rsid w:val="00396700"/>
    <w:rsid w:val="003971ED"/>
    <w:rsid w:val="003A026F"/>
    <w:rsid w:val="003A0372"/>
    <w:rsid w:val="003A7718"/>
    <w:rsid w:val="003A7ADD"/>
    <w:rsid w:val="003B245D"/>
    <w:rsid w:val="003B7D5D"/>
    <w:rsid w:val="003C092A"/>
    <w:rsid w:val="003C0EC6"/>
    <w:rsid w:val="003C128A"/>
    <w:rsid w:val="003C3753"/>
    <w:rsid w:val="003C5967"/>
    <w:rsid w:val="003D4AD5"/>
    <w:rsid w:val="003D507B"/>
    <w:rsid w:val="003E0E38"/>
    <w:rsid w:val="003E2578"/>
    <w:rsid w:val="003F0E6D"/>
    <w:rsid w:val="003F1AD7"/>
    <w:rsid w:val="003F2374"/>
    <w:rsid w:val="003F4CB1"/>
    <w:rsid w:val="003F5C99"/>
    <w:rsid w:val="004018E8"/>
    <w:rsid w:val="0040581D"/>
    <w:rsid w:val="00407067"/>
    <w:rsid w:val="0040797B"/>
    <w:rsid w:val="004111F8"/>
    <w:rsid w:val="00411E2A"/>
    <w:rsid w:val="004122EB"/>
    <w:rsid w:val="004129A1"/>
    <w:rsid w:val="00414017"/>
    <w:rsid w:val="0041575B"/>
    <w:rsid w:val="004157C8"/>
    <w:rsid w:val="004202DF"/>
    <w:rsid w:val="00420328"/>
    <w:rsid w:val="00425E95"/>
    <w:rsid w:val="00427BA4"/>
    <w:rsid w:val="00427EDF"/>
    <w:rsid w:val="00430A32"/>
    <w:rsid w:val="00432484"/>
    <w:rsid w:val="00432D51"/>
    <w:rsid w:val="00437367"/>
    <w:rsid w:val="004457BB"/>
    <w:rsid w:val="00446CDC"/>
    <w:rsid w:val="0045478B"/>
    <w:rsid w:val="00456EAE"/>
    <w:rsid w:val="004603EF"/>
    <w:rsid w:val="0046108E"/>
    <w:rsid w:val="004614F0"/>
    <w:rsid w:val="004618AB"/>
    <w:rsid w:val="004635F9"/>
    <w:rsid w:val="00463902"/>
    <w:rsid w:val="00464DBA"/>
    <w:rsid w:val="00465024"/>
    <w:rsid w:val="00470F14"/>
    <w:rsid w:val="00474B30"/>
    <w:rsid w:val="0047593B"/>
    <w:rsid w:val="00477C04"/>
    <w:rsid w:val="00481C87"/>
    <w:rsid w:val="00485CDD"/>
    <w:rsid w:val="00485FD0"/>
    <w:rsid w:val="00486699"/>
    <w:rsid w:val="004909D7"/>
    <w:rsid w:val="0049169E"/>
    <w:rsid w:val="00491C98"/>
    <w:rsid w:val="00491CFC"/>
    <w:rsid w:val="00492729"/>
    <w:rsid w:val="00495FF1"/>
    <w:rsid w:val="00496642"/>
    <w:rsid w:val="00496C21"/>
    <w:rsid w:val="004971E2"/>
    <w:rsid w:val="004975DF"/>
    <w:rsid w:val="004A131B"/>
    <w:rsid w:val="004A3630"/>
    <w:rsid w:val="004A4260"/>
    <w:rsid w:val="004A4F05"/>
    <w:rsid w:val="004A6E74"/>
    <w:rsid w:val="004A799E"/>
    <w:rsid w:val="004B1C70"/>
    <w:rsid w:val="004B1F33"/>
    <w:rsid w:val="004B3CEB"/>
    <w:rsid w:val="004B56F3"/>
    <w:rsid w:val="004B7616"/>
    <w:rsid w:val="004D24E6"/>
    <w:rsid w:val="004D3908"/>
    <w:rsid w:val="004D5373"/>
    <w:rsid w:val="004D6842"/>
    <w:rsid w:val="004D6A64"/>
    <w:rsid w:val="004D7577"/>
    <w:rsid w:val="004E1D1E"/>
    <w:rsid w:val="004E23CB"/>
    <w:rsid w:val="004E4C79"/>
    <w:rsid w:val="004E5113"/>
    <w:rsid w:val="004E559A"/>
    <w:rsid w:val="004E76E5"/>
    <w:rsid w:val="004F23C3"/>
    <w:rsid w:val="004F3152"/>
    <w:rsid w:val="004F344B"/>
    <w:rsid w:val="004F3F9D"/>
    <w:rsid w:val="004F4A8E"/>
    <w:rsid w:val="004F6DDE"/>
    <w:rsid w:val="004F7C15"/>
    <w:rsid w:val="0050116C"/>
    <w:rsid w:val="00503A41"/>
    <w:rsid w:val="00505273"/>
    <w:rsid w:val="00505347"/>
    <w:rsid w:val="005066F5"/>
    <w:rsid w:val="00510A31"/>
    <w:rsid w:val="00512F76"/>
    <w:rsid w:val="00514976"/>
    <w:rsid w:val="005174DE"/>
    <w:rsid w:val="00517C7A"/>
    <w:rsid w:val="00517D6E"/>
    <w:rsid w:val="0052160E"/>
    <w:rsid w:val="0052517A"/>
    <w:rsid w:val="00527A23"/>
    <w:rsid w:val="00531C67"/>
    <w:rsid w:val="005356CB"/>
    <w:rsid w:val="00536F94"/>
    <w:rsid w:val="00543CDF"/>
    <w:rsid w:val="00544046"/>
    <w:rsid w:val="00544051"/>
    <w:rsid w:val="00545576"/>
    <w:rsid w:val="0054653F"/>
    <w:rsid w:val="00550C4F"/>
    <w:rsid w:val="00551129"/>
    <w:rsid w:val="005515C0"/>
    <w:rsid w:val="0055173D"/>
    <w:rsid w:val="005559FB"/>
    <w:rsid w:val="00557B38"/>
    <w:rsid w:val="00557FE8"/>
    <w:rsid w:val="00560507"/>
    <w:rsid w:val="00560F68"/>
    <w:rsid w:val="0056405E"/>
    <w:rsid w:val="0056675C"/>
    <w:rsid w:val="005671A2"/>
    <w:rsid w:val="0057163B"/>
    <w:rsid w:val="005745E3"/>
    <w:rsid w:val="00585B29"/>
    <w:rsid w:val="0059200B"/>
    <w:rsid w:val="00593596"/>
    <w:rsid w:val="00596345"/>
    <w:rsid w:val="005A0163"/>
    <w:rsid w:val="005A22FB"/>
    <w:rsid w:val="005A35DE"/>
    <w:rsid w:val="005A3AA3"/>
    <w:rsid w:val="005A41F5"/>
    <w:rsid w:val="005A42A2"/>
    <w:rsid w:val="005A745A"/>
    <w:rsid w:val="005B0D85"/>
    <w:rsid w:val="005B4B4D"/>
    <w:rsid w:val="005C07E3"/>
    <w:rsid w:val="005C1D74"/>
    <w:rsid w:val="005C26D2"/>
    <w:rsid w:val="005C2BD1"/>
    <w:rsid w:val="005C777C"/>
    <w:rsid w:val="005D0844"/>
    <w:rsid w:val="005D169F"/>
    <w:rsid w:val="005D4E6F"/>
    <w:rsid w:val="005D5031"/>
    <w:rsid w:val="005D5F12"/>
    <w:rsid w:val="005D7B79"/>
    <w:rsid w:val="005E0DCC"/>
    <w:rsid w:val="005E1542"/>
    <w:rsid w:val="005E21CE"/>
    <w:rsid w:val="005E56A2"/>
    <w:rsid w:val="005F1CF7"/>
    <w:rsid w:val="005F33D1"/>
    <w:rsid w:val="005F3594"/>
    <w:rsid w:val="005F502D"/>
    <w:rsid w:val="00600E98"/>
    <w:rsid w:val="00602761"/>
    <w:rsid w:val="00602FDC"/>
    <w:rsid w:val="006042C2"/>
    <w:rsid w:val="00605E40"/>
    <w:rsid w:val="00610970"/>
    <w:rsid w:val="0061272D"/>
    <w:rsid w:val="00616DA9"/>
    <w:rsid w:val="00622763"/>
    <w:rsid w:val="00622CEA"/>
    <w:rsid w:val="006235C8"/>
    <w:rsid w:val="00624905"/>
    <w:rsid w:val="00625A47"/>
    <w:rsid w:val="00627A56"/>
    <w:rsid w:val="00630725"/>
    <w:rsid w:val="006322E1"/>
    <w:rsid w:val="00634027"/>
    <w:rsid w:val="00635627"/>
    <w:rsid w:val="00635FC0"/>
    <w:rsid w:val="006374B8"/>
    <w:rsid w:val="00637981"/>
    <w:rsid w:val="006401B6"/>
    <w:rsid w:val="00642420"/>
    <w:rsid w:val="00645688"/>
    <w:rsid w:val="006456DC"/>
    <w:rsid w:val="00645A1E"/>
    <w:rsid w:val="00645AC6"/>
    <w:rsid w:val="00645FE5"/>
    <w:rsid w:val="00646697"/>
    <w:rsid w:val="00646E83"/>
    <w:rsid w:val="0064753C"/>
    <w:rsid w:val="0064759D"/>
    <w:rsid w:val="006479AC"/>
    <w:rsid w:val="006530CD"/>
    <w:rsid w:val="00654456"/>
    <w:rsid w:val="006569D0"/>
    <w:rsid w:val="0065773C"/>
    <w:rsid w:val="0066060E"/>
    <w:rsid w:val="00660725"/>
    <w:rsid w:val="00662666"/>
    <w:rsid w:val="0066609F"/>
    <w:rsid w:val="00671DAF"/>
    <w:rsid w:val="006744CE"/>
    <w:rsid w:val="0067616C"/>
    <w:rsid w:val="00677159"/>
    <w:rsid w:val="006774D5"/>
    <w:rsid w:val="00681E0F"/>
    <w:rsid w:val="00682A65"/>
    <w:rsid w:val="006837F3"/>
    <w:rsid w:val="00683847"/>
    <w:rsid w:val="00684BFA"/>
    <w:rsid w:val="00685321"/>
    <w:rsid w:val="00686B24"/>
    <w:rsid w:val="0069053C"/>
    <w:rsid w:val="00691955"/>
    <w:rsid w:val="00691A46"/>
    <w:rsid w:val="00693B29"/>
    <w:rsid w:val="006964E8"/>
    <w:rsid w:val="006A0C62"/>
    <w:rsid w:val="006A0D7B"/>
    <w:rsid w:val="006A2BC6"/>
    <w:rsid w:val="006A3FFA"/>
    <w:rsid w:val="006A4173"/>
    <w:rsid w:val="006A672C"/>
    <w:rsid w:val="006A7AE4"/>
    <w:rsid w:val="006A7B42"/>
    <w:rsid w:val="006B11E1"/>
    <w:rsid w:val="006B20A0"/>
    <w:rsid w:val="006B26CC"/>
    <w:rsid w:val="006B3C6F"/>
    <w:rsid w:val="006B43EC"/>
    <w:rsid w:val="006B45AD"/>
    <w:rsid w:val="006B46EA"/>
    <w:rsid w:val="006C028F"/>
    <w:rsid w:val="006C17B0"/>
    <w:rsid w:val="006C192F"/>
    <w:rsid w:val="006C2180"/>
    <w:rsid w:val="006C40A4"/>
    <w:rsid w:val="006C40D8"/>
    <w:rsid w:val="006C67F6"/>
    <w:rsid w:val="006D1071"/>
    <w:rsid w:val="006D42D1"/>
    <w:rsid w:val="006D5119"/>
    <w:rsid w:val="006D6500"/>
    <w:rsid w:val="006D70AB"/>
    <w:rsid w:val="006D7CF8"/>
    <w:rsid w:val="006E0237"/>
    <w:rsid w:val="006E464C"/>
    <w:rsid w:val="006E699E"/>
    <w:rsid w:val="006F25B7"/>
    <w:rsid w:val="006F4323"/>
    <w:rsid w:val="007034B5"/>
    <w:rsid w:val="0070444F"/>
    <w:rsid w:val="00706507"/>
    <w:rsid w:val="00706833"/>
    <w:rsid w:val="00706EF0"/>
    <w:rsid w:val="0070789D"/>
    <w:rsid w:val="007101E0"/>
    <w:rsid w:val="0071208C"/>
    <w:rsid w:val="00713D54"/>
    <w:rsid w:val="007145E8"/>
    <w:rsid w:val="0071467B"/>
    <w:rsid w:val="007156E6"/>
    <w:rsid w:val="0072408D"/>
    <w:rsid w:val="007316F6"/>
    <w:rsid w:val="00731BE4"/>
    <w:rsid w:val="007320CD"/>
    <w:rsid w:val="0073326A"/>
    <w:rsid w:val="00734238"/>
    <w:rsid w:val="007343B9"/>
    <w:rsid w:val="00735894"/>
    <w:rsid w:val="00736556"/>
    <w:rsid w:val="007378A1"/>
    <w:rsid w:val="00741E4A"/>
    <w:rsid w:val="007426A8"/>
    <w:rsid w:val="007479A1"/>
    <w:rsid w:val="0075089B"/>
    <w:rsid w:val="00750E22"/>
    <w:rsid w:val="00752092"/>
    <w:rsid w:val="00752137"/>
    <w:rsid w:val="00752190"/>
    <w:rsid w:val="0075635A"/>
    <w:rsid w:val="00756DAC"/>
    <w:rsid w:val="007573A3"/>
    <w:rsid w:val="007602C4"/>
    <w:rsid w:val="00761641"/>
    <w:rsid w:val="00762259"/>
    <w:rsid w:val="00763484"/>
    <w:rsid w:val="00766AE2"/>
    <w:rsid w:val="00766B37"/>
    <w:rsid w:val="0077056A"/>
    <w:rsid w:val="0077091C"/>
    <w:rsid w:val="00771490"/>
    <w:rsid w:val="00773D69"/>
    <w:rsid w:val="007746A3"/>
    <w:rsid w:val="00774908"/>
    <w:rsid w:val="00777A92"/>
    <w:rsid w:val="00783FA1"/>
    <w:rsid w:val="007850A3"/>
    <w:rsid w:val="00787397"/>
    <w:rsid w:val="007A1520"/>
    <w:rsid w:val="007A2C47"/>
    <w:rsid w:val="007A2DBD"/>
    <w:rsid w:val="007A55BA"/>
    <w:rsid w:val="007A6212"/>
    <w:rsid w:val="007A7B84"/>
    <w:rsid w:val="007B1509"/>
    <w:rsid w:val="007B16A7"/>
    <w:rsid w:val="007B2ED1"/>
    <w:rsid w:val="007B31B3"/>
    <w:rsid w:val="007B6304"/>
    <w:rsid w:val="007C0993"/>
    <w:rsid w:val="007C1F94"/>
    <w:rsid w:val="007C479A"/>
    <w:rsid w:val="007C5CF1"/>
    <w:rsid w:val="007C6371"/>
    <w:rsid w:val="007C768B"/>
    <w:rsid w:val="007D0737"/>
    <w:rsid w:val="007D1ADF"/>
    <w:rsid w:val="007D2991"/>
    <w:rsid w:val="007D3DDC"/>
    <w:rsid w:val="007E1806"/>
    <w:rsid w:val="007E1DB3"/>
    <w:rsid w:val="007E1ED8"/>
    <w:rsid w:val="007E61F0"/>
    <w:rsid w:val="007E62B0"/>
    <w:rsid w:val="007E65B4"/>
    <w:rsid w:val="007F3B53"/>
    <w:rsid w:val="007F5809"/>
    <w:rsid w:val="00800458"/>
    <w:rsid w:val="008005EC"/>
    <w:rsid w:val="00802A5F"/>
    <w:rsid w:val="008033ED"/>
    <w:rsid w:val="00803F83"/>
    <w:rsid w:val="008052B4"/>
    <w:rsid w:val="0080670E"/>
    <w:rsid w:val="00806DC6"/>
    <w:rsid w:val="008111C7"/>
    <w:rsid w:val="008132B7"/>
    <w:rsid w:val="00813989"/>
    <w:rsid w:val="00813FF2"/>
    <w:rsid w:val="00814A32"/>
    <w:rsid w:val="00814B25"/>
    <w:rsid w:val="008150B8"/>
    <w:rsid w:val="00816067"/>
    <w:rsid w:val="00820034"/>
    <w:rsid w:val="00820E13"/>
    <w:rsid w:val="008220E2"/>
    <w:rsid w:val="0082284C"/>
    <w:rsid w:val="00825611"/>
    <w:rsid w:val="00825827"/>
    <w:rsid w:val="00825C60"/>
    <w:rsid w:val="00825DF9"/>
    <w:rsid w:val="00826FCB"/>
    <w:rsid w:val="008303EF"/>
    <w:rsid w:val="00832D2A"/>
    <w:rsid w:val="00833385"/>
    <w:rsid w:val="00834334"/>
    <w:rsid w:val="00836EE3"/>
    <w:rsid w:val="00837A32"/>
    <w:rsid w:val="00840882"/>
    <w:rsid w:val="0084149F"/>
    <w:rsid w:val="00842F06"/>
    <w:rsid w:val="00843BDB"/>
    <w:rsid w:val="00843C56"/>
    <w:rsid w:val="008454A8"/>
    <w:rsid w:val="0084638C"/>
    <w:rsid w:val="008464FA"/>
    <w:rsid w:val="00847786"/>
    <w:rsid w:val="0085254E"/>
    <w:rsid w:val="00852D6B"/>
    <w:rsid w:val="008551DB"/>
    <w:rsid w:val="00856940"/>
    <w:rsid w:val="00861F6B"/>
    <w:rsid w:val="00867B3A"/>
    <w:rsid w:val="00867DAB"/>
    <w:rsid w:val="00870071"/>
    <w:rsid w:val="00873094"/>
    <w:rsid w:val="00877294"/>
    <w:rsid w:val="00881117"/>
    <w:rsid w:val="00883A1C"/>
    <w:rsid w:val="00885305"/>
    <w:rsid w:val="00885A73"/>
    <w:rsid w:val="008862C5"/>
    <w:rsid w:val="008865D8"/>
    <w:rsid w:val="0089576A"/>
    <w:rsid w:val="008A2428"/>
    <w:rsid w:val="008A2497"/>
    <w:rsid w:val="008A2776"/>
    <w:rsid w:val="008A3CD9"/>
    <w:rsid w:val="008A41CA"/>
    <w:rsid w:val="008A45D4"/>
    <w:rsid w:val="008A5A27"/>
    <w:rsid w:val="008B0BDB"/>
    <w:rsid w:val="008B3220"/>
    <w:rsid w:val="008B3CED"/>
    <w:rsid w:val="008B6C8B"/>
    <w:rsid w:val="008B6E23"/>
    <w:rsid w:val="008C173B"/>
    <w:rsid w:val="008C3EDE"/>
    <w:rsid w:val="008C5717"/>
    <w:rsid w:val="008C580B"/>
    <w:rsid w:val="008D02B6"/>
    <w:rsid w:val="008D0380"/>
    <w:rsid w:val="008D1D79"/>
    <w:rsid w:val="008D1DB6"/>
    <w:rsid w:val="008D5068"/>
    <w:rsid w:val="008E04E2"/>
    <w:rsid w:val="008E2D5E"/>
    <w:rsid w:val="008E3DC9"/>
    <w:rsid w:val="008E457F"/>
    <w:rsid w:val="008E743B"/>
    <w:rsid w:val="008F13A5"/>
    <w:rsid w:val="008F616F"/>
    <w:rsid w:val="00900AEA"/>
    <w:rsid w:val="009027FD"/>
    <w:rsid w:val="00907EB9"/>
    <w:rsid w:val="0091324F"/>
    <w:rsid w:val="009134C5"/>
    <w:rsid w:val="00914A99"/>
    <w:rsid w:val="00914AF2"/>
    <w:rsid w:val="009164C0"/>
    <w:rsid w:val="00925830"/>
    <w:rsid w:val="009267CF"/>
    <w:rsid w:val="00926926"/>
    <w:rsid w:val="009275EE"/>
    <w:rsid w:val="00933C98"/>
    <w:rsid w:val="00933F9E"/>
    <w:rsid w:val="00934466"/>
    <w:rsid w:val="00935070"/>
    <w:rsid w:val="00943226"/>
    <w:rsid w:val="00945DEC"/>
    <w:rsid w:val="009468BF"/>
    <w:rsid w:val="009535DB"/>
    <w:rsid w:val="00954FA1"/>
    <w:rsid w:val="009564B1"/>
    <w:rsid w:val="00957B4D"/>
    <w:rsid w:val="009613EA"/>
    <w:rsid w:val="00965557"/>
    <w:rsid w:val="00966650"/>
    <w:rsid w:val="009673E0"/>
    <w:rsid w:val="00970AAA"/>
    <w:rsid w:val="00971598"/>
    <w:rsid w:val="00971D09"/>
    <w:rsid w:val="00973155"/>
    <w:rsid w:val="009732E4"/>
    <w:rsid w:val="009747C3"/>
    <w:rsid w:val="009749C7"/>
    <w:rsid w:val="009759B1"/>
    <w:rsid w:val="00976A16"/>
    <w:rsid w:val="009811C5"/>
    <w:rsid w:val="00981B43"/>
    <w:rsid w:val="0098224A"/>
    <w:rsid w:val="00985C90"/>
    <w:rsid w:val="0098700C"/>
    <w:rsid w:val="00991250"/>
    <w:rsid w:val="009925C2"/>
    <w:rsid w:val="0099381D"/>
    <w:rsid w:val="00995910"/>
    <w:rsid w:val="00997043"/>
    <w:rsid w:val="009A157B"/>
    <w:rsid w:val="009A1994"/>
    <w:rsid w:val="009B19E6"/>
    <w:rsid w:val="009B552C"/>
    <w:rsid w:val="009B765C"/>
    <w:rsid w:val="009C084D"/>
    <w:rsid w:val="009C0A4A"/>
    <w:rsid w:val="009C3C30"/>
    <w:rsid w:val="009C64A2"/>
    <w:rsid w:val="009D095E"/>
    <w:rsid w:val="009D3B4D"/>
    <w:rsid w:val="009D61F2"/>
    <w:rsid w:val="009D715D"/>
    <w:rsid w:val="009E28F5"/>
    <w:rsid w:val="009E2FDE"/>
    <w:rsid w:val="009E5547"/>
    <w:rsid w:val="009E55CA"/>
    <w:rsid w:val="009E6B56"/>
    <w:rsid w:val="009F3FA5"/>
    <w:rsid w:val="009F62ED"/>
    <w:rsid w:val="00A006CA"/>
    <w:rsid w:val="00A00819"/>
    <w:rsid w:val="00A01388"/>
    <w:rsid w:val="00A01ECA"/>
    <w:rsid w:val="00A04BF2"/>
    <w:rsid w:val="00A0710D"/>
    <w:rsid w:val="00A07B76"/>
    <w:rsid w:val="00A07C8D"/>
    <w:rsid w:val="00A11275"/>
    <w:rsid w:val="00A1138A"/>
    <w:rsid w:val="00A13BEA"/>
    <w:rsid w:val="00A14B48"/>
    <w:rsid w:val="00A14CF6"/>
    <w:rsid w:val="00A205AD"/>
    <w:rsid w:val="00A22D57"/>
    <w:rsid w:val="00A24F8F"/>
    <w:rsid w:val="00A264BC"/>
    <w:rsid w:val="00A26C75"/>
    <w:rsid w:val="00A30416"/>
    <w:rsid w:val="00A323F8"/>
    <w:rsid w:val="00A32D28"/>
    <w:rsid w:val="00A32E83"/>
    <w:rsid w:val="00A341D7"/>
    <w:rsid w:val="00A3513F"/>
    <w:rsid w:val="00A36B4D"/>
    <w:rsid w:val="00A416D5"/>
    <w:rsid w:val="00A421E3"/>
    <w:rsid w:val="00A4242A"/>
    <w:rsid w:val="00A42B8D"/>
    <w:rsid w:val="00A43F60"/>
    <w:rsid w:val="00A444AF"/>
    <w:rsid w:val="00A45431"/>
    <w:rsid w:val="00A50270"/>
    <w:rsid w:val="00A50E04"/>
    <w:rsid w:val="00A519F9"/>
    <w:rsid w:val="00A53891"/>
    <w:rsid w:val="00A54190"/>
    <w:rsid w:val="00A63083"/>
    <w:rsid w:val="00A63A51"/>
    <w:rsid w:val="00A65ADE"/>
    <w:rsid w:val="00A67E24"/>
    <w:rsid w:val="00A70F09"/>
    <w:rsid w:val="00A7111A"/>
    <w:rsid w:val="00A727C2"/>
    <w:rsid w:val="00A74B1A"/>
    <w:rsid w:val="00A855B9"/>
    <w:rsid w:val="00A85CDE"/>
    <w:rsid w:val="00A8707C"/>
    <w:rsid w:val="00A927D4"/>
    <w:rsid w:val="00A9588A"/>
    <w:rsid w:val="00A95AEF"/>
    <w:rsid w:val="00A9739C"/>
    <w:rsid w:val="00AA06DD"/>
    <w:rsid w:val="00AA2654"/>
    <w:rsid w:val="00AA2DF0"/>
    <w:rsid w:val="00AB1570"/>
    <w:rsid w:val="00AB1C46"/>
    <w:rsid w:val="00AB5A5D"/>
    <w:rsid w:val="00AB704F"/>
    <w:rsid w:val="00AC3AD8"/>
    <w:rsid w:val="00AC42FB"/>
    <w:rsid w:val="00AC60DE"/>
    <w:rsid w:val="00AC767A"/>
    <w:rsid w:val="00AD0A3D"/>
    <w:rsid w:val="00AD201C"/>
    <w:rsid w:val="00AD5E69"/>
    <w:rsid w:val="00AD7891"/>
    <w:rsid w:val="00AE4962"/>
    <w:rsid w:val="00AE5566"/>
    <w:rsid w:val="00AE66AC"/>
    <w:rsid w:val="00AF50CE"/>
    <w:rsid w:val="00AF6FD9"/>
    <w:rsid w:val="00AF7041"/>
    <w:rsid w:val="00AF7CC4"/>
    <w:rsid w:val="00B02BFF"/>
    <w:rsid w:val="00B03B48"/>
    <w:rsid w:val="00B04502"/>
    <w:rsid w:val="00B0679F"/>
    <w:rsid w:val="00B06C7A"/>
    <w:rsid w:val="00B07271"/>
    <w:rsid w:val="00B10327"/>
    <w:rsid w:val="00B13971"/>
    <w:rsid w:val="00B142B7"/>
    <w:rsid w:val="00B158B5"/>
    <w:rsid w:val="00B15D24"/>
    <w:rsid w:val="00B173D3"/>
    <w:rsid w:val="00B178E0"/>
    <w:rsid w:val="00B20A05"/>
    <w:rsid w:val="00B20D38"/>
    <w:rsid w:val="00B21B8D"/>
    <w:rsid w:val="00B23BF6"/>
    <w:rsid w:val="00B24B4F"/>
    <w:rsid w:val="00B24EBF"/>
    <w:rsid w:val="00B255C5"/>
    <w:rsid w:val="00B30468"/>
    <w:rsid w:val="00B312A1"/>
    <w:rsid w:val="00B33086"/>
    <w:rsid w:val="00B33BFE"/>
    <w:rsid w:val="00B35A22"/>
    <w:rsid w:val="00B36365"/>
    <w:rsid w:val="00B36649"/>
    <w:rsid w:val="00B3677F"/>
    <w:rsid w:val="00B372BA"/>
    <w:rsid w:val="00B37E99"/>
    <w:rsid w:val="00B418D9"/>
    <w:rsid w:val="00B43295"/>
    <w:rsid w:val="00B44BEE"/>
    <w:rsid w:val="00B47BFD"/>
    <w:rsid w:val="00B507A2"/>
    <w:rsid w:val="00B507E0"/>
    <w:rsid w:val="00B50908"/>
    <w:rsid w:val="00B524EB"/>
    <w:rsid w:val="00B544A8"/>
    <w:rsid w:val="00B54C53"/>
    <w:rsid w:val="00B61EF2"/>
    <w:rsid w:val="00B6208F"/>
    <w:rsid w:val="00B63B9D"/>
    <w:rsid w:val="00B65CF9"/>
    <w:rsid w:val="00B718E5"/>
    <w:rsid w:val="00B7393A"/>
    <w:rsid w:val="00B757FF"/>
    <w:rsid w:val="00B77D03"/>
    <w:rsid w:val="00B77E5A"/>
    <w:rsid w:val="00B8187E"/>
    <w:rsid w:val="00B9328E"/>
    <w:rsid w:val="00B96479"/>
    <w:rsid w:val="00BA4A19"/>
    <w:rsid w:val="00BA54C2"/>
    <w:rsid w:val="00BA5E73"/>
    <w:rsid w:val="00BA6A08"/>
    <w:rsid w:val="00BA7F92"/>
    <w:rsid w:val="00BB4D7E"/>
    <w:rsid w:val="00BB6B91"/>
    <w:rsid w:val="00BB7558"/>
    <w:rsid w:val="00BC035C"/>
    <w:rsid w:val="00BC2E4A"/>
    <w:rsid w:val="00BC3F1E"/>
    <w:rsid w:val="00BC6A18"/>
    <w:rsid w:val="00BC7491"/>
    <w:rsid w:val="00BD03CA"/>
    <w:rsid w:val="00BD0751"/>
    <w:rsid w:val="00BD1A15"/>
    <w:rsid w:val="00BD2168"/>
    <w:rsid w:val="00BD2CCE"/>
    <w:rsid w:val="00BD3656"/>
    <w:rsid w:val="00BD38FF"/>
    <w:rsid w:val="00BD59C2"/>
    <w:rsid w:val="00BD6CE5"/>
    <w:rsid w:val="00BE21FE"/>
    <w:rsid w:val="00BE2C46"/>
    <w:rsid w:val="00BE510F"/>
    <w:rsid w:val="00BE56D2"/>
    <w:rsid w:val="00BE5BC9"/>
    <w:rsid w:val="00BE73BB"/>
    <w:rsid w:val="00BF2F31"/>
    <w:rsid w:val="00BF31F4"/>
    <w:rsid w:val="00BF46EB"/>
    <w:rsid w:val="00C01BB3"/>
    <w:rsid w:val="00C03AB6"/>
    <w:rsid w:val="00C12CA1"/>
    <w:rsid w:val="00C1501F"/>
    <w:rsid w:val="00C15619"/>
    <w:rsid w:val="00C2087B"/>
    <w:rsid w:val="00C20EB1"/>
    <w:rsid w:val="00C21B2C"/>
    <w:rsid w:val="00C21BBD"/>
    <w:rsid w:val="00C24BDF"/>
    <w:rsid w:val="00C24FF1"/>
    <w:rsid w:val="00C25589"/>
    <w:rsid w:val="00C2649F"/>
    <w:rsid w:val="00C26830"/>
    <w:rsid w:val="00C27B64"/>
    <w:rsid w:val="00C27EDA"/>
    <w:rsid w:val="00C325F5"/>
    <w:rsid w:val="00C33C6D"/>
    <w:rsid w:val="00C34E05"/>
    <w:rsid w:val="00C36B40"/>
    <w:rsid w:val="00C36E80"/>
    <w:rsid w:val="00C37691"/>
    <w:rsid w:val="00C42C5B"/>
    <w:rsid w:val="00C433EE"/>
    <w:rsid w:val="00C47C89"/>
    <w:rsid w:val="00C54FE9"/>
    <w:rsid w:val="00C55EA8"/>
    <w:rsid w:val="00C57052"/>
    <w:rsid w:val="00C60A73"/>
    <w:rsid w:val="00C61860"/>
    <w:rsid w:val="00C6301B"/>
    <w:rsid w:val="00C635E7"/>
    <w:rsid w:val="00C63851"/>
    <w:rsid w:val="00C6521C"/>
    <w:rsid w:val="00C66A21"/>
    <w:rsid w:val="00C7384E"/>
    <w:rsid w:val="00C759AC"/>
    <w:rsid w:val="00C76F64"/>
    <w:rsid w:val="00C77CCC"/>
    <w:rsid w:val="00C87B3F"/>
    <w:rsid w:val="00C91924"/>
    <w:rsid w:val="00C93E28"/>
    <w:rsid w:val="00C94AD5"/>
    <w:rsid w:val="00CA0E94"/>
    <w:rsid w:val="00CA27CD"/>
    <w:rsid w:val="00CA33E8"/>
    <w:rsid w:val="00CA79F1"/>
    <w:rsid w:val="00CB0E0F"/>
    <w:rsid w:val="00CB1DC6"/>
    <w:rsid w:val="00CB346A"/>
    <w:rsid w:val="00CB3CB6"/>
    <w:rsid w:val="00CB4F57"/>
    <w:rsid w:val="00CB52A1"/>
    <w:rsid w:val="00CC0025"/>
    <w:rsid w:val="00CC2F90"/>
    <w:rsid w:val="00CC3E53"/>
    <w:rsid w:val="00CC4046"/>
    <w:rsid w:val="00CC537C"/>
    <w:rsid w:val="00CC6BBE"/>
    <w:rsid w:val="00CD0FA2"/>
    <w:rsid w:val="00CD3358"/>
    <w:rsid w:val="00CD4003"/>
    <w:rsid w:val="00CD69D7"/>
    <w:rsid w:val="00CD7E75"/>
    <w:rsid w:val="00CE0A55"/>
    <w:rsid w:val="00CE2639"/>
    <w:rsid w:val="00CE2D72"/>
    <w:rsid w:val="00CE5B6B"/>
    <w:rsid w:val="00CE5D14"/>
    <w:rsid w:val="00CF04CD"/>
    <w:rsid w:val="00CF07BB"/>
    <w:rsid w:val="00CF084C"/>
    <w:rsid w:val="00CF16E1"/>
    <w:rsid w:val="00CF6524"/>
    <w:rsid w:val="00D02601"/>
    <w:rsid w:val="00D02B2A"/>
    <w:rsid w:val="00D0324E"/>
    <w:rsid w:val="00D04320"/>
    <w:rsid w:val="00D04933"/>
    <w:rsid w:val="00D05308"/>
    <w:rsid w:val="00D071E2"/>
    <w:rsid w:val="00D12A6E"/>
    <w:rsid w:val="00D12D13"/>
    <w:rsid w:val="00D170BA"/>
    <w:rsid w:val="00D1720C"/>
    <w:rsid w:val="00D20D7D"/>
    <w:rsid w:val="00D20F60"/>
    <w:rsid w:val="00D21B7A"/>
    <w:rsid w:val="00D23C23"/>
    <w:rsid w:val="00D25FCB"/>
    <w:rsid w:val="00D311B5"/>
    <w:rsid w:val="00D3273B"/>
    <w:rsid w:val="00D3381E"/>
    <w:rsid w:val="00D33AF3"/>
    <w:rsid w:val="00D33D0C"/>
    <w:rsid w:val="00D34E72"/>
    <w:rsid w:val="00D366DF"/>
    <w:rsid w:val="00D4083B"/>
    <w:rsid w:val="00D41396"/>
    <w:rsid w:val="00D453EC"/>
    <w:rsid w:val="00D46B91"/>
    <w:rsid w:val="00D5108D"/>
    <w:rsid w:val="00D51277"/>
    <w:rsid w:val="00D544A1"/>
    <w:rsid w:val="00D5740D"/>
    <w:rsid w:val="00D60B6B"/>
    <w:rsid w:val="00D6194F"/>
    <w:rsid w:val="00D62D5A"/>
    <w:rsid w:val="00D62D61"/>
    <w:rsid w:val="00D653A8"/>
    <w:rsid w:val="00D7166A"/>
    <w:rsid w:val="00D71A86"/>
    <w:rsid w:val="00D71B0F"/>
    <w:rsid w:val="00D7361D"/>
    <w:rsid w:val="00D74E3D"/>
    <w:rsid w:val="00D750C3"/>
    <w:rsid w:val="00D77418"/>
    <w:rsid w:val="00D804B4"/>
    <w:rsid w:val="00D81DBF"/>
    <w:rsid w:val="00D82809"/>
    <w:rsid w:val="00D83CB6"/>
    <w:rsid w:val="00D8455D"/>
    <w:rsid w:val="00D85918"/>
    <w:rsid w:val="00D85956"/>
    <w:rsid w:val="00D85D04"/>
    <w:rsid w:val="00D8772D"/>
    <w:rsid w:val="00D87C4A"/>
    <w:rsid w:val="00D90062"/>
    <w:rsid w:val="00D90556"/>
    <w:rsid w:val="00D92898"/>
    <w:rsid w:val="00D92D54"/>
    <w:rsid w:val="00D94EC1"/>
    <w:rsid w:val="00D9524A"/>
    <w:rsid w:val="00D97B78"/>
    <w:rsid w:val="00DA3496"/>
    <w:rsid w:val="00DA3A04"/>
    <w:rsid w:val="00DA5843"/>
    <w:rsid w:val="00DB0A95"/>
    <w:rsid w:val="00DB0E31"/>
    <w:rsid w:val="00DC33D1"/>
    <w:rsid w:val="00DC57EA"/>
    <w:rsid w:val="00DC693C"/>
    <w:rsid w:val="00DC77EC"/>
    <w:rsid w:val="00DD001D"/>
    <w:rsid w:val="00DD6655"/>
    <w:rsid w:val="00DD6CB7"/>
    <w:rsid w:val="00DE1670"/>
    <w:rsid w:val="00DE6EBD"/>
    <w:rsid w:val="00DE7DE1"/>
    <w:rsid w:val="00DF5D0C"/>
    <w:rsid w:val="00DF647C"/>
    <w:rsid w:val="00DF66C4"/>
    <w:rsid w:val="00DF79BF"/>
    <w:rsid w:val="00E020D6"/>
    <w:rsid w:val="00E026FF"/>
    <w:rsid w:val="00E055F0"/>
    <w:rsid w:val="00E06938"/>
    <w:rsid w:val="00E06EE9"/>
    <w:rsid w:val="00E07190"/>
    <w:rsid w:val="00E10557"/>
    <w:rsid w:val="00E1142A"/>
    <w:rsid w:val="00E13EF8"/>
    <w:rsid w:val="00E161C3"/>
    <w:rsid w:val="00E1648F"/>
    <w:rsid w:val="00E16742"/>
    <w:rsid w:val="00E1745B"/>
    <w:rsid w:val="00E17C01"/>
    <w:rsid w:val="00E17D90"/>
    <w:rsid w:val="00E20D0A"/>
    <w:rsid w:val="00E22F49"/>
    <w:rsid w:val="00E2336E"/>
    <w:rsid w:val="00E24AA1"/>
    <w:rsid w:val="00E26B56"/>
    <w:rsid w:val="00E27D54"/>
    <w:rsid w:val="00E326A8"/>
    <w:rsid w:val="00E34907"/>
    <w:rsid w:val="00E3580A"/>
    <w:rsid w:val="00E368CC"/>
    <w:rsid w:val="00E41FA8"/>
    <w:rsid w:val="00E43273"/>
    <w:rsid w:val="00E43408"/>
    <w:rsid w:val="00E464A0"/>
    <w:rsid w:val="00E47A0D"/>
    <w:rsid w:val="00E50554"/>
    <w:rsid w:val="00E51A8B"/>
    <w:rsid w:val="00E5283C"/>
    <w:rsid w:val="00E54497"/>
    <w:rsid w:val="00E55804"/>
    <w:rsid w:val="00E56DB5"/>
    <w:rsid w:val="00E57971"/>
    <w:rsid w:val="00E60EFD"/>
    <w:rsid w:val="00E62454"/>
    <w:rsid w:val="00E62466"/>
    <w:rsid w:val="00E6336B"/>
    <w:rsid w:val="00E634AA"/>
    <w:rsid w:val="00E642AE"/>
    <w:rsid w:val="00E6497A"/>
    <w:rsid w:val="00E72862"/>
    <w:rsid w:val="00E72F41"/>
    <w:rsid w:val="00E765E7"/>
    <w:rsid w:val="00E7751B"/>
    <w:rsid w:val="00E8035C"/>
    <w:rsid w:val="00E80DBE"/>
    <w:rsid w:val="00E822AE"/>
    <w:rsid w:val="00E8239D"/>
    <w:rsid w:val="00E83098"/>
    <w:rsid w:val="00E866DE"/>
    <w:rsid w:val="00E9042A"/>
    <w:rsid w:val="00E906BF"/>
    <w:rsid w:val="00E90C93"/>
    <w:rsid w:val="00E92E7C"/>
    <w:rsid w:val="00E93DEB"/>
    <w:rsid w:val="00E94CE0"/>
    <w:rsid w:val="00E95EB2"/>
    <w:rsid w:val="00E96F52"/>
    <w:rsid w:val="00EA1DEE"/>
    <w:rsid w:val="00EA3E3A"/>
    <w:rsid w:val="00EA4CD1"/>
    <w:rsid w:val="00EA5CC8"/>
    <w:rsid w:val="00EA68D3"/>
    <w:rsid w:val="00EB2098"/>
    <w:rsid w:val="00EB5D4B"/>
    <w:rsid w:val="00EB6B81"/>
    <w:rsid w:val="00EC4688"/>
    <w:rsid w:val="00EC5621"/>
    <w:rsid w:val="00EC6A0E"/>
    <w:rsid w:val="00EC767D"/>
    <w:rsid w:val="00ED106E"/>
    <w:rsid w:val="00ED2FE6"/>
    <w:rsid w:val="00ED40A5"/>
    <w:rsid w:val="00ED4530"/>
    <w:rsid w:val="00ED5367"/>
    <w:rsid w:val="00ED5E39"/>
    <w:rsid w:val="00ED61F8"/>
    <w:rsid w:val="00ED65D8"/>
    <w:rsid w:val="00EE21B0"/>
    <w:rsid w:val="00EE22A8"/>
    <w:rsid w:val="00EE4DF0"/>
    <w:rsid w:val="00EE7F72"/>
    <w:rsid w:val="00EE7F8C"/>
    <w:rsid w:val="00EF0E5B"/>
    <w:rsid w:val="00EF3CE7"/>
    <w:rsid w:val="00EF3E1A"/>
    <w:rsid w:val="00EF4B4E"/>
    <w:rsid w:val="00EF5EE6"/>
    <w:rsid w:val="00EF6DB8"/>
    <w:rsid w:val="00EF6EAD"/>
    <w:rsid w:val="00F00970"/>
    <w:rsid w:val="00F011EF"/>
    <w:rsid w:val="00F01B66"/>
    <w:rsid w:val="00F03B6F"/>
    <w:rsid w:val="00F04C67"/>
    <w:rsid w:val="00F069E3"/>
    <w:rsid w:val="00F07396"/>
    <w:rsid w:val="00F12F0E"/>
    <w:rsid w:val="00F13030"/>
    <w:rsid w:val="00F14ACF"/>
    <w:rsid w:val="00F1531A"/>
    <w:rsid w:val="00F16C15"/>
    <w:rsid w:val="00F20102"/>
    <w:rsid w:val="00F209F8"/>
    <w:rsid w:val="00F20DB9"/>
    <w:rsid w:val="00F220F7"/>
    <w:rsid w:val="00F22F58"/>
    <w:rsid w:val="00F254C2"/>
    <w:rsid w:val="00F31117"/>
    <w:rsid w:val="00F31326"/>
    <w:rsid w:val="00F3465E"/>
    <w:rsid w:val="00F42641"/>
    <w:rsid w:val="00F426D8"/>
    <w:rsid w:val="00F42736"/>
    <w:rsid w:val="00F4422A"/>
    <w:rsid w:val="00F45E23"/>
    <w:rsid w:val="00F478E7"/>
    <w:rsid w:val="00F5253F"/>
    <w:rsid w:val="00F539C7"/>
    <w:rsid w:val="00F544F0"/>
    <w:rsid w:val="00F54622"/>
    <w:rsid w:val="00F554CF"/>
    <w:rsid w:val="00F61250"/>
    <w:rsid w:val="00F62519"/>
    <w:rsid w:val="00F63891"/>
    <w:rsid w:val="00F659BB"/>
    <w:rsid w:val="00F6610E"/>
    <w:rsid w:val="00F672A4"/>
    <w:rsid w:val="00F71310"/>
    <w:rsid w:val="00F72AEE"/>
    <w:rsid w:val="00F72DB5"/>
    <w:rsid w:val="00F73836"/>
    <w:rsid w:val="00F74496"/>
    <w:rsid w:val="00F75775"/>
    <w:rsid w:val="00F75C62"/>
    <w:rsid w:val="00F76029"/>
    <w:rsid w:val="00F7652D"/>
    <w:rsid w:val="00F82C5E"/>
    <w:rsid w:val="00F86193"/>
    <w:rsid w:val="00F90E06"/>
    <w:rsid w:val="00F90F15"/>
    <w:rsid w:val="00F91D41"/>
    <w:rsid w:val="00F92DC9"/>
    <w:rsid w:val="00F96ECC"/>
    <w:rsid w:val="00F97D86"/>
    <w:rsid w:val="00FA3CF6"/>
    <w:rsid w:val="00FA3EB0"/>
    <w:rsid w:val="00FA5672"/>
    <w:rsid w:val="00FA6F32"/>
    <w:rsid w:val="00FB1851"/>
    <w:rsid w:val="00FB20EE"/>
    <w:rsid w:val="00FB48B4"/>
    <w:rsid w:val="00FB6737"/>
    <w:rsid w:val="00FC2065"/>
    <w:rsid w:val="00FC5E90"/>
    <w:rsid w:val="00FC675E"/>
    <w:rsid w:val="00FC6849"/>
    <w:rsid w:val="00FC7E66"/>
    <w:rsid w:val="00FD1B41"/>
    <w:rsid w:val="00FD1FB5"/>
    <w:rsid w:val="00FD3884"/>
    <w:rsid w:val="00FD6C87"/>
    <w:rsid w:val="00FD7BDD"/>
    <w:rsid w:val="00FE2322"/>
    <w:rsid w:val="00FE3702"/>
    <w:rsid w:val="00FE384C"/>
    <w:rsid w:val="00FE44CE"/>
    <w:rsid w:val="00FF3021"/>
    <w:rsid w:val="00FF581E"/>
    <w:rsid w:val="00FF7EFC"/>
    <w:rsid w:val="016CA41E"/>
    <w:rsid w:val="03F34DCD"/>
    <w:rsid w:val="04B7E966"/>
    <w:rsid w:val="06057355"/>
    <w:rsid w:val="069C8565"/>
    <w:rsid w:val="09C442DB"/>
    <w:rsid w:val="0A64FB36"/>
    <w:rsid w:val="0F8ECD83"/>
    <w:rsid w:val="24A0FF3C"/>
    <w:rsid w:val="2D5AB859"/>
    <w:rsid w:val="2EE27D57"/>
    <w:rsid w:val="2FA949CC"/>
    <w:rsid w:val="31A66340"/>
    <w:rsid w:val="37253BD0"/>
    <w:rsid w:val="3ECAA780"/>
    <w:rsid w:val="3F3EF8D6"/>
    <w:rsid w:val="43E90AE3"/>
    <w:rsid w:val="497783AF"/>
    <w:rsid w:val="54F87947"/>
    <w:rsid w:val="5738DA93"/>
    <w:rsid w:val="57DD4242"/>
    <w:rsid w:val="59AC3AB0"/>
    <w:rsid w:val="67C4B82B"/>
    <w:rsid w:val="6F6B6A3F"/>
    <w:rsid w:val="70D4A823"/>
    <w:rsid w:val="74DD9C89"/>
    <w:rsid w:val="799D080A"/>
    <w:rsid w:val="7E81EC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BFCA8"/>
  <w15:chartTrackingRefBased/>
  <w15:docId w15:val="{77734C26-5BB6-4C5D-8B99-BF52B9A8F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semiHidden/>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16"/>
      </w:numPr>
      <w:spacing w:before="240" w:after="20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1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tabs>
        <w:tab w:val="num" w:pos="532"/>
      </w:tabs>
      <w:spacing w:before="0" w:after="240" w:line="260" w:lineRule="exact"/>
      <w:ind w:left="532" w:hanging="284"/>
    </w:pPr>
  </w:style>
  <w:style w:type="paragraph" w:customStyle="1" w:styleId="DiagramHeading">
    <w:name w:val="Diagram Heading"/>
    <w:basedOn w:val="TableHeading"/>
    <w:next w:val="Normalparatextnonumbers"/>
    <w:uiPriority w:val="1"/>
    <w:rsid w:val="00CB4F57"/>
    <w:pPr>
      <w:numPr>
        <w:ilvl w:val="2"/>
      </w:numPr>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1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semiHidden/>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CommentReference">
    <w:name w:val="annotation reference"/>
    <w:basedOn w:val="DefaultParagraphFont"/>
    <w:uiPriority w:val="99"/>
    <w:semiHidden/>
    <w:unhideWhenUsed/>
    <w:rsid w:val="001B7AA8"/>
    <w:rPr>
      <w:sz w:val="16"/>
      <w:szCs w:val="16"/>
    </w:rPr>
  </w:style>
  <w:style w:type="paragraph" w:styleId="CommentText">
    <w:name w:val="annotation text"/>
    <w:basedOn w:val="Normal"/>
    <w:link w:val="CommentTextChar"/>
    <w:uiPriority w:val="99"/>
    <w:semiHidden/>
    <w:unhideWhenUsed/>
    <w:rsid w:val="001B7AA8"/>
    <w:rPr>
      <w:sz w:val="20"/>
      <w:szCs w:val="20"/>
    </w:rPr>
  </w:style>
  <w:style w:type="character" w:customStyle="1" w:styleId="CommentTextChar">
    <w:name w:val="Comment Text Char"/>
    <w:basedOn w:val="DefaultParagraphFont"/>
    <w:link w:val="CommentText"/>
    <w:uiPriority w:val="99"/>
    <w:semiHidden/>
    <w:rsid w:val="001B7AA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B7AA8"/>
    <w:rPr>
      <w:b/>
      <w:bCs/>
    </w:rPr>
  </w:style>
  <w:style w:type="character" w:customStyle="1" w:styleId="CommentSubjectChar">
    <w:name w:val="Comment Subject Char"/>
    <w:basedOn w:val="CommentTextChar"/>
    <w:link w:val="CommentSubject"/>
    <w:uiPriority w:val="99"/>
    <w:semiHidden/>
    <w:rsid w:val="001B7AA8"/>
    <w:rPr>
      <w:rFonts w:ascii="Times New Roman" w:hAnsi="Times New Roman"/>
      <w:b/>
      <w:bCs/>
      <w:sz w:val="20"/>
      <w:szCs w:val="20"/>
    </w:rPr>
  </w:style>
  <w:style w:type="paragraph" w:customStyle="1" w:styleId="OutlineNumbered1">
    <w:name w:val="Outline Numbered 1"/>
    <w:basedOn w:val="Normal"/>
    <w:link w:val="OutlineNumbered1Char"/>
    <w:rsid w:val="006B45AD"/>
    <w:pPr>
      <w:numPr>
        <w:numId w:val="25"/>
      </w:numPr>
      <w:spacing w:before="0" w:after="160" w:line="259" w:lineRule="auto"/>
    </w:pPr>
    <w:rPr>
      <w:rFonts w:eastAsia="Times New Roman" w:cs="Times New Roman"/>
      <w:color w:val="000000"/>
      <w:sz w:val="27"/>
      <w:szCs w:val="27"/>
      <w:lang w:eastAsia="en-AU"/>
    </w:rPr>
  </w:style>
  <w:style w:type="character" w:customStyle="1" w:styleId="OutlineNumbered1Char">
    <w:name w:val="Outline Numbered 1 Char"/>
    <w:basedOn w:val="DefaultParagraphFont"/>
    <w:link w:val="OutlineNumbered1"/>
    <w:rsid w:val="006B45AD"/>
    <w:rPr>
      <w:rFonts w:ascii="Times New Roman" w:eastAsia="Times New Roman" w:hAnsi="Times New Roman" w:cs="Times New Roman"/>
      <w:color w:val="000000"/>
      <w:sz w:val="27"/>
      <w:szCs w:val="27"/>
      <w:lang w:eastAsia="en-AU"/>
    </w:rPr>
  </w:style>
  <w:style w:type="paragraph" w:customStyle="1" w:styleId="OutlineNumbered2">
    <w:name w:val="Outline Numbered 2"/>
    <w:basedOn w:val="Normal"/>
    <w:rsid w:val="006B45AD"/>
    <w:pPr>
      <w:numPr>
        <w:ilvl w:val="1"/>
        <w:numId w:val="25"/>
      </w:numPr>
      <w:spacing w:before="0" w:after="160" w:line="259" w:lineRule="auto"/>
    </w:pPr>
    <w:rPr>
      <w:rFonts w:eastAsia="Times New Roman" w:cs="Times New Roman"/>
      <w:color w:val="000000"/>
      <w:sz w:val="27"/>
      <w:szCs w:val="27"/>
      <w:lang w:eastAsia="en-AU"/>
    </w:rPr>
  </w:style>
  <w:style w:type="paragraph" w:customStyle="1" w:styleId="OutlineNumbered3">
    <w:name w:val="Outline Numbered 3"/>
    <w:basedOn w:val="Normal"/>
    <w:rsid w:val="006B45AD"/>
    <w:pPr>
      <w:numPr>
        <w:ilvl w:val="2"/>
        <w:numId w:val="25"/>
      </w:numPr>
      <w:spacing w:before="0" w:after="160" w:line="259" w:lineRule="auto"/>
    </w:pPr>
    <w:rPr>
      <w:rFonts w:eastAsia="Times New Roman" w:cs="Times New Roman"/>
      <w:color w:val="000000"/>
      <w:sz w:val="27"/>
      <w:szCs w:val="27"/>
      <w:lang w:eastAsia="en-AU"/>
    </w:rPr>
  </w:style>
  <w:style w:type="character" w:styleId="Mention">
    <w:name w:val="Mention"/>
    <w:basedOn w:val="DefaultParagraphFont"/>
    <w:uiPriority w:val="99"/>
    <w:unhideWhenUsed/>
    <w:rsid w:val="004975DF"/>
    <w:rPr>
      <w:color w:val="2B579A"/>
      <w:shd w:val="clear" w:color="auto" w:fill="E1DFDD"/>
    </w:rPr>
  </w:style>
  <w:style w:type="paragraph" w:styleId="ListParagraph">
    <w:name w:val="List Paragraph"/>
    <w:basedOn w:val="Normal"/>
    <w:uiPriority w:val="34"/>
    <w:qFormat/>
    <w:rsid w:val="004866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5D7SUYYWNZQE-534668864-511</_dlc_DocId>
    <_dlc_DocIdUrl xmlns="fe39d773-a83d-4623-ae74-f25711a76616">
      <Url>https://austreasury.sharepoint.com/sites/leg-meas-function/_layouts/15/DocIdRedir.aspx?ID=5D7SUYYWNZQE-534668864-511</Url>
      <Description>5D7SUYYWNZQE-534668864-511</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Corporations Law</TermName>
          <TermId xmlns="http://schemas.microsoft.com/office/infopath/2007/PartnerControls">272b01ba-7d50-447b-a0f2-c5e953189886</TermId>
        </TermInfo>
      </Terms>
    </gfba5f33532c49208d2320ce38cc3c2b>
    <TaxCatchAll xmlns="ff38c824-6e29-4496-8487-69f397e7ed29">
      <Value>90</Value>
      <Value>153</Value>
      <Value>1</Value>
      <Value>28</Value>
    </TaxCatchAll>
    <DocumentSetDescription xmlns="http://schemas.microsoft.com/sharepoint/v3" xsi:nil="true"/>
    <Measureorigin xmlns="a289cb20-8bb9-401f-8d7b-706fb1a2988d" xsi:nil="true"/>
    <PT_x002f_Measure_x0020_No. xmlns="ff38c824-6e29-4496-8487-69f397e7ed29">TSY/47/0230</PT_x002f_Measure_x0020_No.>
    <Keydoc xmlns="a289cb20-8bb9-401f-8d7b-706fb1a2988d" xsi:nil="true"/>
    <Act_x0028_s_x0029_beingamended xmlns="a289cb20-8bb9-401f-8d7b-706fb1a2988d" xsi:nil="true"/>
    <Projectname xmlns="a289cb20-8bb9-401f-8d7b-706fb1a2988d" xsi:nil="true"/>
    <lcf76f155ced4ddcb4097134ff3c332f xmlns="711cae7b-6aad-42ec-aab5-74a6a5e6e0f9">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510DD124D63B648A29B58B4B94F8BAB" ma:contentTypeVersion="29" ma:contentTypeDescription="Create a new document." ma:contentTypeScope="" ma:versionID="caa4b57127ea7c4357eb5d8c48ca448c">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711cae7b-6aad-42ec-aab5-74a6a5e6e0f9" targetNamespace="http://schemas.microsoft.com/office/2006/metadata/properties" ma:root="true" ma:fieldsID="d9096b12b4b93bbeca2b7fa0381cc775" ns1:_="" ns2:_="" ns3:_="" ns4:_="" ns5:_="">
    <xsd:import namespace="http://schemas.microsoft.com/sharepoint/v3"/>
    <xsd:import namespace="ff38c824-6e29-4496-8487-69f397e7ed29"/>
    <xsd:import namespace="fe39d773-a83d-4623-ae74-f25711a76616"/>
    <xsd:import namespace="a289cb20-8bb9-401f-8d7b-706fb1a2988d"/>
    <xsd:import namespace="711cae7b-6aad-42ec-aab5-74a6a5e6e0f9"/>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element ref="ns5:MediaServiceObjectDetectorVersions" minOccurs="0"/>
                <xsd:element ref="ns5:lcf76f155ced4ddcb4097134ff3c332f"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cae7b-6aad-42ec-aab5-74a6a5e6e0f9" elementFormDefault="qualified">
    <xsd:import namespace="http://schemas.microsoft.com/office/2006/documentManagement/types"/>
    <xsd:import namespace="http://schemas.microsoft.com/office/infopath/2007/PartnerControls"/>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2.xml><?xml version="1.0" encoding="utf-8"?>
<ds:datastoreItem xmlns:ds="http://schemas.openxmlformats.org/officeDocument/2006/customXml" ds:itemID="{803A0CDC-C784-412C-965F-5B95A8D2B3A1}">
  <ds:schemaRefs>
    <ds:schemaRef ds:uri="http://schemas.microsoft.com/sharepoint/events"/>
  </ds:schemaRefs>
</ds:datastoreItem>
</file>

<file path=customXml/itemProps3.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4.xml><?xml version="1.0" encoding="utf-8"?>
<ds:datastoreItem xmlns:ds="http://schemas.openxmlformats.org/officeDocument/2006/customXml" ds:itemID="{6AB365E2-A817-49FA-9295-CAB62986032D}">
  <ds:schemaRefs>
    <ds:schemaRef ds:uri="http://purl.org/dc/dcmitype/"/>
    <ds:schemaRef ds:uri="http://schemas.microsoft.com/office/2006/documentManagement/types"/>
    <ds:schemaRef ds:uri="http://purl.org/dc/terms/"/>
    <ds:schemaRef ds:uri="http://purl.org/dc/elements/1.1/"/>
    <ds:schemaRef ds:uri="711cae7b-6aad-42ec-aab5-74a6a5e6e0f9"/>
    <ds:schemaRef ds:uri="ff38c824-6e29-4496-8487-69f397e7ed29"/>
    <ds:schemaRef ds:uri="http://schemas.microsoft.com/sharepoint/v3"/>
    <ds:schemaRef ds:uri="http://schemas.microsoft.com/office/infopath/2007/PartnerControls"/>
    <ds:schemaRef ds:uri="http://schemas.openxmlformats.org/package/2006/metadata/core-properties"/>
    <ds:schemaRef ds:uri="a289cb20-8bb9-401f-8d7b-706fb1a2988d"/>
    <ds:schemaRef ds:uri="fe39d773-a83d-4623-ae74-f25711a76616"/>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38BC4150-904B-49F3-8050-3243958A3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711cae7b-6aad-42ec-aab5-74a6a5e6e0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Pri-EM.dotx</Template>
  <TotalTime>1</TotalTime>
  <Pages>13</Pages>
  <Words>2627</Words>
  <Characters>13754</Characters>
  <Application>Microsoft Office Word</Application>
  <DocSecurity>0</DocSecurity>
  <Lines>312</Lines>
  <Paragraphs>101</Paragraphs>
  <ScaleCrop>false</ScaleCrop>
  <HeadingPairs>
    <vt:vector size="2" baseType="variant">
      <vt:variant>
        <vt:lpstr>Title</vt:lpstr>
      </vt:variant>
      <vt:variant>
        <vt:i4>1</vt:i4>
      </vt:variant>
    </vt:vector>
  </HeadingPairs>
  <TitlesOfParts>
    <vt:vector size="1" baseType="lpstr">
      <vt:lpstr>Explanatory materials: Treasury Laws Amendment (Measures for Consultation) Bill 2023: Miscellaneous and technical amendments—Spring 2023</vt:lpstr>
    </vt:vector>
  </TitlesOfParts>
  <Company/>
  <LinksUpToDate>false</LinksUpToDate>
  <CharactersWithSpaces>16346</CharactersWithSpaces>
  <SharedDoc>false</SharedDoc>
  <HLinks>
    <vt:vector size="108" baseType="variant">
      <vt:variant>
        <vt:i4>720987</vt:i4>
      </vt:variant>
      <vt:variant>
        <vt:i4>147</vt:i4>
      </vt:variant>
      <vt:variant>
        <vt:i4>0</vt:i4>
      </vt:variant>
      <vt:variant>
        <vt:i4>5</vt:i4>
      </vt:variant>
      <vt:variant>
        <vt:lpwstr>https://www.ag.gov.au/rights-and-protections/human-rights-and-anti-discrimination/human-rights-scrutiny/public-sector-guidance-sheets</vt:lpwstr>
      </vt:variant>
      <vt:variant>
        <vt:lpwstr/>
      </vt:variant>
      <vt:variant>
        <vt:i4>2359344</vt:i4>
      </vt:variant>
      <vt:variant>
        <vt:i4>144</vt:i4>
      </vt:variant>
      <vt:variant>
        <vt:i4>0</vt:i4>
      </vt:variant>
      <vt:variant>
        <vt:i4>5</vt:i4>
      </vt:variant>
      <vt:variant>
        <vt:lpwstr>https://www.ag.gov.au/rights-and-protections/human-rights-and-anti-discrimination/human-rights-scrutiny/tools-assessing-compatibility-human-rights</vt:lpwstr>
      </vt:variant>
      <vt:variant>
        <vt:lpwstr/>
      </vt:variant>
      <vt:variant>
        <vt:i4>2621502</vt:i4>
      </vt:variant>
      <vt:variant>
        <vt:i4>141</vt:i4>
      </vt:variant>
      <vt:variant>
        <vt:i4>0</vt:i4>
      </vt:variant>
      <vt:variant>
        <vt:i4>5</vt:i4>
      </vt:variant>
      <vt:variant>
        <vt:lpwstr>https://www.aph.gov.au/-/media/Committees/Senate/committee/humanrights_ctte/guidance_notes/guidance_note_2/guidance_note_2.pdf?la=en&amp;hash=7D924E6F330668005C288BCDCDAC6ADE1719502D</vt:lpwstr>
      </vt:variant>
      <vt:variant>
        <vt:lpwstr/>
      </vt:variant>
      <vt:variant>
        <vt:i4>2818108</vt:i4>
      </vt:variant>
      <vt:variant>
        <vt:i4>138</vt:i4>
      </vt:variant>
      <vt:variant>
        <vt:i4>0</vt:i4>
      </vt:variant>
      <vt:variant>
        <vt:i4>5</vt:i4>
      </vt:variant>
      <vt:variant>
        <vt:lpwstr>https://www.aph.gov.au/-/media/Committees/Senate/committee/humanrights_ctte/guidance_notes/guidance_note_1/01_Guidance_Note.pdf?la=en&amp;hash=4CE0BFF2F3CA3C32EAD58AD932DB73E89494455D</vt:lpwstr>
      </vt:variant>
      <vt:variant>
        <vt:lpwstr/>
      </vt:variant>
      <vt:variant>
        <vt:i4>5308456</vt:i4>
      </vt:variant>
      <vt:variant>
        <vt:i4>135</vt:i4>
      </vt:variant>
      <vt:variant>
        <vt:i4>0</vt:i4>
      </vt:variant>
      <vt:variant>
        <vt:i4>5</vt:i4>
      </vt:variant>
      <vt:variant>
        <vt:lpwstr>https://www.aph.gov.au/Parliamentary_Business/Committees/Joint/Human_Rights/Guidance_Notes_and_Resources</vt:lpwstr>
      </vt:variant>
      <vt:variant>
        <vt:lpwstr/>
      </vt:variant>
      <vt:variant>
        <vt:i4>5308456</vt:i4>
      </vt:variant>
      <vt:variant>
        <vt:i4>132</vt:i4>
      </vt:variant>
      <vt:variant>
        <vt:i4>0</vt:i4>
      </vt:variant>
      <vt:variant>
        <vt:i4>5</vt:i4>
      </vt:variant>
      <vt:variant>
        <vt:lpwstr>https://www.aph.gov.au/Parliamentary_Business/Committees/Joint/Human_Rights/Guidance_Notes_and_Resources</vt:lpwstr>
      </vt:variant>
      <vt:variant>
        <vt:lpwstr/>
      </vt:variant>
      <vt:variant>
        <vt:i4>4456526</vt:i4>
      </vt:variant>
      <vt:variant>
        <vt:i4>120</vt:i4>
      </vt:variant>
      <vt:variant>
        <vt:i4>0</vt:i4>
      </vt:variant>
      <vt:variant>
        <vt:i4>5</vt:i4>
      </vt:variant>
      <vt:variant>
        <vt:lpwstr>https://connectonline.asic.gov.au/RegistrySearch/faces/landing/bn/SearchBnRegisters.jspx?_adf.ctrl-state=127wl9zvyc_4</vt:lpwstr>
      </vt:variant>
      <vt:variant>
        <vt:lpwstr/>
      </vt:variant>
      <vt:variant>
        <vt:i4>1179696</vt:i4>
      </vt:variant>
      <vt:variant>
        <vt:i4>117</vt:i4>
      </vt:variant>
      <vt:variant>
        <vt:i4>0</vt:i4>
      </vt:variant>
      <vt:variant>
        <vt:i4>5</vt:i4>
      </vt:variant>
      <vt:variant>
        <vt:lpwstr>http://intra/corporate/legislation_management/em-style-guide</vt:lpwstr>
      </vt:variant>
      <vt:variant>
        <vt:lpwstr/>
      </vt:variant>
      <vt:variant>
        <vt:i4>1179696</vt:i4>
      </vt:variant>
      <vt:variant>
        <vt:i4>114</vt:i4>
      </vt:variant>
      <vt:variant>
        <vt:i4>0</vt:i4>
      </vt:variant>
      <vt:variant>
        <vt:i4>5</vt:i4>
      </vt:variant>
      <vt:variant>
        <vt:lpwstr>http://intra/corporate/legislation_management/em-style-guide</vt:lpwstr>
      </vt:variant>
      <vt:variant>
        <vt:lpwstr/>
      </vt:variant>
      <vt:variant>
        <vt:i4>1179696</vt:i4>
      </vt:variant>
      <vt:variant>
        <vt:i4>111</vt:i4>
      </vt:variant>
      <vt:variant>
        <vt:i4>0</vt:i4>
      </vt:variant>
      <vt:variant>
        <vt:i4>5</vt:i4>
      </vt:variant>
      <vt:variant>
        <vt:lpwstr>http://intra/corporate/legislation_management/em-style-guide</vt:lpwstr>
      </vt:variant>
      <vt:variant>
        <vt:lpwstr/>
      </vt:variant>
      <vt:variant>
        <vt:i4>1179696</vt:i4>
      </vt:variant>
      <vt:variant>
        <vt:i4>108</vt:i4>
      </vt:variant>
      <vt:variant>
        <vt:i4>0</vt:i4>
      </vt:variant>
      <vt:variant>
        <vt:i4>5</vt:i4>
      </vt:variant>
      <vt:variant>
        <vt:lpwstr>http://intra/corporate/legislation_management/em-style-guide</vt:lpwstr>
      </vt:variant>
      <vt:variant>
        <vt:lpwstr/>
      </vt:variant>
      <vt:variant>
        <vt:i4>1179696</vt:i4>
      </vt:variant>
      <vt:variant>
        <vt:i4>15</vt:i4>
      </vt:variant>
      <vt:variant>
        <vt:i4>0</vt:i4>
      </vt:variant>
      <vt:variant>
        <vt:i4>5</vt:i4>
      </vt:variant>
      <vt:variant>
        <vt:lpwstr>http://intra/corporate/legislation_management/em-style-guide</vt:lpwstr>
      </vt:variant>
      <vt:variant>
        <vt:lpwstr/>
      </vt:variant>
      <vt:variant>
        <vt:i4>1179696</vt:i4>
      </vt:variant>
      <vt:variant>
        <vt:i4>12</vt:i4>
      </vt:variant>
      <vt:variant>
        <vt:i4>0</vt:i4>
      </vt:variant>
      <vt:variant>
        <vt:i4>5</vt:i4>
      </vt:variant>
      <vt:variant>
        <vt:lpwstr>http://intra/corporate/legislation_management/em-style-guide</vt:lpwstr>
      </vt:variant>
      <vt:variant>
        <vt:lpwstr/>
      </vt:variant>
      <vt:variant>
        <vt:i4>1179696</vt:i4>
      </vt:variant>
      <vt:variant>
        <vt:i4>9</vt:i4>
      </vt:variant>
      <vt:variant>
        <vt:i4>0</vt:i4>
      </vt:variant>
      <vt:variant>
        <vt:i4>5</vt:i4>
      </vt:variant>
      <vt:variant>
        <vt:lpwstr>http://intra/corporate/legislation_management/em-style-guide</vt:lpwstr>
      </vt:variant>
      <vt:variant>
        <vt:lpwstr/>
      </vt:variant>
      <vt:variant>
        <vt:i4>1179696</vt:i4>
      </vt:variant>
      <vt:variant>
        <vt:i4>6</vt:i4>
      </vt:variant>
      <vt:variant>
        <vt:i4>0</vt:i4>
      </vt:variant>
      <vt:variant>
        <vt:i4>5</vt:i4>
      </vt:variant>
      <vt:variant>
        <vt:lpwstr>http://intra/corporate/legislation_management/em-style-guide</vt:lpwstr>
      </vt:variant>
      <vt:variant>
        <vt:lpwstr/>
      </vt:variant>
      <vt:variant>
        <vt:i4>4456470</vt:i4>
      </vt:variant>
      <vt:variant>
        <vt:i4>3</vt:i4>
      </vt:variant>
      <vt:variant>
        <vt:i4>0</vt:i4>
      </vt:variant>
      <vt:variant>
        <vt:i4>5</vt:i4>
      </vt:variant>
      <vt:variant>
        <vt:lpwstr>https://pmc.gov.au/sites/default/files/publications/legislation-handbook-2017.pdf</vt:lpwstr>
      </vt:variant>
      <vt:variant>
        <vt:lpwstr/>
      </vt:variant>
      <vt:variant>
        <vt:i4>1179696</vt:i4>
      </vt:variant>
      <vt:variant>
        <vt:i4>0</vt:i4>
      </vt:variant>
      <vt:variant>
        <vt:i4>0</vt:i4>
      </vt:variant>
      <vt:variant>
        <vt:i4>5</vt:i4>
      </vt:variant>
      <vt:variant>
        <vt:lpwstr>http://intra/corporate/legislation_management/em-style-guide</vt:lpwstr>
      </vt:variant>
      <vt:variant>
        <vt:lpwstr/>
      </vt:variant>
      <vt:variant>
        <vt:i4>7536660</vt:i4>
      </vt:variant>
      <vt:variant>
        <vt:i4>0</vt:i4>
      </vt:variant>
      <vt:variant>
        <vt:i4>0</vt:i4>
      </vt:variant>
      <vt:variant>
        <vt:i4>5</vt:i4>
      </vt:variant>
      <vt:variant>
        <vt:lpwstr>mailto:Cameron.Anderson-Smith@TREASURY.GOV.AU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Treasury Laws Amendment (Measures for Consultation) Bill 2023: Miscellaneous and technical amendments—Spring 2023</dc:title>
  <dc:subject/>
  <dc:creator>Australian Government</dc:creator>
  <cp:keywords/>
  <dc:description/>
  <cp:lastModifiedBy>van der Hoeven, Megan</cp:lastModifiedBy>
  <cp:revision>2</cp:revision>
  <cp:lastPrinted>2023-07-24T03:09:00Z</cp:lastPrinted>
  <dcterms:created xsi:type="dcterms:W3CDTF">2023-07-27T00:06:00Z</dcterms:created>
  <dcterms:modified xsi:type="dcterms:W3CDTF">2023-07-27T00:06:00Z</dcterms:modified>
</cp:coreProperties>
</file>