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E8E0" w14:textId="77777777" w:rsidR="00182C38" w:rsidRPr="00875146" w:rsidRDefault="00182C38" w:rsidP="00182C38">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182C38" w:rsidRPr="00875146" w14:paraId="2A592209" w14:textId="77777777" w:rsidTr="00824498">
        <w:tc>
          <w:tcPr>
            <w:tcW w:w="10246" w:type="dxa"/>
            <w:gridSpan w:val="2"/>
            <w:shd w:val="clear" w:color="auto" w:fill="E2EFD9" w:themeFill="accent6" w:themeFillTint="33"/>
          </w:tcPr>
          <w:p w14:paraId="5846AC9F" w14:textId="523ED736" w:rsidR="00182C38" w:rsidRPr="00875146" w:rsidRDefault="00182C38" w:rsidP="00824498">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C61698">
              <w:rPr>
                <w:rFonts w:asciiTheme="minorHAnsi" w:hAnsiTheme="minorHAnsi" w:cstheme="minorHAnsi"/>
                <w:b/>
                <w:color w:val="auto"/>
              </w:rPr>
              <w:t>O</w:t>
            </w:r>
            <w:r w:rsidRPr="00875146">
              <w:rPr>
                <w:rFonts w:asciiTheme="minorHAnsi" w:hAnsiTheme="minorHAnsi" w:cstheme="minorHAnsi"/>
                <w:b/>
                <w:color w:val="auto"/>
              </w:rPr>
              <w:t>peration of schedule</w:t>
            </w:r>
          </w:p>
        </w:tc>
      </w:tr>
      <w:tr w:rsidR="00182C38" w:rsidRPr="00875146" w14:paraId="073DB722" w14:textId="77777777" w:rsidTr="00824498">
        <w:trPr>
          <w:trHeight w:val="573"/>
        </w:trPr>
        <w:tc>
          <w:tcPr>
            <w:tcW w:w="1946" w:type="dxa"/>
            <w:shd w:val="clear" w:color="auto" w:fill="auto"/>
          </w:tcPr>
          <w:p w14:paraId="387B77AE" w14:textId="7777777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73AB21D4" w14:textId="7777777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Commonwealth</w:t>
            </w:r>
            <w:r>
              <w:rPr>
                <w:rFonts w:asciiTheme="minorHAnsi" w:hAnsiTheme="minorHAnsi" w:cstheme="minorHAnsi"/>
                <w:color w:val="auto"/>
              </w:rPr>
              <w:t xml:space="preserve"> and all states and territories.</w:t>
            </w:r>
          </w:p>
        </w:tc>
      </w:tr>
      <w:tr w:rsidR="00182C38" w:rsidRPr="00875146" w14:paraId="746DD292" w14:textId="77777777" w:rsidTr="00824498">
        <w:tc>
          <w:tcPr>
            <w:tcW w:w="1946" w:type="dxa"/>
            <w:shd w:val="clear" w:color="auto" w:fill="auto"/>
          </w:tcPr>
          <w:p w14:paraId="65A7433B" w14:textId="7777777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5CCB0AE5" w14:textId="4FD3013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This Schedule is expected to expire on 30 June 20</w:t>
            </w:r>
            <w:r w:rsidR="00C61698">
              <w:rPr>
                <w:rFonts w:asciiTheme="minorHAnsi" w:hAnsiTheme="minorHAnsi" w:cstheme="minorHAnsi"/>
                <w:color w:val="auto"/>
              </w:rPr>
              <w:t>29</w:t>
            </w:r>
            <w:r w:rsidRPr="00875146">
              <w:rPr>
                <w:rFonts w:asciiTheme="minorHAnsi" w:hAnsiTheme="minorHAnsi" w:cstheme="minorHAnsi"/>
                <w:color w:val="auto"/>
              </w:rPr>
              <w:t>.</w:t>
            </w:r>
          </w:p>
        </w:tc>
      </w:tr>
      <w:tr w:rsidR="00182C38" w:rsidRPr="00875146" w14:paraId="3627ABC3" w14:textId="77777777" w:rsidTr="00824498">
        <w:tc>
          <w:tcPr>
            <w:tcW w:w="1946" w:type="dxa"/>
            <w:shd w:val="clear" w:color="auto" w:fill="auto"/>
          </w:tcPr>
          <w:p w14:paraId="34343402" w14:textId="7777777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51BC0C10" w14:textId="77777777" w:rsidR="00182C38" w:rsidRPr="00875146" w:rsidRDefault="00182C38" w:rsidP="00824498">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Pr>
                <w:rFonts w:asciiTheme="minorHAnsi" w:hAnsiTheme="minorHAnsi" w:cstheme="minorHAnsi"/>
                <w:color w:val="auto"/>
              </w:rPr>
              <w:t xml:space="preserve">e </w:t>
            </w:r>
            <w:r w:rsidRPr="00875146">
              <w:rPr>
                <w:rFonts w:asciiTheme="minorHAnsi" w:hAnsiTheme="minorHAnsi" w:cstheme="minorHAnsi"/>
                <w:color w:val="auto"/>
              </w:rPr>
              <w:t>delivery of the National Housing Accord.</w:t>
            </w:r>
          </w:p>
        </w:tc>
      </w:tr>
    </w:tbl>
    <w:p w14:paraId="2AF52B89" w14:textId="77777777" w:rsidR="00182C38" w:rsidRDefault="00182C38" w:rsidP="00182C38"/>
    <w:p w14:paraId="1A93FC7D" w14:textId="77777777" w:rsidR="00182C38" w:rsidRDefault="00182C38" w:rsidP="00182C38">
      <w:pPr>
        <w:rPr>
          <w:b/>
          <w:bCs/>
        </w:rPr>
      </w:pPr>
    </w:p>
    <w:p w14:paraId="5B4B9D19" w14:textId="055DFBA1" w:rsidR="00182C38" w:rsidRDefault="00182C38">
      <w:pPr>
        <w:widowControl/>
        <w:spacing w:after="160" w:line="259" w:lineRule="auto"/>
      </w:pPr>
      <w:r>
        <w:br w:type="page"/>
      </w:r>
    </w:p>
    <w:p w14:paraId="77EA4BC8" w14:textId="77777777" w:rsidR="006F679E" w:rsidRDefault="006F679E" w:rsidP="0028063E">
      <w:pPr>
        <w:sectPr w:rsidR="006F679E">
          <w:pgSz w:w="12240" w:h="15840"/>
          <w:pgMar w:top="1440" w:right="1440" w:bottom="1440" w:left="1440" w:header="720" w:footer="720" w:gutter="0"/>
          <w:cols w:space="720"/>
          <w:docGrid w:linePitch="360"/>
        </w:sectPr>
      </w:pPr>
    </w:p>
    <w:tbl>
      <w:tblPr>
        <w:tblW w:w="5209"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CellMar>
          <w:left w:w="0" w:type="dxa"/>
          <w:right w:w="28" w:type="dxa"/>
        </w:tblCellMar>
        <w:tblLook w:val="04A0" w:firstRow="1" w:lastRow="0" w:firstColumn="1" w:lastColumn="0" w:noHBand="0" w:noVBand="1"/>
      </w:tblPr>
      <w:tblGrid>
        <w:gridCol w:w="4334"/>
        <w:gridCol w:w="7367"/>
        <w:gridCol w:w="1780"/>
      </w:tblGrid>
      <w:tr w:rsidR="002C750E" w:rsidRPr="00875146" w14:paraId="3EAF9BA0" w14:textId="77777777" w:rsidTr="00824498">
        <w:tc>
          <w:tcPr>
            <w:tcW w:w="14521" w:type="dxa"/>
            <w:gridSpan w:val="3"/>
            <w:shd w:val="clear" w:color="auto" w:fill="E2EFD9" w:themeFill="accent6" w:themeFillTint="33"/>
          </w:tcPr>
          <w:p w14:paraId="3094272C" w14:textId="77777777" w:rsidR="002C750E" w:rsidRPr="00875146" w:rsidRDefault="002C750E" w:rsidP="00824498">
            <w:pPr>
              <w:pStyle w:val="Tableformat"/>
              <w:ind w:left="127" w:right="114"/>
              <w:rPr>
                <w:rFonts w:asciiTheme="minorHAnsi" w:hAnsiTheme="minorHAnsi" w:cstheme="minorHAnsi"/>
                <w:b/>
                <w:color w:val="auto"/>
              </w:rPr>
            </w:pPr>
            <w:r w:rsidRPr="042C60F2">
              <w:rPr>
                <w:rFonts w:asciiTheme="minorHAnsi" w:hAnsiTheme="minorHAnsi" w:cstheme="minorBidi"/>
                <w:b/>
                <w:bCs/>
                <w:color w:val="auto"/>
              </w:rPr>
              <w:lastRenderedPageBreak/>
              <w:t xml:space="preserve">Table 2: </w:t>
            </w:r>
            <w:r w:rsidRPr="00875146">
              <w:rPr>
                <w:rFonts w:asciiTheme="minorHAnsi" w:hAnsiTheme="minorHAnsi" w:cstheme="minorHAnsi"/>
                <w:b/>
                <w:color w:val="auto"/>
              </w:rPr>
              <w:t xml:space="preserve">Commonwealth </w:t>
            </w:r>
            <w:r>
              <w:rPr>
                <w:rFonts w:asciiTheme="minorHAnsi" w:hAnsiTheme="minorHAnsi" w:cstheme="minorHAnsi"/>
                <w:b/>
                <w:color w:val="auto"/>
              </w:rPr>
              <w:t>– as at November 2023</w:t>
            </w:r>
          </w:p>
        </w:tc>
      </w:tr>
      <w:tr w:rsidR="002C750E" w:rsidRPr="00875146" w14:paraId="57A1A600" w14:textId="77777777" w:rsidTr="00824498">
        <w:tc>
          <w:tcPr>
            <w:tcW w:w="4668" w:type="dxa"/>
            <w:shd w:val="clear" w:color="auto" w:fill="F2F2F2" w:themeFill="background1" w:themeFillShade="F2"/>
          </w:tcPr>
          <w:p w14:paraId="71F21E64" w14:textId="77777777" w:rsidR="002C750E" w:rsidRPr="00875146" w:rsidRDefault="002C750E" w:rsidP="00824498">
            <w:pPr>
              <w:pStyle w:val="Tableformat"/>
              <w:ind w:left="127" w:right="114"/>
              <w:rPr>
                <w:rFonts w:asciiTheme="minorHAnsi" w:hAnsiTheme="minorHAnsi" w:cstheme="minorHAnsi"/>
                <w:b/>
                <w:color w:val="auto"/>
              </w:rPr>
            </w:pPr>
            <w:r>
              <w:rPr>
                <w:rFonts w:asciiTheme="minorHAnsi" w:hAnsiTheme="minorHAnsi" w:cstheme="minorHAnsi"/>
                <w:b/>
                <w:color w:val="auto"/>
              </w:rPr>
              <w:t>Commonwealth commitments/ outputs</w:t>
            </w:r>
          </w:p>
        </w:tc>
        <w:tc>
          <w:tcPr>
            <w:tcW w:w="7938" w:type="dxa"/>
            <w:shd w:val="clear" w:color="auto" w:fill="F2F2F2" w:themeFill="background1" w:themeFillShade="F2"/>
          </w:tcPr>
          <w:p w14:paraId="7084D74A" w14:textId="77777777" w:rsidR="002C750E" w:rsidRPr="00875146" w:rsidRDefault="002C750E" w:rsidP="00824498">
            <w:pPr>
              <w:pStyle w:val="Tableformat"/>
              <w:ind w:left="127" w:right="114"/>
              <w:rPr>
                <w:rFonts w:asciiTheme="minorHAnsi" w:hAnsiTheme="minorHAnsi" w:cstheme="minorHAnsi"/>
                <w:b/>
                <w:color w:val="auto"/>
              </w:rPr>
            </w:pPr>
            <w:r w:rsidRPr="00875146">
              <w:rPr>
                <w:rFonts w:asciiTheme="minorHAnsi" w:hAnsiTheme="minorHAnsi" w:cstheme="minorHAnsi"/>
                <w:b/>
                <w:color w:val="auto"/>
              </w:rPr>
              <w:t>Delivery mechanisms</w:t>
            </w:r>
          </w:p>
        </w:tc>
        <w:tc>
          <w:tcPr>
            <w:tcW w:w="1915" w:type="dxa"/>
            <w:shd w:val="clear" w:color="auto" w:fill="F2F2F2" w:themeFill="background1" w:themeFillShade="F2"/>
          </w:tcPr>
          <w:p w14:paraId="3344208E" w14:textId="77777777" w:rsidR="002C750E" w:rsidRPr="00875146" w:rsidRDefault="002C750E" w:rsidP="00824498">
            <w:pPr>
              <w:pStyle w:val="Tableformat"/>
              <w:ind w:left="127" w:right="114"/>
              <w:rPr>
                <w:rFonts w:asciiTheme="minorHAnsi" w:hAnsiTheme="minorHAnsi" w:cstheme="minorHAnsi"/>
                <w:b/>
                <w:color w:val="auto"/>
              </w:rPr>
            </w:pPr>
            <w:r w:rsidRPr="00875146">
              <w:rPr>
                <w:rFonts w:asciiTheme="minorHAnsi" w:hAnsiTheme="minorHAnsi" w:cstheme="minorHAnsi"/>
                <w:b/>
                <w:color w:val="auto"/>
              </w:rPr>
              <w:t>Timeframes</w:t>
            </w:r>
          </w:p>
        </w:tc>
      </w:tr>
      <w:tr w:rsidR="002C750E" w:rsidRPr="001612CB" w14:paraId="584A8079" w14:textId="77777777" w:rsidTr="00824498">
        <w:trPr>
          <w:trHeight w:val="443"/>
        </w:trPr>
        <w:tc>
          <w:tcPr>
            <w:tcW w:w="14521" w:type="dxa"/>
            <w:gridSpan w:val="3"/>
          </w:tcPr>
          <w:p w14:paraId="6F6A339A" w14:textId="77777777" w:rsidR="002C750E" w:rsidRPr="001612CB" w:rsidRDefault="002C750E" w:rsidP="00824498">
            <w:pPr>
              <w:pStyle w:val="Milestonetable"/>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Delivering more</w:t>
            </w:r>
            <w:r w:rsidRPr="001612CB">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social and </w:t>
            </w:r>
            <w:r w:rsidRPr="001612CB">
              <w:rPr>
                <w:rFonts w:asciiTheme="minorHAnsi" w:hAnsiTheme="minorHAnsi" w:cstheme="minorHAnsi"/>
                <w:b/>
                <w:bCs/>
                <w:color w:val="auto"/>
                <w:sz w:val="22"/>
                <w:szCs w:val="22"/>
              </w:rPr>
              <w:t>affordable ho</w:t>
            </w:r>
            <w:r>
              <w:rPr>
                <w:rFonts w:asciiTheme="minorHAnsi" w:hAnsiTheme="minorHAnsi" w:cstheme="minorHAnsi"/>
                <w:b/>
                <w:bCs/>
                <w:color w:val="auto"/>
                <w:sz w:val="22"/>
                <w:szCs w:val="22"/>
              </w:rPr>
              <w:t>using</w:t>
            </w:r>
          </w:p>
        </w:tc>
      </w:tr>
      <w:tr w:rsidR="002C750E" w:rsidRPr="008D73D7" w14:paraId="6037E90D" w14:textId="77777777" w:rsidTr="00824498">
        <w:trPr>
          <w:trHeight w:val="1150"/>
        </w:trPr>
        <w:tc>
          <w:tcPr>
            <w:tcW w:w="4668" w:type="dxa"/>
          </w:tcPr>
          <w:p w14:paraId="3D2F8098" w14:textId="77777777" w:rsidR="002C750E" w:rsidRPr="008D73D7" w:rsidRDefault="002C750E" w:rsidP="00824498">
            <w:pPr>
              <w:pStyle w:val="Milestonetable"/>
              <w:ind w:left="127"/>
              <w:rPr>
                <w:rFonts w:asciiTheme="minorHAnsi" w:hAnsiTheme="minorHAnsi" w:cstheme="minorHAnsi"/>
                <w:color w:val="auto"/>
                <w:sz w:val="22"/>
                <w:szCs w:val="22"/>
              </w:rPr>
            </w:pPr>
            <w:r w:rsidRPr="008D73D7">
              <w:rPr>
                <w:rFonts w:asciiTheme="minorHAnsi" w:hAnsiTheme="minorHAnsi" w:cstheme="minorHAnsi"/>
                <w:color w:val="auto"/>
                <w:sz w:val="22"/>
                <w:szCs w:val="22"/>
              </w:rPr>
              <w:t>Provide a one-off $2 billion payment to states and territories through the Social Housing Accelerator payment to deliver a permanent increase in the stock of social housing.</w:t>
            </w:r>
          </w:p>
        </w:tc>
        <w:tc>
          <w:tcPr>
            <w:tcW w:w="7938" w:type="dxa"/>
            <w:shd w:val="clear" w:color="auto" w:fill="auto"/>
          </w:tcPr>
          <w:p w14:paraId="62650A81" w14:textId="77777777" w:rsidR="002C750E" w:rsidRPr="008D73D7" w:rsidRDefault="002C750E" w:rsidP="00824498">
            <w:pPr>
              <w:pStyle w:val="Milestonetable"/>
              <w:ind w:left="127" w:right="251"/>
              <w:rPr>
                <w:rFonts w:asciiTheme="minorHAnsi" w:hAnsiTheme="minorHAnsi" w:cstheme="minorBidi"/>
                <w:color w:val="auto"/>
                <w:sz w:val="22"/>
                <w:szCs w:val="22"/>
              </w:rPr>
            </w:pPr>
            <w:r w:rsidRPr="0896CE8D">
              <w:rPr>
                <w:rFonts w:asciiTheme="minorHAnsi" w:hAnsiTheme="minorHAnsi" w:cstheme="minorBidi"/>
                <w:color w:val="auto"/>
                <w:sz w:val="22"/>
                <w:szCs w:val="22"/>
              </w:rPr>
              <w:t xml:space="preserve">The Social Housing Accelerator payment was provided to states and territories in June 2023. States and territories’ implementation plans are due to the Commonwealth by 30 September 2023 outlining existing social housing commitments and detailing proposed new investments under the payment. Starting February 2024, states and territories will need to report on a six-monthly basis until August 2028 on progress under the payment including social dwelling built and committed, changes to social housing waitlist and progress on planning and zoning reforms under the Accord. </w:t>
            </w:r>
          </w:p>
        </w:tc>
        <w:tc>
          <w:tcPr>
            <w:tcW w:w="1915" w:type="dxa"/>
            <w:shd w:val="clear" w:color="auto" w:fill="auto"/>
          </w:tcPr>
          <w:p w14:paraId="5950D50C" w14:textId="77777777" w:rsidR="002C750E" w:rsidRPr="008D73D7" w:rsidRDefault="002C750E" w:rsidP="00824498">
            <w:pPr>
              <w:pStyle w:val="Milestonetable"/>
              <w:jc w:val="right"/>
              <w:rPr>
                <w:rFonts w:asciiTheme="minorHAnsi" w:hAnsiTheme="minorHAnsi" w:cstheme="minorHAnsi"/>
                <w:color w:val="auto"/>
                <w:sz w:val="22"/>
                <w:szCs w:val="22"/>
              </w:rPr>
            </w:pPr>
            <w:r w:rsidRPr="008D73D7">
              <w:rPr>
                <w:rFonts w:asciiTheme="minorHAnsi" w:hAnsiTheme="minorHAnsi" w:cstheme="minorHAnsi"/>
                <w:color w:val="auto"/>
                <w:sz w:val="22"/>
                <w:szCs w:val="22"/>
              </w:rPr>
              <w:t xml:space="preserve">Money paid to the states and territories </w:t>
            </w:r>
            <w:r>
              <w:rPr>
                <w:rFonts w:asciiTheme="minorHAnsi" w:hAnsiTheme="minorHAnsi" w:cstheme="minorHAnsi"/>
                <w:color w:val="auto"/>
                <w:sz w:val="22"/>
                <w:szCs w:val="22"/>
              </w:rPr>
              <w:t>in</w:t>
            </w:r>
            <w:r w:rsidRPr="008D73D7">
              <w:rPr>
                <w:rFonts w:asciiTheme="minorHAnsi" w:hAnsiTheme="minorHAnsi" w:cstheme="minorHAnsi"/>
                <w:color w:val="auto"/>
                <w:sz w:val="22"/>
                <w:szCs w:val="22"/>
              </w:rPr>
              <w:t xml:space="preserve"> June 2023</w:t>
            </w:r>
          </w:p>
          <w:p w14:paraId="0D0A1391" w14:textId="77777777" w:rsidR="002C750E" w:rsidRPr="008D73D7" w:rsidRDefault="002C750E" w:rsidP="00824498">
            <w:pPr>
              <w:pStyle w:val="Milestonetable"/>
              <w:jc w:val="right"/>
              <w:rPr>
                <w:rFonts w:asciiTheme="minorHAnsi" w:hAnsiTheme="minorHAnsi" w:cstheme="minorHAnsi"/>
                <w:color w:val="auto"/>
                <w:sz w:val="22"/>
                <w:szCs w:val="22"/>
              </w:rPr>
            </w:pPr>
            <w:r w:rsidRPr="008D73D7">
              <w:rPr>
                <w:rFonts w:asciiTheme="minorHAnsi" w:hAnsiTheme="minorHAnsi" w:cstheme="minorHAnsi"/>
                <w:color w:val="auto"/>
                <w:sz w:val="22"/>
                <w:szCs w:val="22"/>
              </w:rPr>
              <w:t>States and territories to fully commit the funding by 30 June 2025</w:t>
            </w:r>
            <w:r>
              <w:rPr>
                <w:rFonts w:asciiTheme="minorHAnsi" w:hAnsiTheme="minorHAnsi" w:cstheme="minorHAnsi"/>
                <w:color w:val="auto"/>
                <w:sz w:val="22"/>
                <w:szCs w:val="22"/>
              </w:rPr>
              <w:t>, with dwellings to be completed by 30 June 2028</w:t>
            </w:r>
          </w:p>
          <w:p w14:paraId="569D4BDC"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 xml:space="preserve">From February 2024, </w:t>
            </w:r>
            <w:proofErr w:type="gramStart"/>
            <w:r>
              <w:rPr>
                <w:rFonts w:asciiTheme="minorHAnsi" w:hAnsiTheme="minorHAnsi" w:cstheme="minorHAnsi"/>
                <w:color w:val="auto"/>
                <w:sz w:val="22"/>
                <w:szCs w:val="22"/>
              </w:rPr>
              <w:t>s</w:t>
            </w:r>
            <w:r w:rsidRPr="008D73D7">
              <w:rPr>
                <w:rFonts w:asciiTheme="minorHAnsi" w:hAnsiTheme="minorHAnsi" w:cstheme="minorHAnsi"/>
                <w:color w:val="auto"/>
                <w:sz w:val="22"/>
                <w:szCs w:val="22"/>
              </w:rPr>
              <w:t>tates</w:t>
            </w:r>
            <w:proofErr w:type="gramEnd"/>
            <w:r w:rsidRPr="008D73D7">
              <w:rPr>
                <w:rFonts w:asciiTheme="minorHAnsi" w:hAnsiTheme="minorHAnsi" w:cstheme="minorHAnsi"/>
                <w:color w:val="auto"/>
                <w:sz w:val="22"/>
                <w:szCs w:val="22"/>
              </w:rPr>
              <w:t xml:space="preserve"> and territories to provide six</w:t>
            </w:r>
            <w:r>
              <w:rPr>
                <w:rFonts w:asciiTheme="minorHAnsi" w:hAnsiTheme="minorHAnsi" w:cstheme="minorHAnsi"/>
                <w:color w:val="auto"/>
                <w:sz w:val="22"/>
                <w:szCs w:val="22"/>
              </w:rPr>
              <w:t>-</w:t>
            </w:r>
            <w:r w:rsidRPr="008D73D7">
              <w:rPr>
                <w:rFonts w:asciiTheme="minorHAnsi" w:hAnsiTheme="minorHAnsi" w:cstheme="minorHAnsi"/>
                <w:color w:val="auto"/>
                <w:sz w:val="22"/>
                <w:szCs w:val="22"/>
              </w:rPr>
              <w:t>monthly reports on progress under the payment</w:t>
            </w:r>
          </w:p>
          <w:p w14:paraId="6B741AE0" w14:textId="77777777" w:rsidR="002C750E" w:rsidRPr="008D73D7"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Commonwealth to review the program in 2025 and 2028</w:t>
            </w:r>
          </w:p>
        </w:tc>
      </w:tr>
      <w:tr w:rsidR="002C750E" w:rsidRPr="00F71437" w14:paraId="350AC5EC" w14:textId="77777777" w:rsidTr="00824498">
        <w:trPr>
          <w:trHeight w:val="1150"/>
        </w:trPr>
        <w:tc>
          <w:tcPr>
            <w:tcW w:w="4668" w:type="dxa"/>
          </w:tcPr>
          <w:p w14:paraId="5BF4844B" w14:textId="6CE28992" w:rsidR="002C750E" w:rsidRDefault="002C750E" w:rsidP="00824498">
            <w:pPr>
              <w:pStyle w:val="Milestonetable"/>
              <w:ind w:left="127"/>
              <w:rPr>
                <w:rFonts w:asciiTheme="minorHAnsi" w:hAnsiTheme="minorHAnsi" w:cstheme="minorBidi"/>
                <w:color w:val="auto"/>
                <w:sz w:val="22"/>
                <w:szCs w:val="22"/>
              </w:rPr>
            </w:pPr>
            <w:r w:rsidRPr="41D75D73">
              <w:rPr>
                <w:rFonts w:asciiTheme="minorHAnsi" w:hAnsiTheme="minorHAnsi" w:cstheme="minorBidi"/>
                <w:color w:val="auto"/>
                <w:sz w:val="22"/>
                <w:szCs w:val="22"/>
              </w:rPr>
              <w:lastRenderedPageBreak/>
              <w:t>Provide $350 million over 5 years from 2024 to support an additional 10,000 affordable homes</w:t>
            </w:r>
            <w:r w:rsidR="00EB2730">
              <w:rPr>
                <w:rFonts w:asciiTheme="minorHAnsi" w:hAnsiTheme="minorHAnsi" w:cstheme="minorBidi"/>
                <w:color w:val="auto"/>
                <w:sz w:val="22"/>
                <w:szCs w:val="22"/>
              </w:rPr>
              <w:t>.</w:t>
            </w:r>
          </w:p>
          <w:p w14:paraId="4E8412A7" w14:textId="77777777" w:rsidR="002C750E" w:rsidRPr="00F71437" w:rsidRDefault="002C750E" w:rsidP="00824498">
            <w:pPr>
              <w:pStyle w:val="Milestonetable"/>
              <w:ind w:left="127"/>
              <w:rPr>
                <w:rFonts w:asciiTheme="minorHAnsi" w:hAnsiTheme="minorHAnsi" w:cstheme="minorHAnsi"/>
                <w:color w:val="auto"/>
                <w:sz w:val="22"/>
                <w:szCs w:val="22"/>
              </w:rPr>
            </w:pPr>
          </w:p>
        </w:tc>
        <w:tc>
          <w:tcPr>
            <w:tcW w:w="7938" w:type="dxa"/>
            <w:shd w:val="clear" w:color="auto" w:fill="auto"/>
          </w:tcPr>
          <w:p w14:paraId="3BCC6F9A" w14:textId="49C4AA23" w:rsidR="002C750E" w:rsidRDefault="002C750E" w:rsidP="00824498">
            <w:pPr>
              <w:pStyle w:val="Milestonetable"/>
              <w:ind w:left="127" w:right="251"/>
              <w:rPr>
                <w:rFonts w:asciiTheme="minorHAnsi" w:hAnsiTheme="minorHAnsi" w:cstheme="minorBidi"/>
                <w:color w:val="auto"/>
                <w:sz w:val="22"/>
                <w:szCs w:val="22"/>
              </w:rPr>
            </w:pPr>
            <w:r>
              <w:rPr>
                <w:rFonts w:asciiTheme="minorHAnsi" w:hAnsiTheme="minorHAnsi" w:cstheme="minorBidi"/>
                <w:color w:val="auto"/>
                <w:sz w:val="22"/>
                <w:szCs w:val="22"/>
              </w:rPr>
              <w:t xml:space="preserve">Housing Australia will be responsible for administering the funds to deliver the 10,000 affordable homes. This responsibility, including criteria for selecting projects and eligibility criteria, will be set out in Housing Australia’s Investment Mandate Direction. </w:t>
            </w:r>
          </w:p>
          <w:p w14:paraId="2CE2461B" w14:textId="77777777" w:rsidR="002C750E" w:rsidRPr="00F71437" w:rsidRDefault="002C750E" w:rsidP="00824498">
            <w:pPr>
              <w:pStyle w:val="Milestonetable"/>
              <w:ind w:left="127" w:right="251"/>
              <w:rPr>
                <w:rFonts w:asciiTheme="minorHAnsi" w:hAnsiTheme="minorHAnsi" w:cstheme="minorHAnsi"/>
                <w:color w:val="auto"/>
                <w:sz w:val="22"/>
                <w:szCs w:val="22"/>
              </w:rPr>
            </w:pPr>
            <w:r w:rsidRPr="26969FF9">
              <w:rPr>
                <w:rFonts w:asciiTheme="minorHAnsi" w:hAnsiTheme="minorHAnsi" w:cstheme="minorBidi"/>
                <w:color w:val="auto"/>
                <w:sz w:val="22"/>
                <w:szCs w:val="22"/>
              </w:rPr>
              <w:t xml:space="preserve">The program will be administered in a manner that ensures access to funding is open to potential projects proponents from all jurisdictions in Australia, including regional, </w:t>
            </w:r>
            <w:proofErr w:type="gramStart"/>
            <w:r w:rsidRPr="26969FF9">
              <w:rPr>
                <w:rFonts w:asciiTheme="minorHAnsi" w:hAnsiTheme="minorHAnsi" w:cstheme="minorBidi"/>
                <w:color w:val="auto"/>
                <w:sz w:val="22"/>
                <w:szCs w:val="22"/>
              </w:rPr>
              <w:t>rural</w:t>
            </w:r>
            <w:proofErr w:type="gramEnd"/>
            <w:r w:rsidRPr="26969FF9">
              <w:rPr>
                <w:rFonts w:asciiTheme="minorHAnsi" w:hAnsiTheme="minorHAnsi" w:cstheme="minorBidi"/>
                <w:color w:val="auto"/>
                <w:sz w:val="22"/>
                <w:szCs w:val="22"/>
              </w:rPr>
              <w:t xml:space="preserve"> and remote Australia.  </w:t>
            </w:r>
            <w:r w:rsidRPr="00A36367">
              <w:rPr>
                <w:rFonts w:asciiTheme="minorHAnsi" w:hAnsiTheme="minorHAnsi" w:cstheme="minorBidi"/>
                <w:color w:val="auto"/>
                <w:sz w:val="22"/>
                <w:szCs w:val="22"/>
                <w:lang w:val="en-AU"/>
              </w:rPr>
              <w:t>The</w:t>
            </w:r>
            <w:r>
              <w:rPr>
                <w:rFonts w:asciiTheme="minorHAnsi" w:hAnsiTheme="minorHAnsi" w:cstheme="minorBidi"/>
                <w:color w:val="auto"/>
                <w:sz w:val="22"/>
                <w:szCs w:val="22"/>
                <w:lang w:val="en-AU"/>
              </w:rPr>
              <w:t xml:space="preserve"> Commonwealth’s commitment</w:t>
            </w:r>
            <w:r w:rsidRPr="00A36367">
              <w:rPr>
                <w:rFonts w:asciiTheme="minorHAnsi" w:hAnsiTheme="minorHAnsi" w:cstheme="minorBidi"/>
                <w:color w:val="auto"/>
                <w:sz w:val="22"/>
                <w:szCs w:val="22"/>
                <w:lang w:val="en-AU"/>
              </w:rPr>
              <w:t xml:space="preserve"> is </w:t>
            </w:r>
            <w:r>
              <w:rPr>
                <w:rFonts w:asciiTheme="minorHAnsi" w:hAnsiTheme="minorHAnsi" w:cstheme="minorBidi"/>
                <w:color w:val="auto"/>
                <w:sz w:val="22"/>
                <w:szCs w:val="22"/>
                <w:lang w:val="en-AU"/>
              </w:rPr>
              <w:t xml:space="preserve">to be matched by </w:t>
            </w:r>
            <w:r w:rsidRPr="00A36367">
              <w:rPr>
                <w:rFonts w:asciiTheme="minorHAnsi" w:hAnsiTheme="minorHAnsi" w:cstheme="minorBidi"/>
                <w:color w:val="auto"/>
                <w:sz w:val="22"/>
                <w:szCs w:val="22"/>
                <w:lang w:val="en-AU"/>
              </w:rPr>
              <w:t>state</w:t>
            </w:r>
            <w:r>
              <w:rPr>
                <w:rFonts w:asciiTheme="minorHAnsi" w:hAnsiTheme="minorHAnsi" w:cstheme="minorBidi"/>
                <w:color w:val="auto"/>
                <w:sz w:val="22"/>
                <w:szCs w:val="22"/>
                <w:lang w:val="en-AU"/>
              </w:rPr>
              <w:t xml:space="preserve"> and territory</w:t>
            </w:r>
            <w:r w:rsidRPr="00A36367">
              <w:rPr>
                <w:rFonts w:asciiTheme="minorHAnsi" w:hAnsiTheme="minorHAnsi" w:cstheme="minorBidi"/>
                <w:color w:val="auto"/>
                <w:sz w:val="22"/>
                <w:szCs w:val="22"/>
                <w:lang w:val="en-AU"/>
              </w:rPr>
              <w:t xml:space="preserve"> commitments to support </w:t>
            </w:r>
            <w:r>
              <w:rPr>
                <w:rFonts w:asciiTheme="minorHAnsi" w:hAnsiTheme="minorHAnsi" w:cstheme="minorBidi"/>
                <w:color w:val="auto"/>
                <w:sz w:val="22"/>
                <w:szCs w:val="22"/>
                <w:lang w:val="en-AU"/>
              </w:rPr>
              <w:t xml:space="preserve">an additional 10,000 </w:t>
            </w:r>
            <w:r w:rsidRPr="00A36367">
              <w:rPr>
                <w:rFonts w:asciiTheme="minorHAnsi" w:hAnsiTheme="minorHAnsi" w:cstheme="minorBidi"/>
                <w:color w:val="auto"/>
                <w:sz w:val="22"/>
                <w:szCs w:val="22"/>
                <w:lang w:val="en-AU"/>
              </w:rPr>
              <w:t>affordable homes</w:t>
            </w:r>
            <w:r>
              <w:rPr>
                <w:rFonts w:asciiTheme="minorHAnsi" w:hAnsiTheme="minorHAnsi" w:cstheme="minorBidi"/>
                <w:color w:val="auto"/>
                <w:sz w:val="22"/>
                <w:szCs w:val="22"/>
                <w:lang w:val="en-AU"/>
              </w:rPr>
              <w:t xml:space="preserve"> on a per capita (current population) basis</w:t>
            </w:r>
            <w:r w:rsidRPr="00A36367">
              <w:rPr>
                <w:rFonts w:asciiTheme="minorHAnsi" w:hAnsiTheme="minorHAnsi" w:cstheme="minorBidi"/>
                <w:color w:val="auto"/>
                <w:sz w:val="22"/>
                <w:szCs w:val="22"/>
                <w:lang w:val="en-AU"/>
              </w:rPr>
              <w:t>, as outlined in the states’ schedules (</w:t>
            </w:r>
            <w:r>
              <w:rPr>
                <w:rFonts w:asciiTheme="minorHAnsi" w:hAnsiTheme="minorHAnsi" w:cstheme="minorBidi"/>
                <w:color w:val="auto"/>
                <w:sz w:val="22"/>
                <w:szCs w:val="22"/>
                <w:lang w:val="en-AU"/>
              </w:rPr>
              <w:t>T</w:t>
            </w:r>
            <w:r w:rsidRPr="00A36367">
              <w:rPr>
                <w:rFonts w:asciiTheme="minorHAnsi" w:hAnsiTheme="minorHAnsi" w:cstheme="minorBidi"/>
                <w:color w:val="auto"/>
                <w:sz w:val="22"/>
                <w:szCs w:val="22"/>
                <w:lang w:val="en-AU"/>
              </w:rPr>
              <w:t>able 2B).</w:t>
            </w:r>
          </w:p>
        </w:tc>
        <w:tc>
          <w:tcPr>
            <w:tcW w:w="1915" w:type="dxa"/>
            <w:shd w:val="clear" w:color="auto" w:fill="auto"/>
          </w:tcPr>
          <w:p w14:paraId="7FA84781"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5 years from 2024</w:t>
            </w:r>
          </w:p>
          <w:p w14:paraId="75CC2DED" w14:textId="77777777" w:rsidR="002C750E" w:rsidRPr="00F71437"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Housing Australia will report quarterly on houses supported.</w:t>
            </w:r>
          </w:p>
        </w:tc>
      </w:tr>
      <w:tr w:rsidR="002C750E" w:rsidRPr="00F71437" w:rsidDel="00BF21D3" w14:paraId="5246D2D3" w14:textId="77777777" w:rsidTr="00824498">
        <w:tc>
          <w:tcPr>
            <w:tcW w:w="4668" w:type="dxa"/>
          </w:tcPr>
          <w:p w14:paraId="7957CD11" w14:textId="77777777" w:rsidR="002C750E" w:rsidRDefault="002C750E" w:rsidP="00824498">
            <w:pPr>
              <w:pStyle w:val="Milestonetable"/>
              <w:ind w:left="127"/>
              <w:rPr>
                <w:rFonts w:asciiTheme="minorHAnsi" w:hAnsiTheme="minorHAnsi" w:cstheme="minorBidi"/>
                <w:color w:val="auto"/>
                <w:sz w:val="22"/>
                <w:szCs w:val="22"/>
              </w:rPr>
            </w:pPr>
            <w:r w:rsidRPr="4DCEEFF5">
              <w:rPr>
                <w:rFonts w:asciiTheme="minorHAnsi" w:hAnsiTheme="minorHAnsi" w:cstheme="minorBidi"/>
                <w:color w:val="auto"/>
                <w:sz w:val="22"/>
                <w:szCs w:val="22"/>
              </w:rPr>
              <w:t>Provide availability payments and other innovative financing techniques through the Housing Australia Future Fund (HAFF) and</w:t>
            </w:r>
            <w:r>
              <w:rPr>
                <w:rFonts w:asciiTheme="minorHAnsi" w:hAnsiTheme="minorHAnsi" w:cstheme="minorBidi"/>
                <w:color w:val="auto"/>
                <w:sz w:val="22"/>
                <w:szCs w:val="22"/>
              </w:rPr>
              <w:t xml:space="preserve"> </w:t>
            </w:r>
            <w:r w:rsidRPr="4DCEEFF5">
              <w:rPr>
                <w:rFonts w:asciiTheme="minorHAnsi" w:hAnsiTheme="minorHAnsi" w:cstheme="minorBidi"/>
                <w:color w:val="auto"/>
                <w:sz w:val="22"/>
                <w:szCs w:val="22"/>
              </w:rPr>
              <w:t xml:space="preserve">that will seek to facilitate superannuation and institutional capital investment in social and affordable housing, alongside established </w:t>
            </w:r>
            <w:proofErr w:type="gramStart"/>
            <w:r w:rsidRPr="4DCEEFF5">
              <w:rPr>
                <w:rFonts w:asciiTheme="minorHAnsi" w:hAnsiTheme="minorHAnsi" w:cstheme="minorBidi"/>
                <w:color w:val="auto"/>
                <w:sz w:val="22"/>
                <w:szCs w:val="22"/>
              </w:rPr>
              <w:t>state</w:t>
            </w:r>
            <w:proofErr w:type="gramEnd"/>
            <w:r w:rsidRPr="4DCEEFF5">
              <w:rPr>
                <w:rFonts w:asciiTheme="minorHAnsi" w:hAnsiTheme="minorHAnsi" w:cstheme="minorBidi"/>
                <w:color w:val="auto"/>
                <w:sz w:val="22"/>
                <w:szCs w:val="22"/>
              </w:rPr>
              <w:t xml:space="preserve"> and territory programs</w:t>
            </w:r>
            <w:r>
              <w:rPr>
                <w:rFonts w:asciiTheme="minorHAnsi" w:hAnsiTheme="minorHAnsi" w:cstheme="minorBidi"/>
                <w:color w:val="auto"/>
                <w:sz w:val="22"/>
                <w:szCs w:val="22"/>
              </w:rPr>
              <w:t>.</w:t>
            </w:r>
            <w:r w:rsidRPr="4DCEEFF5">
              <w:rPr>
                <w:rFonts w:asciiTheme="minorHAnsi" w:hAnsiTheme="minorHAnsi" w:cstheme="minorBidi"/>
                <w:color w:val="auto"/>
                <w:sz w:val="22"/>
                <w:szCs w:val="22"/>
              </w:rPr>
              <w:t xml:space="preserve"> </w:t>
            </w:r>
          </w:p>
          <w:p w14:paraId="3862F951" w14:textId="77777777" w:rsidR="002C750E" w:rsidRDefault="002C750E" w:rsidP="00824498">
            <w:pPr>
              <w:pStyle w:val="Milestonetable"/>
              <w:ind w:left="127"/>
              <w:rPr>
                <w:rFonts w:asciiTheme="minorHAnsi" w:hAnsiTheme="minorHAnsi" w:cstheme="minorHAnsi"/>
                <w:color w:val="auto"/>
                <w:sz w:val="22"/>
                <w:szCs w:val="22"/>
              </w:rPr>
            </w:pPr>
          </w:p>
          <w:p w14:paraId="44A88A61" w14:textId="77777777" w:rsidR="002C750E" w:rsidRPr="00F71437" w:rsidRDefault="002C750E" w:rsidP="00006C98">
            <w:pPr>
              <w:pStyle w:val="Milestonetable"/>
              <w:rPr>
                <w:rFonts w:asciiTheme="minorHAnsi" w:hAnsiTheme="minorHAnsi" w:cstheme="minorHAnsi"/>
                <w:color w:val="auto"/>
                <w:sz w:val="22"/>
                <w:szCs w:val="22"/>
              </w:rPr>
            </w:pPr>
          </w:p>
        </w:tc>
        <w:tc>
          <w:tcPr>
            <w:tcW w:w="7938" w:type="dxa"/>
            <w:shd w:val="clear" w:color="auto" w:fill="auto"/>
          </w:tcPr>
          <w:p w14:paraId="10D181A2" w14:textId="77777777" w:rsidR="002C750E" w:rsidRDefault="002C750E" w:rsidP="00824498">
            <w:pPr>
              <w:pStyle w:val="Milestonetable"/>
              <w:ind w:left="127"/>
              <w:rPr>
                <w:rFonts w:asciiTheme="minorHAnsi" w:hAnsiTheme="minorHAnsi" w:cstheme="minorBidi"/>
                <w:color w:val="auto"/>
                <w:sz w:val="22"/>
                <w:szCs w:val="22"/>
                <w:lang w:val="en-AU"/>
              </w:rPr>
            </w:pPr>
            <w:r>
              <w:rPr>
                <w:rFonts w:asciiTheme="minorHAnsi" w:hAnsiTheme="minorHAnsi" w:cstheme="minorBidi"/>
                <w:color w:val="auto"/>
                <w:sz w:val="22"/>
                <w:szCs w:val="22"/>
                <w:lang w:val="en-AU"/>
              </w:rPr>
              <w:t xml:space="preserve">The Housing Australia Future Fund Bill 2023 passed Parliament in September 2023. </w:t>
            </w:r>
          </w:p>
          <w:p w14:paraId="5066E7E3" w14:textId="35ECEF3D" w:rsidR="002C750E" w:rsidRDefault="002C750E" w:rsidP="00824498">
            <w:pPr>
              <w:pStyle w:val="Milestonetable"/>
              <w:ind w:left="127" w:right="251"/>
              <w:rPr>
                <w:rFonts w:asciiTheme="minorHAnsi" w:hAnsiTheme="minorHAnsi" w:cstheme="minorBidi"/>
                <w:color w:val="auto"/>
                <w:sz w:val="22"/>
                <w:szCs w:val="22"/>
              </w:rPr>
            </w:pPr>
            <w:r>
              <w:rPr>
                <w:rFonts w:asciiTheme="minorHAnsi" w:hAnsiTheme="minorHAnsi" w:cstheme="minorHAnsi"/>
                <w:color w:val="auto"/>
                <w:sz w:val="22"/>
                <w:szCs w:val="22"/>
              </w:rPr>
              <w:t>Housing Australia will</w:t>
            </w:r>
            <w:r w:rsidR="00DE487E">
              <w:rPr>
                <w:rFonts w:asciiTheme="minorHAnsi" w:hAnsiTheme="minorHAnsi" w:cstheme="minorHAnsi"/>
                <w:color w:val="auto"/>
                <w:sz w:val="22"/>
                <w:szCs w:val="22"/>
              </w:rPr>
              <w:t xml:space="preserve"> have primary</w:t>
            </w:r>
            <w:r>
              <w:rPr>
                <w:rFonts w:asciiTheme="minorHAnsi" w:hAnsiTheme="minorHAnsi" w:cstheme="minorHAnsi"/>
                <w:color w:val="auto"/>
                <w:sz w:val="22"/>
                <w:szCs w:val="22"/>
              </w:rPr>
              <w:t xml:space="preserve"> responsib</w:t>
            </w:r>
            <w:r w:rsidR="00DE487E">
              <w:rPr>
                <w:rFonts w:asciiTheme="minorHAnsi" w:hAnsiTheme="minorHAnsi" w:cstheme="minorHAnsi"/>
                <w:color w:val="auto"/>
                <w:sz w:val="22"/>
                <w:szCs w:val="22"/>
              </w:rPr>
              <w:t>ility</w:t>
            </w:r>
            <w:r>
              <w:rPr>
                <w:rFonts w:asciiTheme="minorHAnsi" w:hAnsiTheme="minorHAnsi" w:cstheme="minorHAnsi"/>
                <w:color w:val="auto"/>
                <w:sz w:val="22"/>
                <w:szCs w:val="22"/>
              </w:rPr>
              <w:t xml:space="preserve"> for delivering new social and affordable homes funded from the HAFF. </w:t>
            </w:r>
            <w:r w:rsidRPr="1E24E622">
              <w:rPr>
                <w:rFonts w:asciiTheme="minorHAnsi" w:hAnsiTheme="minorHAnsi" w:cstheme="minorBidi"/>
                <w:color w:val="auto"/>
                <w:sz w:val="22"/>
                <w:szCs w:val="22"/>
              </w:rPr>
              <w:t xml:space="preserve">This responsibility, including criteria for selecting projects and eligibility criteria, will be set out in Housing Australia’s Investment Mandate Direction. </w:t>
            </w:r>
          </w:p>
          <w:p w14:paraId="16DAC69C" w14:textId="5DA2D2A5" w:rsidR="002C750E" w:rsidRPr="00F71437" w:rsidRDefault="002C750E" w:rsidP="00824498">
            <w:pPr>
              <w:pStyle w:val="Milestonetable"/>
              <w:ind w:left="127"/>
              <w:rPr>
                <w:rFonts w:asciiTheme="minorHAnsi" w:hAnsiTheme="minorHAnsi" w:cstheme="minorBidi"/>
                <w:color w:val="auto"/>
                <w:sz w:val="22"/>
                <w:szCs w:val="22"/>
                <w:lang w:val="en-AU"/>
              </w:rPr>
            </w:pPr>
            <w:r>
              <w:rPr>
                <w:rFonts w:asciiTheme="minorHAnsi" w:hAnsiTheme="minorHAnsi" w:cstheme="minorBidi"/>
                <w:color w:val="auto"/>
                <w:sz w:val="22"/>
                <w:szCs w:val="22"/>
                <w:lang w:val="en-AU"/>
              </w:rPr>
              <w:t xml:space="preserve">HAFF </w:t>
            </w:r>
            <w:r w:rsidR="00FC32E1">
              <w:rPr>
                <w:rFonts w:asciiTheme="minorHAnsi" w:hAnsiTheme="minorHAnsi" w:cstheme="minorBidi"/>
                <w:color w:val="auto"/>
                <w:sz w:val="22"/>
                <w:szCs w:val="22"/>
                <w:lang w:val="en-AU"/>
              </w:rPr>
              <w:t>funding</w:t>
            </w:r>
            <w:r>
              <w:rPr>
                <w:rFonts w:asciiTheme="minorHAnsi" w:hAnsiTheme="minorHAnsi" w:cstheme="minorBidi"/>
                <w:color w:val="auto"/>
                <w:sz w:val="22"/>
                <w:szCs w:val="22"/>
                <w:lang w:val="en-AU"/>
              </w:rPr>
              <w:t xml:space="preserve"> may also be channelled</w:t>
            </w:r>
            <w:r w:rsidRPr="338B40A1">
              <w:rPr>
                <w:rFonts w:asciiTheme="minorHAnsi" w:hAnsiTheme="minorHAnsi" w:cstheme="minorBidi"/>
                <w:color w:val="auto"/>
                <w:sz w:val="22"/>
                <w:szCs w:val="22"/>
                <w:lang w:val="en-AU"/>
              </w:rPr>
              <w:t xml:space="preserve"> </w:t>
            </w:r>
            <w:r>
              <w:rPr>
                <w:rFonts w:asciiTheme="minorHAnsi" w:hAnsiTheme="minorHAnsi" w:cstheme="minorBidi"/>
                <w:color w:val="auto"/>
                <w:sz w:val="22"/>
                <w:szCs w:val="22"/>
                <w:lang w:val="en-AU"/>
              </w:rPr>
              <w:t xml:space="preserve">through the </w:t>
            </w:r>
            <w:r w:rsidRPr="338B40A1">
              <w:rPr>
                <w:rFonts w:asciiTheme="minorHAnsi" w:hAnsiTheme="minorHAnsi" w:cstheme="minorBidi"/>
                <w:color w:val="auto"/>
                <w:sz w:val="22"/>
                <w:szCs w:val="22"/>
                <w:lang w:val="en-AU"/>
              </w:rPr>
              <w:t>COAG reform fund</w:t>
            </w:r>
            <w:r>
              <w:rPr>
                <w:rFonts w:asciiTheme="minorHAnsi" w:hAnsiTheme="minorHAnsi" w:cstheme="minorBidi"/>
                <w:color w:val="auto"/>
                <w:sz w:val="22"/>
                <w:szCs w:val="22"/>
                <w:lang w:val="en-AU"/>
              </w:rPr>
              <w:t xml:space="preserve"> to states and territories</w:t>
            </w:r>
            <w:r w:rsidRPr="338B40A1">
              <w:rPr>
                <w:rFonts w:asciiTheme="minorHAnsi" w:hAnsiTheme="minorHAnsi" w:cstheme="minorBidi"/>
                <w:color w:val="auto"/>
                <w:sz w:val="22"/>
                <w:szCs w:val="22"/>
                <w:lang w:val="en-AU"/>
              </w:rPr>
              <w:t xml:space="preserve"> and</w:t>
            </w:r>
            <w:r>
              <w:rPr>
                <w:rFonts w:asciiTheme="minorHAnsi" w:hAnsiTheme="minorHAnsi" w:cstheme="minorBidi"/>
                <w:color w:val="auto"/>
                <w:sz w:val="22"/>
                <w:szCs w:val="22"/>
                <w:lang w:val="en-AU"/>
              </w:rPr>
              <w:t xml:space="preserve"> allocated to designated Commonwealth ministers to meet acute housing needs.</w:t>
            </w:r>
          </w:p>
        </w:tc>
        <w:tc>
          <w:tcPr>
            <w:tcW w:w="1915" w:type="dxa"/>
            <w:shd w:val="clear" w:color="auto" w:fill="auto"/>
          </w:tcPr>
          <w:p w14:paraId="62020BA9"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5 years from 2024</w:t>
            </w:r>
          </w:p>
          <w:p w14:paraId="03864D0E" w14:textId="77777777" w:rsidR="002C750E" w:rsidRPr="00F71437" w:rsidDel="00BF21D3"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Housing Australia will report quarterly on houses supported.</w:t>
            </w:r>
          </w:p>
        </w:tc>
      </w:tr>
      <w:tr w:rsidR="002C750E" w14:paraId="4D6E8C6E" w14:textId="77777777" w:rsidTr="00824498">
        <w:tc>
          <w:tcPr>
            <w:tcW w:w="4668" w:type="dxa"/>
          </w:tcPr>
          <w:p w14:paraId="0212C019" w14:textId="77777777" w:rsidR="002C750E" w:rsidRPr="4DCEEFF5" w:rsidRDefault="002C750E" w:rsidP="00824498">
            <w:pPr>
              <w:pStyle w:val="Milestonetable"/>
              <w:ind w:left="127"/>
              <w:rPr>
                <w:rFonts w:asciiTheme="minorHAnsi" w:hAnsiTheme="minorHAnsi" w:cstheme="minorBidi"/>
                <w:color w:val="auto"/>
                <w:sz w:val="22"/>
                <w:szCs w:val="22"/>
              </w:rPr>
            </w:pPr>
            <w:r>
              <w:rPr>
                <w:rFonts w:asciiTheme="minorHAnsi" w:hAnsiTheme="minorHAnsi" w:cstheme="minorBidi"/>
                <w:color w:val="auto"/>
                <w:sz w:val="22"/>
                <w:szCs w:val="22"/>
              </w:rPr>
              <w:t xml:space="preserve">Providing concessional loans and grants through Housing Australia to support more social and affordable housing. </w:t>
            </w:r>
          </w:p>
        </w:tc>
        <w:tc>
          <w:tcPr>
            <w:tcW w:w="7938" w:type="dxa"/>
            <w:shd w:val="clear" w:color="auto" w:fill="auto"/>
          </w:tcPr>
          <w:p w14:paraId="24603196" w14:textId="77777777" w:rsidR="002C750E" w:rsidRDefault="002C750E" w:rsidP="00824498">
            <w:pPr>
              <w:rPr>
                <w:rFonts w:cstheme="minorHAnsi"/>
              </w:rPr>
            </w:pPr>
            <w:r>
              <w:rPr>
                <w:rFonts w:cstheme="minorHAnsi"/>
              </w:rPr>
              <w:t>Housing Australia supports the delivery of more social and affordable housing through the Affordable Housing Bond Aggregator (AHBA) and the</w:t>
            </w:r>
            <w:r w:rsidRPr="00C21199">
              <w:rPr>
                <w:rFonts w:cstheme="minorHAnsi"/>
              </w:rPr>
              <w:t xml:space="preserve"> National Housing Infrastructure Facility (NHIF</w:t>
            </w:r>
            <w:r>
              <w:rPr>
                <w:rFonts w:cstheme="minorHAnsi"/>
              </w:rPr>
              <w:t xml:space="preserve">). </w:t>
            </w:r>
          </w:p>
          <w:p w14:paraId="195B0B4F" w14:textId="77777777" w:rsidR="002C750E" w:rsidRDefault="002C750E" w:rsidP="00824498">
            <w:pPr>
              <w:rPr>
                <w:rFonts w:cstheme="minorHAnsi"/>
              </w:rPr>
            </w:pPr>
          </w:p>
          <w:p w14:paraId="54CD8893" w14:textId="77777777" w:rsidR="002C750E" w:rsidRDefault="002C750E" w:rsidP="00824498">
            <w:r>
              <w:t>On 1 July 2023, Housing Australia’s liability cap increased by $2 billion to provide more lower cost and longer-term finance to community housing providers through the AHBA. The increase is expected to support around 7,000 new social and affordable dwellings.</w:t>
            </w:r>
          </w:p>
          <w:p w14:paraId="6BFD560D" w14:textId="77777777" w:rsidR="002C750E" w:rsidRPr="00C21199" w:rsidRDefault="002C750E" w:rsidP="00824498">
            <w:pPr>
              <w:rPr>
                <w:rFonts w:cstheme="minorHAnsi"/>
              </w:rPr>
            </w:pPr>
          </w:p>
          <w:p w14:paraId="70DB2B14" w14:textId="7804BF77" w:rsidR="002C750E" w:rsidRPr="006E6762" w:rsidRDefault="002C750E" w:rsidP="00824498">
            <w:pPr>
              <w:rPr>
                <w:rFonts w:cstheme="minorHAnsi"/>
              </w:rPr>
            </w:pPr>
            <w:r w:rsidRPr="00C21199">
              <w:rPr>
                <w:rFonts w:cstheme="minorHAnsi"/>
              </w:rPr>
              <w:t xml:space="preserve">The NHIF has been expanded making up to $575 million available to invest in social and affordable rental homes, with projects already under construction </w:t>
            </w:r>
            <w:proofErr w:type="gramStart"/>
            <w:r w:rsidRPr="00C21199">
              <w:rPr>
                <w:rFonts w:cstheme="minorHAnsi"/>
              </w:rPr>
              <w:t>as a result of</w:t>
            </w:r>
            <w:proofErr w:type="gramEnd"/>
            <w:r w:rsidRPr="00C21199">
              <w:rPr>
                <w:rFonts w:cstheme="minorHAnsi"/>
              </w:rPr>
              <w:t xml:space="preserve"> this funding. The NHIF will also receive an additional $1 billion in federal funding </w:t>
            </w:r>
            <w:r>
              <w:rPr>
                <w:rFonts w:cstheme="minorHAnsi"/>
              </w:rPr>
              <w:t xml:space="preserve">grants to directly support new social housing. </w:t>
            </w:r>
          </w:p>
        </w:tc>
        <w:tc>
          <w:tcPr>
            <w:tcW w:w="1915" w:type="dxa"/>
            <w:shd w:val="clear" w:color="auto" w:fill="auto"/>
          </w:tcPr>
          <w:p w14:paraId="23108FEF" w14:textId="77777777" w:rsidR="002C750E" w:rsidRDefault="002C750E" w:rsidP="00824498">
            <w:pPr>
              <w:pStyle w:val="Milestonetable"/>
              <w:tabs>
                <w:tab w:val="left" w:pos="195"/>
                <w:tab w:val="center" w:pos="943"/>
              </w:tabs>
              <w:jc w:val="right"/>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t>Ongoing</w:t>
            </w:r>
          </w:p>
        </w:tc>
      </w:tr>
      <w:tr w:rsidR="002C750E" w14:paraId="5ED0ED9E" w14:textId="77777777" w:rsidTr="00824498">
        <w:tc>
          <w:tcPr>
            <w:tcW w:w="4668" w:type="dxa"/>
          </w:tcPr>
          <w:p w14:paraId="250E322D" w14:textId="77777777" w:rsidR="002C750E" w:rsidRPr="000B5B85" w:rsidRDefault="002C750E" w:rsidP="00824498">
            <w:pPr>
              <w:pStyle w:val="Milestonetable"/>
              <w:ind w:left="127"/>
              <w:rPr>
                <w:rFonts w:asciiTheme="minorHAnsi" w:hAnsiTheme="minorHAnsi" w:cstheme="minorHAnsi"/>
                <w:color w:val="auto"/>
                <w:sz w:val="22"/>
                <w:szCs w:val="22"/>
              </w:rPr>
            </w:pPr>
            <w:r w:rsidRPr="00F71437">
              <w:rPr>
                <w:rFonts w:asciiTheme="minorHAnsi" w:hAnsiTheme="minorHAnsi" w:cstheme="minorHAnsi"/>
                <w:color w:val="auto"/>
                <w:sz w:val="22"/>
                <w:szCs w:val="22"/>
              </w:rPr>
              <w:lastRenderedPageBreak/>
              <w:t>Work with Community Housing Providers and other relevant not-for-profit housing providers to ensure achievement of targets for social and affordable housing are met.</w:t>
            </w:r>
          </w:p>
        </w:tc>
        <w:tc>
          <w:tcPr>
            <w:tcW w:w="7938" w:type="dxa"/>
            <w:shd w:val="clear" w:color="auto" w:fill="auto"/>
          </w:tcPr>
          <w:p w14:paraId="2CA7B680" w14:textId="77777777" w:rsidR="002C750E" w:rsidRDefault="002C750E" w:rsidP="00824498">
            <w:pPr>
              <w:widowControl/>
              <w:autoSpaceDE w:val="0"/>
              <w:autoSpaceDN w:val="0"/>
              <w:adjustRightInd w:val="0"/>
              <w:rPr>
                <w:lang w:val="en-AU"/>
              </w:rPr>
            </w:pPr>
            <w:r>
              <w:t>Housing Australia</w:t>
            </w:r>
            <w:r w:rsidRPr="0F753ED4">
              <w:t xml:space="preserve"> will continue to engage collaboratively </w:t>
            </w:r>
            <w:r>
              <w:t xml:space="preserve">with </w:t>
            </w:r>
            <w:r w:rsidRPr="0F753ED4">
              <w:t>and build the capacity of Community Housing Providers (CHPs)</w:t>
            </w:r>
            <w:r>
              <w:t xml:space="preserve">, including through its lending activities </w:t>
            </w:r>
            <w:r w:rsidRPr="0F753ED4">
              <w:t>under the</w:t>
            </w:r>
            <w:r>
              <w:t xml:space="preserve"> Affordable Housing Bond Aggregator</w:t>
            </w:r>
            <w:r w:rsidRPr="0F753ED4">
              <w:t xml:space="preserve"> </w:t>
            </w:r>
            <w:r>
              <w:t>(</w:t>
            </w:r>
            <w:r w:rsidRPr="0F753ED4">
              <w:t>AHBA</w:t>
            </w:r>
            <w:r>
              <w:t>), support from the National Housing Infrastructure Facility (NHIF) and forthcoming support from the HAFF</w:t>
            </w:r>
            <w:r w:rsidRPr="0F753ED4">
              <w:t xml:space="preserve">. </w:t>
            </w:r>
            <w:r w:rsidRPr="00C05C44">
              <w:rPr>
                <w:rFonts w:eastAsia="Times New Roman"/>
                <w:iCs/>
                <w:lang w:eastAsia="en-AU"/>
              </w:rPr>
              <w:t xml:space="preserve"> Housing Australia also provides support for CHPs to further develop their financial and management capabilities through grants of up to $20,000. The Community Housing Industry Association (CHIA) currently administers the Capacity Building Program on Housing Australia’s behalf.</w:t>
            </w:r>
            <w:r>
              <w:t xml:space="preserve">  </w:t>
            </w:r>
          </w:p>
        </w:tc>
        <w:tc>
          <w:tcPr>
            <w:tcW w:w="1915" w:type="dxa"/>
            <w:shd w:val="clear" w:color="auto" w:fill="auto"/>
          </w:tcPr>
          <w:p w14:paraId="39111149" w14:textId="77777777" w:rsidR="002C750E" w:rsidRDefault="002C750E" w:rsidP="00824498">
            <w:pPr>
              <w:pStyle w:val="Milestonetable"/>
              <w:jc w:val="right"/>
              <w:rPr>
                <w:rFonts w:asciiTheme="minorHAnsi" w:hAnsiTheme="minorHAnsi" w:cstheme="minorHAnsi"/>
                <w:color w:val="auto"/>
                <w:sz w:val="22"/>
                <w:szCs w:val="22"/>
              </w:rPr>
            </w:pPr>
            <w:r w:rsidRPr="003252DE">
              <w:rPr>
                <w:rFonts w:asciiTheme="minorHAnsi" w:hAnsiTheme="minorHAnsi" w:cstheme="minorHAnsi"/>
                <w:color w:val="auto"/>
                <w:sz w:val="22"/>
                <w:szCs w:val="22"/>
              </w:rPr>
              <w:t>Ongoing</w:t>
            </w:r>
          </w:p>
        </w:tc>
      </w:tr>
      <w:tr w:rsidR="002C750E" w:rsidRPr="003252DE" w14:paraId="07EBBC3D" w14:textId="77777777" w:rsidTr="00824498">
        <w:tc>
          <w:tcPr>
            <w:tcW w:w="4668" w:type="dxa"/>
          </w:tcPr>
          <w:p w14:paraId="1038A6E9"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 xml:space="preserve">Delivering housing and homelessness support </w:t>
            </w:r>
          </w:p>
        </w:tc>
        <w:tc>
          <w:tcPr>
            <w:tcW w:w="7938" w:type="dxa"/>
            <w:shd w:val="clear" w:color="auto" w:fill="auto"/>
          </w:tcPr>
          <w:p w14:paraId="7846E6D6" w14:textId="0005A3B8" w:rsidR="002C750E" w:rsidRDefault="002C750E" w:rsidP="00AC4A92">
            <w:pPr>
              <w:pStyle w:val="Milestonetable"/>
              <w:ind w:left="127"/>
              <w:rPr>
                <w:rFonts w:asciiTheme="minorHAnsi" w:hAnsiTheme="minorHAnsi" w:cstheme="minorBidi"/>
                <w:color w:val="auto"/>
                <w:sz w:val="22"/>
                <w:szCs w:val="22"/>
              </w:rPr>
            </w:pPr>
            <w:r>
              <w:rPr>
                <w:rFonts w:asciiTheme="minorHAnsi" w:hAnsiTheme="minorHAnsi" w:cstheme="minorBidi"/>
                <w:color w:val="auto"/>
                <w:sz w:val="22"/>
                <w:szCs w:val="22"/>
              </w:rPr>
              <w:t>The Government is p</w:t>
            </w:r>
            <w:r w:rsidRPr="00701560">
              <w:rPr>
                <w:rFonts w:asciiTheme="minorHAnsi" w:hAnsiTheme="minorHAnsi" w:cstheme="minorBidi"/>
                <w:color w:val="auto"/>
                <w:sz w:val="22"/>
                <w:szCs w:val="22"/>
              </w:rPr>
              <w:t>roviding an additional $67.5 million of funding to the states and territories</w:t>
            </w:r>
            <w:r>
              <w:rPr>
                <w:rFonts w:asciiTheme="minorHAnsi" w:hAnsiTheme="minorHAnsi" w:cstheme="minorBidi"/>
                <w:color w:val="auto"/>
                <w:sz w:val="22"/>
                <w:szCs w:val="22"/>
              </w:rPr>
              <w:t xml:space="preserve"> </w:t>
            </w:r>
            <w:r w:rsidRPr="00701560">
              <w:rPr>
                <w:rFonts w:asciiTheme="minorHAnsi" w:hAnsiTheme="minorHAnsi" w:cstheme="minorBidi"/>
                <w:color w:val="auto"/>
                <w:sz w:val="22"/>
                <w:szCs w:val="22"/>
              </w:rPr>
              <w:t xml:space="preserve">to help tackle homelessness challenges as part of a one-year </w:t>
            </w:r>
            <w:r>
              <w:rPr>
                <w:rFonts w:asciiTheme="minorHAnsi" w:hAnsiTheme="minorHAnsi" w:cstheme="minorBidi"/>
                <w:color w:val="auto"/>
                <w:sz w:val="22"/>
                <w:szCs w:val="22"/>
              </w:rPr>
              <w:t xml:space="preserve">$1.7 billion </w:t>
            </w:r>
            <w:r w:rsidRPr="00701560">
              <w:rPr>
                <w:rFonts w:asciiTheme="minorHAnsi" w:hAnsiTheme="minorHAnsi" w:cstheme="minorBidi"/>
                <w:color w:val="auto"/>
                <w:sz w:val="22"/>
                <w:szCs w:val="22"/>
              </w:rPr>
              <w:t>extension to the National Housing and Homelessness Agreement</w:t>
            </w:r>
            <w:r>
              <w:rPr>
                <w:rFonts w:asciiTheme="minorHAnsi" w:hAnsiTheme="minorHAnsi" w:cstheme="minorBidi"/>
                <w:color w:val="auto"/>
                <w:sz w:val="22"/>
                <w:szCs w:val="22"/>
              </w:rPr>
              <w:t xml:space="preserve"> in 2023-24. The Government will work with states and territories to agree new funding arrangements. </w:t>
            </w:r>
          </w:p>
          <w:p w14:paraId="53128B6A" w14:textId="77777777" w:rsidR="002C750E" w:rsidRDefault="002C750E" w:rsidP="00824498">
            <w:pPr>
              <w:pStyle w:val="Milestonetable"/>
              <w:ind w:left="127"/>
              <w:rPr>
                <w:rFonts w:asciiTheme="minorHAnsi" w:hAnsiTheme="minorHAnsi" w:cstheme="minorBidi"/>
                <w:color w:val="auto"/>
                <w:sz w:val="22"/>
                <w:szCs w:val="22"/>
              </w:rPr>
            </w:pPr>
          </w:p>
          <w:p w14:paraId="097B3C1A" w14:textId="1F2E64A5" w:rsidR="002C750E" w:rsidRDefault="002C750E" w:rsidP="00824498">
            <w:pPr>
              <w:pStyle w:val="Milestonetable"/>
              <w:ind w:left="127"/>
              <w:rPr>
                <w:rFonts w:asciiTheme="minorHAnsi" w:hAnsiTheme="minorHAnsi" w:cstheme="minorBidi"/>
                <w:color w:val="auto"/>
                <w:sz w:val="22"/>
                <w:szCs w:val="22"/>
              </w:rPr>
            </w:pPr>
            <w:r>
              <w:rPr>
                <w:rFonts w:asciiTheme="minorHAnsi" w:hAnsiTheme="minorHAnsi" w:cstheme="minorBidi"/>
                <w:color w:val="auto"/>
                <w:sz w:val="22"/>
                <w:szCs w:val="22"/>
              </w:rPr>
              <w:t xml:space="preserve">The Government is investing </w:t>
            </w:r>
            <w:r w:rsidRPr="00D77EEC">
              <w:rPr>
                <w:rFonts w:asciiTheme="minorHAnsi" w:hAnsiTheme="minorHAnsi" w:cstheme="minorBidi"/>
                <w:color w:val="auto"/>
                <w:sz w:val="22"/>
                <w:szCs w:val="22"/>
              </w:rPr>
              <w:t>$91.7 million</w:t>
            </w:r>
            <w:r>
              <w:rPr>
                <w:rFonts w:asciiTheme="minorHAnsi" w:hAnsiTheme="minorHAnsi" w:cstheme="minorBidi"/>
                <w:color w:val="auto"/>
                <w:sz w:val="22"/>
                <w:szCs w:val="22"/>
              </w:rPr>
              <w:t xml:space="preserve"> to confirm youth homelessness services over the next </w:t>
            </w:r>
            <w:r w:rsidRPr="00D77EEC">
              <w:rPr>
                <w:rFonts w:asciiTheme="minorHAnsi" w:hAnsiTheme="minorHAnsi" w:cstheme="minorBidi"/>
                <w:color w:val="auto"/>
                <w:sz w:val="22"/>
                <w:szCs w:val="22"/>
              </w:rPr>
              <w:t xml:space="preserve">  3 years (1 July 2023 to 30 June 2026) </w:t>
            </w:r>
            <w:r>
              <w:rPr>
                <w:rFonts w:asciiTheme="minorHAnsi" w:hAnsiTheme="minorHAnsi" w:cstheme="minorBidi"/>
                <w:color w:val="auto"/>
                <w:sz w:val="22"/>
                <w:szCs w:val="22"/>
              </w:rPr>
              <w:t xml:space="preserve">through the Reconnect Program. </w:t>
            </w:r>
          </w:p>
          <w:p w14:paraId="57BD55B6" w14:textId="24693CAB" w:rsidR="002C750E" w:rsidRPr="00D77EEC" w:rsidRDefault="002C750E" w:rsidP="00824498">
            <w:pPr>
              <w:pStyle w:val="Milestonetable"/>
              <w:ind w:left="127"/>
              <w:rPr>
                <w:rFonts w:asciiTheme="minorHAnsi" w:hAnsiTheme="minorHAnsi" w:cstheme="minorBidi"/>
                <w:color w:val="auto"/>
                <w:sz w:val="22"/>
                <w:szCs w:val="22"/>
              </w:rPr>
            </w:pPr>
            <w:r w:rsidRPr="00AE3698">
              <w:rPr>
                <w:rFonts w:asciiTheme="minorHAnsi" w:hAnsiTheme="minorHAnsi" w:cstheme="minorBidi"/>
                <w:color w:val="auto"/>
                <w:sz w:val="22"/>
                <w:szCs w:val="22"/>
              </w:rPr>
              <w:t xml:space="preserve">Reconnect aims to prevent youth homelessness by stabilising and improving a young person’s housing situation and their engagement with family, education, training, </w:t>
            </w:r>
            <w:proofErr w:type="gramStart"/>
            <w:r w:rsidRPr="00AE3698">
              <w:rPr>
                <w:rFonts w:asciiTheme="minorHAnsi" w:hAnsiTheme="minorHAnsi" w:cstheme="minorBidi"/>
                <w:color w:val="auto"/>
                <w:sz w:val="22"/>
                <w:szCs w:val="22"/>
              </w:rPr>
              <w:t>employment</w:t>
            </w:r>
            <w:proofErr w:type="gramEnd"/>
            <w:r w:rsidRPr="00AE3698">
              <w:rPr>
                <w:rFonts w:asciiTheme="minorHAnsi" w:hAnsiTheme="minorHAnsi" w:cstheme="minorBidi"/>
                <w:color w:val="auto"/>
                <w:sz w:val="22"/>
                <w:szCs w:val="22"/>
              </w:rPr>
              <w:t xml:space="preserve"> and local community. Reconnect services provide counselling, group work, </w:t>
            </w:r>
            <w:proofErr w:type="gramStart"/>
            <w:r w:rsidRPr="00AE3698">
              <w:rPr>
                <w:rFonts w:asciiTheme="minorHAnsi" w:hAnsiTheme="minorHAnsi" w:cstheme="minorBidi"/>
                <w:color w:val="auto"/>
                <w:sz w:val="22"/>
                <w:szCs w:val="22"/>
              </w:rPr>
              <w:t>mediation</w:t>
            </w:r>
            <w:proofErr w:type="gramEnd"/>
            <w:r w:rsidRPr="00AE3698">
              <w:rPr>
                <w:rFonts w:asciiTheme="minorHAnsi" w:hAnsiTheme="minorHAnsi" w:cstheme="minorBidi"/>
                <w:color w:val="auto"/>
                <w:sz w:val="22"/>
                <w:szCs w:val="22"/>
              </w:rPr>
              <w:t xml:space="preserve"> and practical support to the whole family, to help break the cycle of homelessness.</w:t>
            </w:r>
          </w:p>
          <w:p w14:paraId="158DFDAA" w14:textId="2DCF3BE0" w:rsidR="002C750E" w:rsidRPr="0F753ED4" w:rsidRDefault="002C750E" w:rsidP="00824498">
            <w:pPr>
              <w:pStyle w:val="Milestonetable"/>
              <w:ind w:left="127"/>
              <w:rPr>
                <w:rFonts w:asciiTheme="minorHAnsi" w:hAnsiTheme="minorHAnsi" w:cstheme="minorBidi"/>
                <w:color w:val="auto"/>
                <w:sz w:val="22"/>
                <w:szCs w:val="22"/>
              </w:rPr>
            </w:pPr>
          </w:p>
        </w:tc>
        <w:tc>
          <w:tcPr>
            <w:tcW w:w="1915" w:type="dxa"/>
            <w:shd w:val="clear" w:color="auto" w:fill="auto"/>
          </w:tcPr>
          <w:p w14:paraId="03490E5F"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New funding arrangements to commence on 1 July 2024 subject to agreement</w:t>
            </w:r>
          </w:p>
          <w:p w14:paraId="24B8FB0D" w14:textId="77777777" w:rsidR="002C750E" w:rsidRDefault="002C750E" w:rsidP="00824498">
            <w:pPr>
              <w:pStyle w:val="Milestonetable"/>
              <w:jc w:val="right"/>
              <w:rPr>
                <w:rFonts w:asciiTheme="minorHAnsi" w:hAnsiTheme="minorHAnsi" w:cstheme="minorHAnsi"/>
                <w:color w:val="auto"/>
                <w:sz w:val="22"/>
                <w:szCs w:val="22"/>
              </w:rPr>
            </w:pPr>
          </w:p>
          <w:p w14:paraId="4920BC7C" w14:textId="77777777" w:rsidR="002C750E" w:rsidRPr="003252DE" w:rsidRDefault="002C750E" w:rsidP="00AC4A92">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Funding extensions from 1 July 2023 to 30 June 2026</w:t>
            </w:r>
          </w:p>
        </w:tc>
      </w:tr>
      <w:tr w:rsidR="002C750E" w:rsidRPr="003252DE" w14:paraId="7E97CB5C" w14:textId="77777777" w:rsidTr="00824498">
        <w:tc>
          <w:tcPr>
            <w:tcW w:w="4668" w:type="dxa"/>
          </w:tcPr>
          <w:p w14:paraId="79A125CE" w14:textId="77777777" w:rsidR="002C750E" w:rsidRPr="00F71437" w:rsidRDefault="002C750E" w:rsidP="00824498">
            <w:pPr>
              <w:pStyle w:val="Milestonetable"/>
              <w:ind w:left="127"/>
              <w:rPr>
                <w:rFonts w:asciiTheme="minorHAnsi" w:hAnsiTheme="minorHAnsi" w:cstheme="minorHAnsi"/>
                <w:color w:val="auto"/>
                <w:sz w:val="22"/>
                <w:szCs w:val="22"/>
              </w:rPr>
            </w:pPr>
            <w:r w:rsidRPr="00F71437">
              <w:rPr>
                <w:rFonts w:asciiTheme="minorHAnsi" w:hAnsiTheme="minorHAnsi" w:cstheme="minorHAnsi"/>
                <w:color w:val="auto"/>
                <w:sz w:val="22"/>
                <w:szCs w:val="22"/>
              </w:rPr>
              <w:t>Identify whether suitable Commonwealth land can assist as part of the contribution to delivering social and affordable housing.</w:t>
            </w:r>
          </w:p>
        </w:tc>
        <w:tc>
          <w:tcPr>
            <w:tcW w:w="7938" w:type="dxa"/>
            <w:shd w:val="clear" w:color="auto" w:fill="auto"/>
          </w:tcPr>
          <w:p w14:paraId="36345223" w14:textId="77777777" w:rsidR="002C750E" w:rsidRDefault="002C750E" w:rsidP="00824498">
            <w:pPr>
              <w:pStyle w:val="Milestonetable"/>
              <w:ind w:left="127" w:right="251"/>
              <w:rPr>
                <w:rFonts w:asciiTheme="minorHAnsi" w:hAnsiTheme="minorHAnsi" w:cstheme="minorBidi"/>
                <w:color w:val="auto"/>
                <w:sz w:val="22"/>
                <w:szCs w:val="22"/>
              </w:rPr>
            </w:pPr>
            <w:r w:rsidRPr="0093772D">
              <w:rPr>
                <w:rFonts w:asciiTheme="minorHAnsi" w:hAnsiTheme="minorHAnsi" w:cstheme="minorBidi"/>
                <w:color w:val="auto"/>
                <w:sz w:val="22"/>
                <w:szCs w:val="22"/>
              </w:rPr>
              <w:t xml:space="preserve">The Commonwealth </w:t>
            </w:r>
            <w:r>
              <w:rPr>
                <w:rFonts w:asciiTheme="minorHAnsi" w:hAnsiTheme="minorHAnsi" w:cstheme="minorBidi"/>
                <w:color w:val="auto"/>
                <w:sz w:val="22"/>
                <w:szCs w:val="22"/>
              </w:rPr>
              <w:t xml:space="preserve">has established </w:t>
            </w:r>
            <w:r w:rsidRPr="0093772D">
              <w:rPr>
                <w:rFonts w:asciiTheme="minorHAnsi" w:hAnsiTheme="minorHAnsi" w:cstheme="minorBidi"/>
                <w:color w:val="auto"/>
                <w:sz w:val="22"/>
                <w:szCs w:val="22"/>
              </w:rPr>
              <w:t xml:space="preserve">a </w:t>
            </w:r>
            <w:r>
              <w:rPr>
                <w:rFonts w:asciiTheme="minorHAnsi" w:hAnsiTheme="minorHAnsi" w:cstheme="minorBidi"/>
                <w:color w:val="auto"/>
                <w:sz w:val="22"/>
                <w:szCs w:val="22"/>
              </w:rPr>
              <w:t xml:space="preserve">whole-of-government </w:t>
            </w:r>
            <w:r w:rsidRPr="0093772D">
              <w:rPr>
                <w:rFonts w:asciiTheme="minorHAnsi" w:hAnsiTheme="minorHAnsi" w:cstheme="minorBidi"/>
                <w:color w:val="auto"/>
                <w:sz w:val="22"/>
                <w:szCs w:val="22"/>
              </w:rPr>
              <w:t>process to identify surplus Commonwealth land that can be used to support the achievement of the Accord’s social and affordable housing goals.</w:t>
            </w:r>
          </w:p>
          <w:p w14:paraId="59DA9BC9" w14:textId="77777777" w:rsidR="002C750E" w:rsidRDefault="002C750E" w:rsidP="00824498">
            <w:pPr>
              <w:pStyle w:val="Milestonetable"/>
              <w:ind w:left="127"/>
              <w:rPr>
                <w:rFonts w:asciiTheme="minorHAnsi" w:hAnsiTheme="minorHAnsi" w:cstheme="minorBidi"/>
                <w:color w:val="auto"/>
                <w:sz w:val="22"/>
                <w:szCs w:val="22"/>
              </w:rPr>
            </w:pPr>
            <w:r w:rsidRPr="0093772D">
              <w:rPr>
                <w:rFonts w:asciiTheme="minorHAnsi" w:hAnsiTheme="minorHAnsi" w:cstheme="minorBidi"/>
                <w:color w:val="auto"/>
                <w:sz w:val="22"/>
                <w:szCs w:val="22"/>
              </w:rPr>
              <w:t xml:space="preserve">The Commonwealth will report to the Council on Federal Financial Relations </w:t>
            </w:r>
            <w:r>
              <w:rPr>
                <w:rFonts w:asciiTheme="minorHAnsi" w:hAnsiTheme="minorHAnsi" w:cstheme="minorBidi"/>
                <w:color w:val="auto"/>
                <w:sz w:val="22"/>
                <w:szCs w:val="22"/>
              </w:rPr>
              <w:t>on the outcomes of this process in early 2024.</w:t>
            </w:r>
          </w:p>
          <w:p w14:paraId="20ECB8FE" w14:textId="77777777" w:rsidR="000346C4" w:rsidRDefault="000346C4" w:rsidP="00824498">
            <w:pPr>
              <w:pStyle w:val="Milestonetable"/>
              <w:ind w:left="127"/>
              <w:rPr>
                <w:rFonts w:asciiTheme="minorHAnsi" w:hAnsiTheme="minorHAnsi" w:cstheme="minorBidi"/>
                <w:color w:val="auto"/>
                <w:sz w:val="22"/>
                <w:szCs w:val="22"/>
              </w:rPr>
            </w:pPr>
          </w:p>
          <w:p w14:paraId="4289D4D0" w14:textId="77777777" w:rsidR="000346C4" w:rsidRDefault="000346C4" w:rsidP="00824498">
            <w:pPr>
              <w:pStyle w:val="Milestonetable"/>
              <w:ind w:left="127"/>
              <w:rPr>
                <w:rFonts w:asciiTheme="minorHAnsi" w:hAnsiTheme="minorHAnsi" w:cstheme="minorBidi"/>
                <w:color w:val="auto"/>
                <w:sz w:val="22"/>
                <w:szCs w:val="22"/>
              </w:rPr>
            </w:pPr>
          </w:p>
          <w:p w14:paraId="103FDDC3" w14:textId="14169CCB" w:rsidR="000346C4" w:rsidRPr="00F71437" w:rsidRDefault="000346C4" w:rsidP="00824498">
            <w:pPr>
              <w:pStyle w:val="Milestonetable"/>
              <w:ind w:left="127"/>
              <w:rPr>
                <w:rFonts w:asciiTheme="minorHAnsi" w:hAnsiTheme="minorHAnsi" w:cstheme="minorBidi"/>
                <w:color w:val="auto"/>
                <w:sz w:val="22"/>
                <w:szCs w:val="22"/>
              </w:rPr>
            </w:pPr>
          </w:p>
        </w:tc>
        <w:tc>
          <w:tcPr>
            <w:tcW w:w="1915" w:type="dxa"/>
            <w:shd w:val="clear" w:color="auto" w:fill="auto"/>
          </w:tcPr>
          <w:p w14:paraId="7D2B3B88" w14:textId="77777777" w:rsidR="002C750E" w:rsidRPr="003252DE" w:rsidRDefault="002C750E" w:rsidP="00824498">
            <w:pPr>
              <w:pStyle w:val="Milestonetable"/>
              <w:ind w:left="145" w:right="47"/>
              <w:jc w:val="right"/>
              <w:rPr>
                <w:rFonts w:asciiTheme="minorHAnsi" w:hAnsiTheme="minorHAnsi" w:cstheme="minorBidi"/>
                <w:color w:val="auto"/>
                <w:sz w:val="22"/>
                <w:szCs w:val="22"/>
              </w:rPr>
            </w:pPr>
            <w:r w:rsidRPr="62BB899F">
              <w:rPr>
                <w:rFonts w:asciiTheme="minorHAnsi" w:hAnsiTheme="minorHAnsi" w:cstheme="minorBidi"/>
                <w:color w:val="auto"/>
                <w:sz w:val="22"/>
                <w:szCs w:val="22"/>
              </w:rPr>
              <w:t>The Commonwealth to report to CFFR</w:t>
            </w:r>
            <w:r>
              <w:rPr>
                <w:rFonts w:asciiTheme="minorHAnsi" w:hAnsiTheme="minorHAnsi" w:cstheme="minorBidi"/>
                <w:color w:val="auto"/>
                <w:sz w:val="22"/>
                <w:szCs w:val="22"/>
              </w:rPr>
              <w:t xml:space="preserve"> on surplus land</w:t>
            </w:r>
            <w:r w:rsidRPr="62BB899F">
              <w:rPr>
                <w:rFonts w:asciiTheme="minorHAnsi" w:hAnsiTheme="minorHAnsi" w:cstheme="minorBidi"/>
                <w:color w:val="auto"/>
                <w:sz w:val="22"/>
                <w:szCs w:val="22"/>
              </w:rPr>
              <w:t xml:space="preserve"> by </w:t>
            </w:r>
            <w:r>
              <w:rPr>
                <w:rFonts w:asciiTheme="minorHAnsi" w:hAnsiTheme="minorHAnsi" w:cstheme="minorBidi"/>
                <w:color w:val="auto"/>
                <w:sz w:val="22"/>
                <w:szCs w:val="22"/>
              </w:rPr>
              <w:t>early 2024.</w:t>
            </w:r>
            <w:r w:rsidRPr="62BB899F">
              <w:rPr>
                <w:rFonts w:asciiTheme="minorHAnsi" w:hAnsiTheme="minorHAnsi" w:cstheme="minorBidi"/>
                <w:color w:val="auto"/>
                <w:sz w:val="22"/>
                <w:szCs w:val="22"/>
              </w:rPr>
              <w:t xml:space="preserve"> </w:t>
            </w:r>
          </w:p>
        </w:tc>
      </w:tr>
      <w:tr w:rsidR="002C750E" w:rsidRPr="0052766C" w14:paraId="59306EF5" w14:textId="77777777" w:rsidTr="00824498">
        <w:tc>
          <w:tcPr>
            <w:tcW w:w="14521" w:type="dxa"/>
            <w:gridSpan w:val="3"/>
          </w:tcPr>
          <w:p w14:paraId="20618B79" w14:textId="77777777" w:rsidR="002C750E" w:rsidRPr="0052766C" w:rsidRDefault="002C750E" w:rsidP="00824498">
            <w:pPr>
              <w:pStyle w:val="Milestonetable"/>
              <w:ind w:left="145" w:right="47"/>
              <w:jc w:val="center"/>
              <w:rPr>
                <w:rFonts w:asciiTheme="minorHAnsi" w:hAnsiTheme="minorHAnsi" w:cstheme="minorHAnsi"/>
                <w:b/>
                <w:bCs/>
                <w:color w:val="auto"/>
                <w:sz w:val="22"/>
                <w:szCs w:val="22"/>
              </w:rPr>
            </w:pPr>
            <w:r w:rsidRPr="0052766C">
              <w:rPr>
                <w:rFonts w:asciiTheme="minorHAnsi" w:hAnsiTheme="minorHAnsi" w:cstheme="minorHAnsi"/>
                <w:b/>
                <w:bCs/>
                <w:color w:val="auto"/>
                <w:sz w:val="22"/>
                <w:szCs w:val="22"/>
              </w:rPr>
              <w:lastRenderedPageBreak/>
              <w:t>Supporting renters</w:t>
            </w:r>
          </w:p>
        </w:tc>
      </w:tr>
      <w:tr w:rsidR="002C750E" w14:paraId="3A8BB6F2" w14:textId="77777777" w:rsidTr="00824498">
        <w:tc>
          <w:tcPr>
            <w:tcW w:w="4668" w:type="dxa"/>
          </w:tcPr>
          <w:p w14:paraId="321D8A37"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Increasing Commonwealth Rent Assistance</w:t>
            </w:r>
          </w:p>
        </w:tc>
        <w:tc>
          <w:tcPr>
            <w:tcW w:w="7938" w:type="dxa"/>
            <w:shd w:val="clear" w:color="auto" w:fill="auto"/>
          </w:tcPr>
          <w:p w14:paraId="324C3852" w14:textId="77777777" w:rsidR="002C750E" w:rsidRPr="009B0126" w:rsidRDefault="002C750E" w:rsidP="00824498">
            <w:pPr>
              <w:pStyle w:val="Milestonetable"/>
              <w:ind w:left="127" w:right="251"/>
              <w:rPr>
                <w:rFonts w:asciiTheme="minorHAnsi" w:hAnsiTheme="minorHAnsi" w:cstheme="minorHAnsi"/>
                <w:color w:val="auto"/>
                <w:sz w:val="22"/>
                <w:szCs w:val="22"/>
              </w:rPr>
            </w:pPr>
            <w:r w:rsidRPr="00C03A56">
              <w:rPr>
                <w:rFonts w:asciiTheme="minorHAnsi" w:hAnsiTheme="minorHAnsi" w:cstheme="minorHAnsi"/>
                <w:color w:val="auto"/>
                <w:sz w:val="22"/>
                <w:szCs w:val="22"/>
              </w:rPr>
              <w:t>In the 2023-24 Budget, the Government will invest $2.7 billion over five years from 2022-23 (around $0.7 billion per year ongoing) to increase Commonwealth Rent Assistance (CRA) maximum rates by 15 per cent. This is the largest increase to CRA maximum rates in over 30 years. Around 1.1 million</w:t>
            </w:r>
            <w:r>
              <w:rPr>
                <w:rFonts w:asciiTheme="minorHAnsi" w:hAnsiTheme="minorHAnsi" w:cstheme="minorHAnsi"/>
                <w:color w:val="auto"/>
                <w:sz w:val="22"/>
                <w:szCs w:val="22"/>
              </w:rPr>
              <w:t xml:space="preserve"> </w:t>
            </w:r>
            <w:r w:rsidRPr="00C03A56">
              <w:rPr>
                <w:rFonts w:asciiTheme="minorHAnsi" w:hAnsiTheme="minorHAnsi" w:cstheme="minorHAnsi"/>
                <w:color w:val="auto"/>
                <w:sz w:val="22"/>
                <w:szCs w:val="22"/>
              </w:rPr>
              <w:t xml:space="preserve">households who receive CRA </w:t>
            </w:r>
            <w:r>
              <w:rPr>
                <w:rFonts w:asciiTheme="minorHAnsi" w:hAnsiTheme="minorHAnsi" w:cstheme="minorHAnsi"/>
                <w:color w:val="auto"/>
                <w:sz w:val="22"/>
                <w:szCs w:val="22"/>
              </w:rPr>
              <w:t>will</w:t>
            </w:r>
            <w:r w:rsidRPr="00C03A56">
              <w:rPr>
                <w:rFonts w:asciiTheme="minorHAnsi" w:hAnsiTheme="minorHAnsi" w:cstheme="minorHAnsi"/>
                <w:color w:val="auto"/>
                <w:sz w:val="22"/>
                <w:szCs w:val="22"/>
              </w:rPr>
              <w:t xml:space="preserve"> benefit</w:t>
            </w:r>
            <w:r>
              <w:rPr>
                <w:rFonts w:asciiTheme="minorHAnsi" w:hAnsiTheme="minorHAnsi" w:cstheme="minorHAnsi"/>
                <w:color w:val="auto"/>
                <w:sz w:val="22"/>
                <w:szCs w:val="22"/>
              </w:rPr>
              <w:t xml:space="preserve"> from an increase of up to $36 per fortnight (including indexation and depending on the household type)</w:t>
            </w:r>
            <w:r w:rsidRPr="00C03A56">
              <w:rPr>
                <w:rFonts w:asciiTheme="minorHAnsi" w:hAnsiTheme="minorHAnsi" w:cstheme="minorHAnsi"/>
                <w:color w:val="auto"/>
                <w:sz w:val="22"/>
                <w:szCs w:val="22"/>
              </w:rPr>
              <w:t>.</w:t>
            </w:r>
          </w:p>
        </w:tc>
        <w:tc>
          <w:tcPr>
            <w:tcW w:w="1915" w:type="dxa"/>
            <w:shd w:val="clear" w:color="auto" w:fill="auto"/>
          </w:tcPr>
          <w:p w14:paraId="3119818C" w14:textId="77777777" w:rsidR="002C750E" w:rsidRDefault="002C750E" w:rsidP="00824498">
            <w:pPr>
              <w:pStyle w:val="Milestonetable"/>
              <w:ind w:left="145" w:right="47"/>
              <w:jc w:val="right"/>
              <w:rPr>
                <w:rFonts w:asciiTheme="minorHAnsi" w:hAnsiTheme="minorHAnsi" w:cstheme="minorHAnsi"/>
                <w:color w:val="auto"/>
                <w:sz w:val="22"/>
                <w:szCs w:val="22"/>
              </w:rPr>
            </w:pPr>
            <w:r>
              <w:rPr>
                <w:rFonts w:asciiTheme="minorHAnsi" w:hAnsiTheme="minorHAnsi" w:cstheme="minorHAnsi"/>
                <w:color w:val="auto"/>
                <w:sz w:val="22"/>
                <w:szCs w:val="22"/>
              </w:rPr>
              <w:t xml:space="preserve">Commenced on 20 September 2023 </w:t>
            </w:r>
          </w:p>
        </w:tc>
      </w:tr>
      <w:tr w:rsidR="002C750E" w14:paraId="4E0546B5" w14:textId="77777777" w:rsidTr="00824498">
        <w:tc>
          <w:tcPr>
            <w:tcW w:w="4668" w:type="dxa"/>
          </w:tcPr>
          <w:p w14:paraId="1CF628A6" w14:textId="77777777" w:rsidR="002C750E"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Strengthening renter’s rights</w:t>
            </w:r>
          </w:p>
        </w:tc>
        <w:tc>
          <w:tcPr>
            <w:tcW w:w="7938" w:type="dxa"/>
            <w:shd w:val="clear" w:color="auto" w:fill="auto"/>
          </w:tcPr>
          <w:p w14:paraId="2A822DC4" w14:textId="77777777" w:rsidR="002C750E" w:rsidRDefault="002C750E" w:rsidP="00824498">
            <w:pPr>
              <w:pStyle w:val="Milestonetable"/>
              <w:ind w:left="127" w:right="251"/>
              <w:rPr>
                <w:rFonts w:asciiTheme="minorHAnsi" w:hAnsiTheme="minorHAnsi" w:cstheme="minorHAnsi"/>
                <w:color w:val="auto"/>
                <w:sz w:val="22"/>
                <w:szCs w:val="22"/>
              </w:rPr>
            </w:pPr>
            <w:r>
              <w:rPr>
                <w:rFonts w:asciiTheme="minorHAnsi" w:hAnsiTheme="minorHAnsi" w:cstheme="minorHAnsi"/>
                <w:color w:val="auto"/>
                <w:sz w:val="22"/>
                <w:szCs w:val="22"/>
              </w:rPr>
              <w:t>The Government is working collaboratively with state and territory governments through National Cabinet to strengthen renters’ rights. On 16 August 2023, National Cabinet agreed to A Better Deal for Renters to harmonise and strengthen renters’ rights across Australia. This includes:</w:t>
            </w:r>
          </w:p>
          <w:p w14:paraId="5F227A4A" w14:textId="77777777" w:rsidR="002C750E" w:rsidRDefault="002C750E" w:rsidP="002C750E">
            <w:pPr>
              <w:pStyle w:val="Bullet"/>
              <w:keepNext/>
              <w:keepLines/>
              <w:numPr>
                <w:ilvl w:val="0"/>
                <w:numId w:val="8"/>
              </w:numPr>
              <w:spacing w:before="40" w:after="40"/>
              <w:rPr>
                <w:rFonts w:asciiTheme="minorHAnsi" w:hAnsiTheme="minorHAnsi" w:cstheme="minorHAnsi"/>
                <w:sz w:val="22"/>
                <w:szCs w:val="22"/>
              </w:rPr>
            </w:pPr>
            <w:r>
              <w:rPr>
                <w:rFonts w:asciiTheme="minorHAnsi" w:hAnsiTheme="minorHAnsi" w:cstheme="minorHAnsi"/>
                <w:sz w:val="22"/>
                <w:szCs w:val="22"/>
              </w:rPr>
              <w:t>Developing a nationally consistent policy to implement a requirement for genuine reasonable grounds for eviction</w:t>
            </w:r>
          </w:p>
          <w:p w14:paraId="48BA4AAA" w14:textId="77777777" w:rsidR="002C750E" w:rsidRDefault="002C750E" w:rsidP="002C750E">
            <w:pPr>
              <w:pStyle w:val="Bullet"/>
              <w:keepNext/>
              <w:keepLines/>
              <w:numPr>
                <w:ilvl w:val="0"/>
                <w:numId w:val="8"/>
              </w:numPr>
              <w:spacing w:before="40" w:after="40"/>
              <w:rPr>
                <w:rFonts w:asciiTheme="minorHAnsi" w:hAnsiTheme="minorHAnsi" w:cstheme="minorHAnsi"/>
                <w:sz w:val="22"/>
                <w:szCs w:val="22"/>
              </w:rPr>
            </w:pPr>
            <w:r>
              <w:rPr>
                <w:rFonts w:asciiTheme="minorHAnsi" w:hAnsiTheme="minorHAnsi" w:cstheme="minorHAnsi"/>
                <w:sz w:val="22"/>
                <w:szCs w:val="22"/>
              </w:rPr>
              <w:t xml:space="preserve">Moving towards limiting rent increases to once a year </w:t>
            </w:r>
          </w:p>
          <w:p w14:paraId="2DCF372C" w14:textId="77777777" w:rsidR="002C750E" w:rsidRDefault="002C750E" w:rsidP="002C750E">
            <w:pPr>
              <w:pStyle w:val="Bullet"/>
              <w:keepNext/>
              <w:keepLines/>
              <w:numPr>
                <w:ilvl w:val="0"/>
                <w:numId w:val="8"/>
              </w:numPr>
              <w:spacing w:before="40" w:after="40"/>
              <w:rPr>
                <w:rFonts w:asciiTheme="minorHAnsi" w:hAnsiTheme="minorHAnsi" w:cstheme="minorHAnsi"/>
                <w:sz w:val="22"/>
                <w:szCs w:val="22"/>
              </w:rPr>
            </w:pPr>
            <w:r>
              <w:rPr>
                <w:rFonts w:asciiTheme="minorHAnsi" w:hAnsiTheme="minorHAnsi" w:cstheme="minorHAnsi"/>
                <w:sz w:val="22"/>
                <w:szCs w:val="22"/>
              </w:rPr>
              <w:t xml:space="preserve">Phasing in minimum rental standards. </w:t>
            </w:r>
          </w:p>
        </w:tc>
        <w:tc>
          <w:tcPr>
            <w:tcW w:w="1915" w:type="dxa"/>
            <w:shd w:val="clear" w:color="auto" w:fill="auto"/>
          </w:tcPr>
          <w:p w14:paraId="01845D8B" w14:textId="77777777" w:rsidR="002C750E" w:rsidRDefault="002C750E" w:rsidP="00824498">
            <w:pPr>
              <w:pStyle w:val="Milestonetable"/>
              <w:ind w:left="145" w:right="47"/>
              <w:jc w:val="right"/>
              <w:rPr>
                <w:rFonts w:asciiTheme="minorHAnsi" w:hAnsiTheme="minorHAnsi" w:cstheme="minorHAnsi"/>
                <w:color w:val="auto"/>
                <w:sz w:val="22"/>
                <w:szCs w:val="22"/>
              </w:rPr>
            </w:pPr>
            <w:r>
              <w:rPr>
                <w:rFonts w:asciiTheme="minorHAnsi" w:hAnsiTheme="minorHAnsi" w:cstheme="minorHAnsi"/>
                <w:color w:val="auto"/>
                <w:sz w:val="22"/>
                <w:szCs w:val="22"/>
              </w:rPr>
              <w:t>Ongoing</w:t>
            </w:r>
          </w:p>
        </w:tc>
      </w:tr>
      <w:tr w:rsidR="002C750E" w14:paraId="4EF88639" w14:textId="77777777" w:rsidTr="00824498">
        <w:tc>
          <w:tcPr>
            <w:tcW w:w="4668" w:type="dxa"/>
          </w:tcPr>
          <w:p w14:paraId="3B7663D9"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Tax incentives to increase institutional investment in new rental properties</w:t>
            </w:r>
          </w:p>
        </w:tc>
        <w:tc>
          <w:tcPr>
            <w:tcW w:w="7938" w:type="dxa"/>
            <w:shd w:val="clear" w:color="auto" w:fill="auto"/>
          </w:tcPr>
          <w:p w14:paraId="47E155D2" w14:textId="77777777" w:rsidR="002C750E" w:rsidRDefault="002C750E" w:rsidP="00824498">
            <w:pPr>
              <w:pStyle w:val="Milestonetable"/>
              <w:ind w:left="127" w:right="251"/>
              <w:rPr>
                <w:rFonts w:asciiTheme="minorHAnsi" w:hAnsiTheme="minorHAnsi" w:cstheme="minorHAnsi"/>
                <w:color w:val="auto"/>
                <w:sz w:val="22"/>
                <w:szCs w:val="22"/>
              </w:rPr>
            </w:pPr>
            <w:r>
              <w:rPr>
                <w:rFonts w:asciiTheme="minorHAnsi" w:hAnsiTheme="minorHAnsi" w:cstheme="minorHAnsi"/>
                <w:color w:val="auto"/>
                <w:sz w:val="22"/>
                <w:szCs w:val="22"/>
              </w:rPr>
              <w:t>The Government is providing tax incentives to support Build-to-Rent developments to reduce barriers to new supply in the private rental market. This includes:</w:t>
            </w:r>
          </w:p>
          <w:p w14:paraId="2AA638E6" w14:textId="77777777" w:rsidR="002C750E" w:rsidRPr="00017FD9" w:rsidRDefault="002C750E" w:rsidP="002C750E">
            <w:pPr>
              <w:pStyle w:val="Bullet"/>
              <w:keepNext/>
              <w:keepLines/>
              <w:numPr>
                <w:ilvl w:val="0"/>
                <w:numId w:val="8"/>
              </w:numPr>
              <w:spacing w:before="40" w:after="40"/>
              <w:rPr>
                <w:rFonts w:asciiTheme="minorHAnsi" w:hAnsiTheme="minorHAnsi" w:cstheme="minorHAnsi"/>
                <w:sz w:val="22"/>
                <w:szCs w:val="22"/>
              </w:rPr>
            </w:pPr>
            <w:r w:rsidRPr="00017FD9">
              <w:rPr>
                <w:rFonts w:asciiTheme="minorHAnsi" w:hAnsiTheme="minorHAnsi" w:cstheme="minorHAnsi"/>
                <w:sz w:val="22"/>
                <w:szCs w:val="22"/>
              </w:rPr>
              <w:t>Reducing the Managed Investment Trust withholding tax rate for newly constructed build-to-rent projects from 30 per cent to 15 per cent</w:t>
            </w:r>
          </w:p>
          <w:p w14:paraId="45E1A0B4" w14:textId="77777777" w:rsidR="002C750E" w:rsidRPr="00017FD9" w:rsidRDefault="002C750E" w:rsidP="002C750E">
            <w:pPr>
              <w:pStyle w:val="Bullet"/>
              <w:keepNext/>
              <w:keepLines/>
              <w:numPr>
                <w:ilvl w:val="0"/>
                <w:numId w:val="8"/>
              </w:numPr>
              <w:spacing w:before="40" w:after="40"/>
              <w:rPr>
                <w:rFonts w:asciiTheme="minorHAnsi" w:hAnsiTheme="minorHAnsi" w:cstheme="minorHAnsi"/>
                <w:sz w:val="22"/>
                <w:szCs w:val="22"/>
              </w:rPr>
            </w:pPr>
            <w:r w:rsidRPr="00017FD9">
              <w:rPr>
                <w:rFonts w:asciiTheme="minorHAnsi" w:hAnsiTheme="minorHAnsi" w:cstheme="minorHAnsi"/>
                <w:sz w:val="22"/>
                <w:szCs w:val="22"/>
              </w:rPr>
              <w:t>Increasing the capital works tax deduction rate from 2.5 per cent to 4 per cent per year for eligible new build to rent projects.</w:t>
            </w:r>
          </w:p>
          <w:p w14:paraId="7BDEE85D" w14:textId="77777777" w:rsidR="002C750E" w:rsidRDefault="002C750E" w:rsidP="00824498">
            <w:pPr>
              <w:pStyle w:val="Milestonetable"/>
              <w:ind w:left="127" w:right="251"/>
              <w:rPr>
                <w:rFonts w:asciiTheme="minorHAnsi" w:hAnsiTheme="minorHAnsi" w:cstheme="minorHAnsi"/>
                <w:color w:val="auto"/>
                <w:sz w:val="22"/>
                <w:szCs w:val="22"/>
              </w:rPr>
            </w:pPr>
            <w:r>
              <w:rPr>
                <w:rFonts w:asciiTheme="minorHAnsi" w:hAnsiTheme="minorHAnsi" w:cstheme="minorHAnsi"/>
                <w:color w:val="auto"/>
                <w:sz w:val="22"/>
                <w:szCs w:val="22"/>
              </w:rPr>
              <w:t>Industry estimates that the changes to the MIT withholding tax rate could support up to 150,000 new rental properties over 10 years.</w:t>
            </w:r>
          </w:p>
          <w:p w14:paraId="7D4B024A" w14:textId="77777777" w:rsidR="002C750E" w:rsidRDefault="002C750E" w:rsidP="00824498">
            <w:pPr>
              <w:pStyle w:val="Milestonetable"/>
              <w:spacing w:line="252" w:lineRule="auto"/>
              <w:ind w:left="127" w:right="251"/>
              <w:rPr>
                <w:rFonts w:asciiTheme="minorHAnsi" w:hAnsiTheme="minorHAnsi" w:cstheme="minorHAnsi"/>
                <w:color w:val="auto"/>
                <w:sz w:val="22"/>
                <w:szCs w:val="22"/>
              </w:rPr>
            </w:pPr>
            <w:r>
              <w:rPr>
                <w:rFonts w:asciiTheme="minorHAnsi" w:hAnsiTheme="minorHAnsi" w:cstheme="minorHAnsi"/>
                <w:color w:val="auto"/>
                <w:sz w:val="22"/>
                <w:szCs w:val="22"/>
              </w:rPr>
              <w:t>The Government will consult on arrangements for the MIT withholding tax rate eligibility criteria, including in relation to possible affordable housing requirements. Legislation to give effect to both measures will be introduced before 1 July 2024.</w:t>
            </w:r>
          </w:p>
          <w:p w14:paraId="318522DC" w14:textId="285C7040" w:rsidR="000346C4" w:rsidRPr="009B0126" w:rsidRDefault="000346C4" w:rsidP="00824498">
            <w:pPr>
              <w:pStyle w:val="Milestonetable"/>
              <w:spacing w:line="252" w:lineRule="auto"/>
              <w:ind w:left="127" w:right="251"/>
              <w:rPr>
                <w:rFonts w:asciiTheme="minorHAnsi" w:hAnsiTheme="minorHAnsi" w:cstheme="minorHAnsi"/>
                <w:color w:val="auto"/>
                <w:sz w:val="22"/>
                <w:szCs w:val="22"/>
              </w:rPr>
            </w:pPr>
          </w:p>
        </w:tc>
        <w:tc>
          <w:tcPr>
            <w:tcW w:w="1915" w:type="dxa"/>
            <w:shd w:val="clear" w:color="auto" w:fill="auto"/>
          </w:tcPr>
          <w:p w14:paraId="5B971B20" w14:textId="77777777" w:rsidR="002C750E" w:rsidRDefault="002C750E" w:rsidP="00824498">
            <w:pPr>
              <w:pStyle w:val="Milestonetable"/>
              <w:ind w:left="145" w:right="47"/>
              <w:jc w:val="right"/>
              <w:rPr>
                <w:rFonts w:asciiTheme="minorHAnsi" w:hAnsiTheme="minorHAnsi" w:cstheme="minorHAnsi"/>
                <w:color w:val="auto"/>
                <w:sz w:val="22"/>
                <w:szCs w:val="22"/>
              </w:rPr>
            </w:pPr>
            <w:r>
              <w:rPr>
                <w:rFonts w:asciiTheme="minorHAnsi" w:hAnsiTheme="minorHAnsi" w:cstheme="minorHAnsi"/>
                <w:color w:val="auto"/>
                <w:sz w:val="22"/>
                <w:szCs w:val="22"/>
              </w:rPr>
              <w:t xml:space="preserve">Legislation to give effect to the tax incentives will be introduced before 1 July 2024 </w:t>
            </w:r>
          </w:p>
        </w:tc>
      </w:tr>
      <w:tr w:rsidR="002C750E" w:rsidRPr="00140FD3" w14:paraId="13DCE166" w14:textId="77777777" w:rsidTr="00824498">
        <w:tc>
          <w:tcPr>
            <w:tcW w:w="14521" w:type="dxa"/>
            <w:gridSpan w:val="3"/>
          </w:tcPr>
          <w:p w14:paraId="2F420C41" w14:textId="77777777" w:rsidR="002C750E" w:rsidRPr="00140FD3" w:rsidRDefault="002C750E" w:rsidP="00824498">
            <w:pPr>
              <w:pStyle w:val="Milestonetable"/>
              <w:ind w:left="145" w:right="47"/>
              <w:jc w:val="center"/>
              <w:rPr>
                <w:rFonts w:asciiTheme="minorHAnsi" w:hAnsiTheme="minorHAnsi" w:cstheme="minorHAnsi"/>
                <w:b/>
                <w:bCs/>
                <w:color w:val="auto"/>
                <w:sz w:val="22"/>
                <w:szCs w:val="22"/>
              </w:rPr>
            </w:pPr>
            <w:r w:rsidRPr="00140FD3">
              <w:rPr>
                <w:rFonts w:asciiTheme="minorHAnsi" w:hAnsiTheme="minorHAnsi" w:cstheme="minorHAnsi"/>
                <w:b/>
                <w:bCs/>
                <w:color w:val="auto"/>
                <w:sz w:val="22"/>
                <w:szCs w:val="22"/>
              </w:rPr>
              <w:lastRenderedPageBreak/>
              <w:t xml:space="preserve">Supporting </w:t>
            </w:r>
            <w:r>
              <w:rPr>
                <w:rFonts w:asciiTheme="minorHAnsi" w:hAnsiTheme="minorHAnsi" w:cstheme="minorHAnsi"/>
                <w:b/>
                <w:bCs/>
                <w:color w:val="auto"/>
                <w:sz w:val="22"/>
                <w:szCs w:val="22"/>
              </w:rPr>
              <w:t xml:space="preserve">Australians into </w:t>
            </w:r>
            <w:r w:rsidRPr="00140FD3">
              <w:rPr>
                <w:rFonts w:asciiTheme="minorHAnsi" w:hAnsiTheme="minorHAnsi" w:cstheme="minorHAnsi"/>
                <w:b/>
                <w:bCs/>
                <w:color w:val="auto"/>
                <w:sz w:val="22"/>
                <w:szCs w:val="22"/>
              </w:rPr>
              <w:t>homeowners</w:t>
            </w:r>
            <w:r>
              <w:rPr>
                <w:rFonts w:asciiTheme="minorHAnsi" w:hAnsiTheme="minorHAnsi" w:cstheme="minorHAnsi"/>
                <w:b/>
                <w:bCs/>
                <w:color w:val="auto"/>
                <w:sz w:val="22"/>
                <w:szCs w:val="22"/>
              </w:rPr>
              <w:t>hip</w:t>
            </w:r>
          </w:p>
        </w:tc>
      </w:tr>
      <w:tr w:rsidR="002C750E" w14:paraId="2EF0295A" w14:textId="77777777" w:rsidTr="00824498">
        <w:tc>
          <w:tcPr>
            <w:tcW w:w="4668" w:type="dxa"/>
          </w:tcPr>
          <w:p w14:paraId="1BBFB9FC"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Reducing mortgage requirements for first home buyers</w:t>
            </w:r>
          </w:p>
        </w:tc>
        <w:tc>
          <w:tcPr>
            <w:tcW w:w="7938" w:type="dxa"/>
            <w:shd w:val="clear" w:color="auto" w:fill="auto"/>
          </w:tcPr>
          <w:p w14:paraId="254EA74E" w14:textId="77777777" w:rsidR="002C750E" w:rsidRDefault="002C750E" w:rsidP="00824498">
            <w:pPr>
              <w:pStyle w:val="Milestonetable"/>
              <w:spacing w:line="252" w:lineRule="auto"/>
              <w:ind w:left="127" w:right="251"/>
              <w:rPr>
                <w:rFonts w:asciiTheme="minorHAnsi" w:hAnsiTheme="minorHAnsi" w:cstheme="minorHAnsi"/>
                <w:color w:val="auto"/>
                <w:sz w:val="22"/>
                <w:szCs w:val="22"/>
              </w:rPr>
            </w:pPr>
            <w:r>
              <w:rPr>
                <w:rFonts w:asciiTheme="minorHAnsi" w:hAnsiTheme="minorHAnsi" w:cstheme="minorHAnsi"/>
                <w:color w:val="auto"/>
                <w:sz w:val="22"/>
                <w:szCs w:val="22"/>
              </w:rPr>
              <w:t xml:space="preserve">The Government will help more Australians into homeownership sooner by expanding the eligibility criteria of the Home Guarantee Scheme. </w:t>
            </w:r>
            <w:r w:rsidRPr="00E60607">
              <w:rPr>
                <w:rFonts w:asciiTheme="minorHAnsi" w:hAnsiTheme="minorHAnsi" w:cstheme="minorHAnsi"/>
                <w:color w:val="auto"/>
                <w:sz w:val="22"/>
                <w:szCs w:val="22"/>
              </w:rPr>
              <w:t xml:space="preserve">Under the First Home Guarantee and Regional First Home Buyer Guarantee, any two eligible borrowers can jointly apply, not just spouses or de facto couples. Non-first home buyers who have not held a property interest in Australia within the previous 10 years will also be eligible for both guarantees.  </w:t>
            </w:r>
            <w:r>
              <w:rPr>
                <w:rFonts w:asciiTheme="minorHAnsi" w:hAnsiTheme="minorHAnsi" w:cstheme="minorHAnsi"/>
                <w:color w:val="auto"/>
                <w:sz w:val="22"/>
                <w:szCs w:val="22"/>
              </w:rPr>
              <w:t xml:space="preserve"> </w:t>
            </w:r>
          </w:p>
          <w:p w14:paraId="55751C00" w14:textId="77777777" w:rsidR="002C750E" w:rsidRDefault="002C750E" w:rsidP="00824498">
            <w:pPr>
              <w:pStyle w:val="Milestonetable"/>
              <w:spacing w:line="252" w:lineRule="auto"/>
              <w:ind w:left="127" w:right="251"/>
              <w:rPr>
                <w:rFonts w:asciiTheme="minorHAnsi" w:hAnsiTheme="minorHAnsi" w:cstheme="minorHAnsi"/>
                <w:color w:val="auto"/>
                <w:sz w:val="22"/>
                <w:szCs w:val="22"/>
              </w:rPr>
            </w:pPr>
            <w:r>
              <w:rPr>
                <w:rStyle w:val="normaltextrun"/>
                <w:rFonts w:ascii="Calibri" w:hAnsi="Calibri" w:cs="Calibri"/>
                <w:color w:val="000000"/>
                <w:sz w:val="22"/>
                <w:szCs w:val="22"/>
                <w:bdr w:val="none" w:sz="0" w:space="0" w:color="auto" w:frame="1"/>
              </w:rPr>
              <w:t>The Family Home Guarantee will be expanded to include single legal guardians of children.</w:t>
            </w:r>
          </w:p>
          <w:p w14:paraId="08BFFC7A" w14:textId="77777777" w:rsidR="002C750E" w:rsidRPr="009B0126" w:rsidRDefault="002C750E" w:rsidP="00824498">
            <w:pPr>
              <w:pStyle w:val="Milestonetable"/>
              <w:spacing w:line="252" w:lineRule="auto"/>
              <w:ind w:left="127" w:right="251"/>
              <w:rPr>
                <w:rFonts w:asciiTheme="minorHAnsi" w:hAnsiTheme="minorHAnsi" w:cstheme="minorHAnsi"/>
                <w:color w:val="auto"/>
                <w:sz w:val="22"/>
                <w:szCs w:val="22"/>
              </w:rPr>
            </w:pPr>
            <w:r w:rsidRPr="00CD0489">
              <w:rPr>
                <w:rFonts w:asciiTheme="minorHAnsi" w:hAnsiTheme="minorHAnsi" w:cstheme="minorHAnsi"/>
                <w:color w:val="auto"/>
                <w:sz w:val="22"/>
                <w:szCs w:val="22"/>
              </w:rPr>
              <w:t>All guarantees will be made available to Australian permanent residents.</w:t>
            </w:r>
          </w:p>
        </w:tc>
        <w:tc>
          <w:tcPr>
            <w:tcW w:w="1915" w:type="dxa"/>
            <w:shd w:val="clear" w:color="auto" w:fill="auto"/>
          </w:tcPr>
          <w:p w14:paraId="48458AF1" w14:textId="77777777" w:rsidR="002C750E" w:rsidRDefault="002C750E" w:rsidP="00824498">
            <w:pPr>
              <w:pStyle w:val="Milestonetable"/>
              <w:ind w:left="145" w:right="47"/>
              <w:jc w:val="right"/>
              <w:rPr>
                <w:rFonts w:asciiTheme="minorHAnsi" w:hAnsiTheme="minorHAnsi" w:cstheme="minorHAnsi"/>
                <w:color w:val="auto"/>
                <w:sz w:val="22"/>
                <w:szCs w:val="22"/>
              </w:rPr>
            </w:pPr>
            <w:r>
              <w:rPr>
                <w:rFonts w:asciiTheme="minorHAnsi" w:hAnsiTheme="minorHAnsi" w:cstheme="minorHAnsi"/>
                <w:color w:val="auto"/>
                <w:sz w:val="22"/>
                <w:szCs w:val="22"/>
              </w:rPr>
              <w:t>Commenced 1 July 2023</w:t>
            </w:r>
          </w:p>
        </w:tc>
      </w:tr>
      <w:tr w:rsidR="002C750E" w14:paraId="075691A9" w14:textId="77777777" w:rsidTr="00824498">
        <w:trPr>
          <w:trHeight w:val="300"/>
        </w:trPr>
        <w:tc>
          <w:tcPr>
            <w:tcW w:w="4668" w:type="dxa"/>
          </w:tcPr>
          <w:p w14:paraId="4E6F2774" w14:textId="77777777" w:rsidR="002C750E" w:rsidRDefault="002C750E" w:rsidP="00824498">
            <w:pPr>
              <w:pStyle w:val="Milestonetable"/>
            </w:pPr>
            <w:r w:rsidRPr="05759E0F">
              <w:rPr>
                <w:rFonts w:asciiTheme="minorHAnsi" w:hAnsiTheme="minorHAnsi" w:cstheme="minorBidi"/>
                <w:color w:val="auto"/>
                <w:sz w:val="22"/>
                <w:szCs w:val="22"/>
              </w:rPr>
              <w:t>Commonwealth Shared Equity Scheme</w:t>
            </w:r>
          </w:p>
        </w:tc>
        <w:tc>
          <w:tcPr>
            <w:tcW w:w="7938" w:type="dxa"/>
            <w:shd w:val="clear" w:color="auto" w:fill="auto"/>
          </w:tcPr>
          <w:p w14:paraId="19496B1A" w14:textId="4080BE3F" w:rsidR="002C750E" w:rsidRDefault="002C750E" w:rsidP="00824498">
            <w:pPr>
              <w:pStyle w:val="Milestonetable"/>
              <w:spacing w:line="252" w:lineRule="auto"/>
            </w:pPr>
            <w:r w:rsidRPr="05759E0F">
              <w:rPr>
                <w:rFonts w:asciiTheme="minorHAnsi" w:hAnsiTheme="minorHAnsi" w:cstheme="minorBidi"/>
                <w:color w:val="auto"/>
                <w:sz w:val="22"/>
                <w:szCs w:val="22"/>
              </w:rPr>
              <w:t>The Government will introduce the Help to Buy scheme which will support homebuyers with an equity contribution of up to 40 per cent for</w:t>
            </w:r>
            <w:r>
              <w:rPr>
                <w:rFonts w:asciiTheme="minorHAnsi" w:hAnsiTheme="minorHAnsi" w:cstheme="minorBidi"/>
                <w:color w:val="auto"/>
                <w:sz w:val="22"/>
                <w:szCs w:val="22"/>
              </w:rPr>
              <w:t xml:space="preserve"> the purchase price of</w:t>
            </w:r>
            <w:r w:rsidRPr="05759E0F">
              <w:rPr>
                <w:rFonts w:asciiTheme="minorHAnsi" w:hAnsiTheme="minorHAnsi" w:cstheme="minorBidi"/>
                <w:color w:val="auto"/>
                <w:sz w:val="22"/>
                <w:szCs w:val="22"/>
              </w:rPr>
              <w:t xml:space="preserve"> new homes and 30 per cent for existing homes</w:t>
            </w:r>
            <w:r>
              <w:rPr>
                <w:rFonts w:asciiTheme="minorHAnsi" w:hAnsiTheme="minorHAnsi" w:cstheme="minorBidi"/>
                <w:color w:val="auto"/>
                <w:sz w:val="22"/>
                <w:szCs w:val="22"/>
              </w:rPr>
              <w:t xml:space="preserve">. </w:t>
            </w:r>
            <w:r w:rsidRPr="05759E0F">
              <w:rPr>
                <w:rFonts w:asciiTheme="minorHAnsi" w:hAnsiTheme="minorHAnsi" w:cstheme="minorBidi"/>
                <w:color w:val="auto"/>
                <w:sz w:val="22"/>
                <w:szCs w:val="22"/>
              </w:rPr>
              <w:t xml:space="preserve"> </w:t>
            </w:r>
          </w:p>
          <w:p w14:paraId="309E95BE" w14:textId="58F528E4" w:rsidR="002C750E" w:rsidRDefault="002C750E" w:rsidP="00824498">
            <w:pPr>
              <w:pStyle w:val="Milestonetable"/>
              <w:spacing w:line="252" w:lineRule="auto"/>
            </w:pPr>
            <w:r w:rsidRPr="13592D96">
              <w:rPr>
                <w:rFonts w:asciiTheme="minorHAnsi" w:hAnsiTheme="minorHAnsi" w:cstheme="minorBidi"/>
                <w:color w:val="auto"/>
                <w:sz w:val="22"/>
                <w:szCs w:val="22"/>
              </w:rPr>
              <w:t xml:space="preserve">The scheme will be open to applications for four years with 10,000 places available per year. </w:t>
            </w:r>
            <w:r>
              <w:rPr>
                <w:rFonts w:asciiTheme="minorHAnsi" w:hAnsiTheme="minorHAnsi" w:cstheme="minorBidi"/>
                <w:color w:val="auto"/>
                <w:sz w:val="22"/>
                <w:szCs w:val="22"/>
              </w:rPr>
              <w:t xml:space="preserve">All States agreed-in-principle at National Cabinet to progress legislation so the Help to Buy scheme will run nationally. </w:t>
            </w:r>
            <w:r w:rsidRPr="13592D96">
              <w:rPr>
                <w:rFonts w:asciiTheme="minorHAnsi" w:hAnsiTheme="minorHAnsi" w:cstheme="minorBidi"/>
                <w:color w:val="auto"/>
                <w:sz w:val="22"/>
                <w:szCs w:val="22"/>
              </w:rPr>
              <w:t xml:space="preserve">   </w:t>
            </w:r>
          </w:p>
        </w:tc>
        <w:tc>
          <w:tcPr>
            <w:tcW w:w="1915" w:type="dxa"/>
            <w:shd w:val="clear" w:color="auto" w:fill="auto"/>
          </w:tcPr>
          <w:p w14:paraId="4EE376EF" w14:textId="77777777" w:rsidR="002C750E" w:rsidRDefault="002C750E" w:rsidP="00824498">
            <w:pPr>
              <w:pStyle w:val="Milestonetable"/>
              <w:jc w:val="right"/>
            </w:pPr>
            <w:r w:rsidRPr="05759E0F">
              <w:rPr>
                <w:rFonts w:asciiTheme="minorHAnsi" w:hAnsiTheme="minorHAnsi" w:cstheme="minorBidi"/>
                <w:color w:val="auto"/>
                <w:sz w:val="22"/>
                <w:szCs w:val="22"/>
              </w:rPr>
              <w:t>2024</w:t>
            </w:r>
          </w:p>
        </w:tc>
      </w:tr>
      <w:tr w:rsidR="002C750E" w:rsidRPr="00A62AED" w14:paraId="7582FF3A" w14:textId="77777777" w:rsidTr="00824498">
        <w:tc>
          <w:tcPr>
            <w:tcW w:w="14521" w:type="dxa"/>
            <w:gridSpan w:val="3"/>
          </w:tcPr>
          <w:p w14:paraId="1F1EA3EA" w14:textId="77777777" w:rsidR="002C750E" w:rsidRPr="00A62AED" w:rsidRDefault="002C750E" w:rsidP="00824498">
            <w:pPr>
              <w:pStyle w:val="Milestonetable"/>
              <w:ind w:left="145" w:right="47"/>
              <w:jc w:val="center"/>
              <w:rPr>
                <w:rFonts w:asciiTheme="minorHAnsi" w:hAnsiTheme="minorHAnsi" w:cstheme="minorHAnsi"/>
                <w:b/>
                <w:bCs/>
                <w:color w:val="auto"/>
                <w:sz w:val="22"/>
                <w:szCs w:val="22"/>
              </w:rPr>
            </w:pPr>
            <w:r w:rsidRPr="00A62AED">
              <w:rPr>
                <w:rFonts w:asciiTheme="minorHAnsi" w:hAnsiTheme="minorHAnsi" w:cstheme="minorHAnsi"/>
                <w:b/>
                <w:bCs/>
                <w:color w:val="auto"/>
                <w:sz w:val="22"/>
                <w:szCs w:val="22"/>
              </w:rPr>
              <w:t>Reducing barriers to institutional investment</w:t>
            </w:r>
          </w:p>
        </w:tc>
      </w:tr>
      <w:tr w:rsidR="002C750E" w:rsidRPr="003252DE" w14:paraId="668EE81F" w14:textId="77777777" w:rsidTr="00824498">
        <w:tc>
          <w:tcPr>
            <w:tcW w:w="4668" w:type="dxa"/>
          </w:tcPr>
          <w:p w14:paraId="3D864F41" w14:textId="77777777" w:rsidR="002C750E" w:rsidRPr="00F71437" w:rsidRDefault="002C750E" w:rsidP="00824498">
            <w:pPr>
              <w:pStyle w:val="Milestonetable"/>
              <w:ind w:left="127"/>
              <w:rPr>
                <w:rFonts w:asciiTheme="minorHAnsi" w:hAnsiTheme="minorHAnsi" w:cstheme="minorHAnsi"/>
                <w:color w:val="auto"/>
                <w:sz w:val="22"/>
                <w:szCs w:val="22"/>
              </w:rPr>
            </w:pPr>
            <w:r w:rsidRPr="00F71437">
              <w:rPr>
                <w:rFonts w:asciiTheme="minorHAnsi" w:hAnsiTheme="minorHAnsi" w:cstheme="minorHAnsi"/>
                <w:color w:val="auto"/>
                <w:sz w:val="22"/>
                <w:szCs w:val="22"/>
              </w:rPr>
              <w:t xml:space="preserve">The National Housing Supply and Affordability Council will review barriers to institutional investment, </w:t>
            </w:r>
            <w:proofErr w:type="gramStart"/>
            <w:r w:rsidRPr="00F71437">
              <w:rPr>
                <w:rFonts w:asciiTheme="minorHAnsi" w:hAnsiTheme="minorHAnsi" w:cstheme="minorHAnsi"/>
                <w:color w:val="auto"/>
                <w:sz w:val="22"/>
                <w:szCs w:val="22"/>
              </w:rPr>
              <w:t>finance</w:t>
            </w:r>
            <w:proofErr w:type="gramEnd"/>
            <w:r w:rsidRPr="00F71437">
              <w:rPr>
                <w:rFonts w:asciiTheme="minorHAnsi" w:hAnsiTheme="minorHAnsi" w:cstheme="minorHAnsi"/>
                <w:color w:val="auto"/>
                <w:sz w:val="22"/>
                <w:szCs w:val="22"/>
              </w:rPr>
              <w:t xml:space="preserve"> and innovation in housing </w:t>
            </w:r>
          </w:p>
        </w:tc>
        <w:tc>
          <w:tcPr>
            <w:tcW w:w="7938" w:type="dxa"/>
            <w:shd w:val="clear" w:color="auto" w:fill="auto"/>
          </w:tcPr>
          <w:p w14:paraId="649B3BC4" w14:textId="77777777" w:rsidR="002C750E" w:rsidRDefault="002C750E" w:rsidP="00824498">
            <w:pPr>
              <w:pStyle w:val="Milestonetable"/>
              <w:ind w:left="127" w:right="251"/>
              <w:rPr>
                <w:rFonts w:asciiTheme="minorHAnsi" w:hAnsiTheme="minorHAnsi" w:cstheme="minorHAnsi"/>
                <w:color w:val="auto"/>
                <w:sz w:val="22"/>
                <w:szCs w:val="22"/>
              </w:rPr>
            </w:pPr>
            <w:r w:rsidRPr="00F71437">
              <w:rPr>
                <w:rFonts w:asciiTheme="minorHAnsi" w:hAnsiTheme="minorHAnsi" w:cstheme="minorHAnsi"/>
                <w:color w:val="auto"/>
                <w:sz w:val="22"/>
                <w:szCs w:val="22"/>
              </w:rPr>
              <w:t>The</w:t>
            </w:r>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Commonwealth Minister</w:t>
            </w:r>
            <w:proofErr w:type="gramEnd"/>
            <w:r>
              <w:rPr>
                <w:rFonts w:asciiTheme="minorHAnsi" w:hAnsiTheme="minorHAnsi" w:cstheme="minorHAnsi"/>
                <w:color w:val="auto"/>
                <w:sz w:val="22"/>
                <w:szCs w:val="22"/>
              </w:rPr>
              <w:t xml:space="preserve"> for Housing commissioned the review from the</w:t>
            </w:r>
            <w:r w:rsidRPr="00F7143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interim </w:t>
            </w:r>
            <w:r w:rsidRPr="00F71437">
              <w:rPr>
                <w:rFonts w:asciiTheme="minorHAnsi" w:hAnsiTheme="minorHAnsi" w:cstheme="minorHAnsi"/>
                <w:color w:val="auto"/>
                <w:sz w:val="22"/>
                <w:szCs w:val="22"/>
              </w:rPr>
              <w:t>National Housing Supply and Affordability Council</w:t>
            </w:r>
            <w:r>
              <w:rPr>
                <w:rFonts w:asciiTheme="minorHAnsi" w:hAnsiTheme="minorHAnsi" w:cstheme="minorHAnsi"/>
                <w:color w:val="auto"/>
                <w:sz w:val="22"/>
                <w:szCs w:val="22"/>
              </w:rPr>
              <w:t xml:space="preserve"> (the Council) on 9 May 2023. The Council conducted eight roundtables with a broad cross-section of stakeholders, including state and territory government officials. The Council was tasked to deliver its review to the Minister for Housing by 28 July 2023, with findings to be provided to states and territories</w:t>
            </w:r>
            <w:r w:rsidRPr="00F71437">
              <w:rPr>
                <w:rFonts w:asciiTheme="minorHAnsi" w:hAnsiTheme="minorHAnsi" w:cstheme="minorHAnsi"/>
                <w:color w:val="auto"/>
                <w:sz w:val="22"/>
                <w:szCs w:val="22"/>
              </w:rPr>
              <w:t>.</w:t>
            </w:r>
          </w:p>
          <w:p w14:paraId="3250AF29" w14:textId="26303E47" w:rsidR="002C750E" w:rsidRPr="00F71437" w:rsidRDefault="002C750E" w:rsidP="00824498">
            <w:pPr>
              <w:pStyle w:val="Milestonetable"/>
              <w:ind w:left="127" w:right="251"/>
              <w:rPr>
                <w:rFonts w:asciiTheme="minorHAnsi" w:hAnsiTheme="minorHAnsi" w:cstheme="minorHAnsi"/>
                <w:color w:val="auto"/>
                <w:sz w:val="22"/>
                <w:szCs w:val="22"/>
              </w:rPr>
            </w:pPr>
            <w:r>
              <w:rPr>
                <w:rFonts w:asciiTheme="minorHAnsi" w:hAnsiTheme="minorHAnsi" w:cstheme="minorHAnsi"/>
                <w:color w:val="auto"/>
                <w:sz w:val="22"/>
                <w:szCs w:val="22"/>
              </w:rPr>
              <w:t xml:space="preserve">In September 2023, Parliament passed the National Housing Supply and Affordability Council Bill, which will establish the Council as an independent statutory body. The legislation to establish the independent, statutory Council will commence on 27 December 2023 and Council members will be appointed by the </w:t>
            </w:r>
            <w:proofErr w:type="gramStart"/>
            <w:r>
              <w:rPr>
                <w:rFonts w:asciiTheme="minorHAnsi" w:hAnsiTheme="minorHAnsi" w:cstheme="minorHAnsi"/>
                <w:color w:val="auto"/>
                <w:sz w:val="22"/>
                <w:szCs w:val="22"/>
              </w:rPr>
              <w:t>Commonwealth Minister</w:t>
            </w:r>
            <w:proofErr w:type="gramEnd"/>
            <w:r>
              <w:rPr>
                <w:rFonts w:asciiTheme="minorHAnsi" w:hAnsiTheme="minorHAnsi" w:cstheme="minorHAnsi"/>
                <w:color w:val="auto"/>
                <w:sz w:val="22"/>
                <w:szCs w:val="22"/>
              </w:rPr>
              <w:t xml:space="preserve"> for Housing as soon as practical after this date.  </w:t>
            </w:r>
          </w:p>
        </w:tc>
        <w:tc>
          <w:tcPr>
            <w:tcW w:w="1915" w:type="dxa"/>
            <w:shd w:val="clear" w:color="auto" w:fill="auto"/>
          </w:tcPr>
          <w:p w14:paraId="5C5C9361" w14:textId="77777777" w:rsidR="002C750E" w:rsidRPr="003252DE" w:rsidRDefault="002C750E" w:rsidP="00824498">
            <w:pPr>
              <w:pStyle w:val="Milestonetable"/>
              <w:ind w:left="145" w:right="47"/>
              <w:jc w:val="right"/>
              <w:rPr>
                <w:rFonts w:asciiTheme="minorHAnsi" w:hAnsiTheme="minorHAnsi" w:cstheme="minorHAnsi"/>
                <w:color w:val="auto"/>
                <w:sz w:val="22"/>
                <w:szCs w:val="22"/>
              </w:rPr>
            </w:pPr>
            <w:r>
              <w:rPr>
                <w:rFonts w:asciiTheme="minorHAnsi" w:hAnsiTheme="minorHAnsi" w:cstheme="minorHAnsi"/>
                <w:color w:val="auto"/>
                <w:sz w:val="22"/>
                <w:szCs w:val="22"/>
              </w:rPr>
              <w:t>Report published on Council’s website on 8 September 2023</w:t>
            </w:r>
          </w:p>
        </w:tc>
      </w:tr>
      <w:tr w:rsidR="002C750E" w:rsidRPr="003252DE" w14:paraId="3ED0C6EF" w14:textId="77777777" w:rsidTr="00824498">
        <w:tc>
          <w:tcPr>
            <w:tcW w:w="4668" w:type="dxa"/>
          </w:tcPr>
          <w:p w14:paraId="136BDF15"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lastRenderedPageBreak/>
              <w:t>Investor Roundtables</w:t>
            </w:r>
          </w:p>
        </w:tc>
        <w:tc>
          <w:tcPr>
            <w:tcW w:w="7938" w:type="dxa"/>
            <w:shd w:val="clear" w:color="auto" w:fill="auto"/>
          </w:tcPr>
          <w:p w14:paraId="0DDC6F4E" w14:textId="5F32E795" w:rsidR="002C750E" w:rsidRPr="00F71437" w:rsidRDefault="002C750E" w:rsidP="000346C4">
            <w:pPr>
              <w:pStyle w:val="Milestonetable"/>
              <w:ind w:left="127" w:right="251"/>
              <w:rPr>
                <w:rFonts w:asciiTheme="minorHAnsi" w:hAnsiTheme="minorHAnsi" w:cstheme="minorBidi"/>
                <w:color w:val="auto"/>
                <w:sz w:val="22"/>
                <w:szCs w:val="22"/>
              </w:rPr>
            </w:pPr>
            <w:r w:rsidRPr="5DF9B2EA">
              <w:rPr>
                <w:rFonts w:asciiTheme="minorHAnsi" w:hAnsiTheme="minorHAnsi" w:cstheme="minorBidi"/>
                <w:color w:val="auto"/>
                <w:sz w:val="22"/>
                <w:szCs w:val="22"/>
              </w:rPr>
              <w:t xml:space="preserve">The Treasurer commissioned Treasury to </w:t>
            </w:r>
            <w:r>
              <w:rPr>
                <w:rFonts w:asciiTheme="minorHAnsi" w:hAnsiTheme="minorHAnsi" w:cstheme="minorBidi"/>
                <w:color w:val="auto"/>
                <w:sz w:val="22"/>
                <w:szCs w:val="22"/>
              </w:rPr>
              <w:t>report on</w:t>
            </w:r>
            <w:r w:rsidRPr="5DF9B2EA">
              <w:rPr>
                <w:rFonts w:asciiTheme="minorHAnsi" w:hAnsiTheme="minorHAnsi" w:cstheme="minorBidi"/>
                <w:color w:val="auto"/>
                <w:sz w:val="22"/>
                <w:szCs w:val="22"/>
              </w:rPr>
              <w:t xml:space="preserve"> international </w:t>
            </w:r>
            <w:r>
              <w:rPr>
                <w:rFonts w:asciiTheme="minorHAnsi" w:hAnsiTheme="minorHAnsi" w:cstheme="minorBidi"/>
                <w:color w:val="auto"/>
                <w:sz w:val="22"/>
                <w:szCs w:val="22"/>
              </w:rPr>
              <w:t xml:space="preserve">trends in </w:t>
            </w:r>
            <w:r w:rsidRPr="5DF9B2EA">
              <w:rPr>
                <w:rFonts w:asciiTheme="minorHAnsi" w:hAnsiTheme="minorHAnsi" w:cstheme="minorBidi"/>
                <w:color w:val="auto"/>
                <w:sz w:val="22"/>
                <w:szCs w:val="22"/>
              </w:rPr>
              <w:t xml:space="preserve">institutional investment in housing as one outcome from the </w:t>
            </w:r>
            <w:r>
              <w:rPr>
                <w:rFonts w:asciiTheme="minorHAnsi" w:hAnsiTheme="minorHAnsi" w:cstheme="minorBidi"/>
                <w:color w:val="auto"/>
                <w:sz w:val="22"/>
                <w:szCs w:val="22"/>
              </w:rPr>
              <w:t xml:space="preserve">Treasurer’s </w:t>
            </w:r>
            <w:r w:rsidRPr="5DF9B2EA">
              <w:rPr>
                <w:rFonts w:asciiTheme="minorHAnsi" w:hAnsiTheme="minorHAnsi" w:cstheme="minorBidi"/>
                <w:color w:val="auto"/>
                <w:sz w:val="22"/>
                <w:szCs w:val="22"/>
              </w:rPr>
              <w:t>inaugural Investor Roundtable on Housing, held 25 November 2022. In late April</w:t>
            </w:r>
            <w:r>
              <w:rPr>
                <w:rFonts w:asciiTheme="minorHAnsi" w:hAnsiTheme="minorHAnsi" w:cstheme="minorBidi"/>
                <w:color w:val="auto"/>
                <w:sz w:val="22"/>
                <w:szCs w:val="22"/>
              </w:rPr>
              <w:t xml:space="preserve"> 2023</w:t>
            </w:r>
            <w:r w:rsidRPr="5DF9B2EA">
              <w:rPr>
                <w:rFonts w:asciiTheme="minorHAnsi" w:hAnsiTheme="minorHAnsi" w:cstheme="minorBidi"/>
                <w:color w:val="auto"/>
                <w:sz w:val="22"/>
                <w:szCs w:val="22"/>
              </w:rPr>
              <w:t xml:space="preserve">, an update was provided to Investor Roundtable </w:t>
            </w:r>
            <w:r>
              <w:rPr>
                <w:rFonts w:asciiTheme="minorHAnsi" w:hAnsiTheme="minorHAnsi" w:cstheme="minorBidi"/>
                <w:color w:val="auto"/>
                <w:sz w:val="22"/>
                <w:szCs w:val="22"/>
              </w:rPr>
              <w:t>members highlighting the</w:t>
            </w:r>
            <w:r w:rsidRPr="5DF9B2EA">
              <w:rPr>
                <w:rFonts w:asciiTheme="minorHAnsi" w:hAnsiTheme="minorHAnsi" w:cstheme="minorBidi"/>
                <w:color w:val="auto"/>
                <w:sz w:val="22"/>
                <w:szCs w:val="22"/>
              </w:rPr>
              <w:t xml:space="preserve"> large and growing shortage of housing across </w:t>
            </w:r>
            <w:proofErr w:type="gramStart"/>
            <w:r>
              <w:rPr>
                <w:rFonts w:asciiTheme="minorHAnsi" w:hAnsiTheme="minorHAnsi" w:cstheme="minorBidi"/>
                <w:color w:val="auto"/>
                <w:sz w:val="22"/>
                <w:szCs w:val="22"/>
              </w:rPr>
              <w:t>a number of</w:t>
            </w:r>
            <w:proofErr w:type="gramEnd"/>
            <w:r>
              <w:rPr>
                <w:rFonts w:asciiTheme="minorHAnsi" w:hAnsiTheme="minorHAnsi" w:cstheme="minorBidi"/>
                <w:color w:val="auto"/>
                <w:sz w:val="22"/>
                <w:szCs w:val="22"/>
              </w:rPr>
              <w:t xml:space="preserve"> </w:t>
            </w:r>
            <w:r w:rsidRPr="5DF9B2EA">
              <w:rPr>
                <w:rFonts w:asciiTheme="minorHAnsi" w:hAnsiTheme="minorHAnsi" w:cstheme="minorBidi"/>
                <w:color w:val="auto"/>
                <w:sz w:val="22"/>
                <w:szCs w:val="22"/>
              </w:rPr>
              <w:t xml:space="preserve">developed </w:t>
            </w:r>
            <w:r>
              <w:rPr>
                <w:rFonts w:asciiTheme="minorHAnsi" w:hAnsiTheme="minorHAnsi" w:cstheme="minorBidi"/>
                <w:color w:val="auto"/>
                <w:sz w:val="22"/>
                <w:szCs w:val="22"/>
              </w:rPr>
              <w:t>countries,</w:t>
            </w:r>
            <w:r w:rsidRPr="5DF9B2EA">
              <w:rPr>
                <w:rFonts w:asciiTheme="minorHAnsi" w:hAnsiTheme="minorHAnsi" w:cstheme="minorBidi"/>
                <w:color w:val="auto"/>
                <w:sz w:val="22"/>
                <w:szCs w:val="22"/>
              </w:rPr>
              <w:t xml:space="preserve"> as markets struggle to respond to demographic changes and supply constraints.</w:t>
            </w:r>
          </w:p>
        </w:tc>
        <w:tc>
          <w:tcPr>
            <w:tcW w:w="1915" w:type="dxa"/>
            <w:shd w:val="clear" w:color="auto" w:fill="auto"/>
          </w:tcPr>
          <w:p w14:paraId="2590CB37" w14:textId="50F5A6EF" w:rsidR="002C750E" w:rsidRPr="003252DE" w:rsidRDefault="002C750E" w:rsidP="00006C98">
            <w:pPr>
              <w:pStyle w:val="Milestonetable"/>
              <w:ind w:right="47"/>
              <w:jc w:val="right"/>
              <w:rPr>
                <w:rFonts w:asciiTheme="minorHAnsi" w:hAnsiTheme="minorHAnsi" w:cstheme="minorBidi"/>
                <w:color w:val="auto"/>
                <w:sz w:val="22"/>
                <w:szCs w:val="22"/>
              </w:rPr>
            </w:pPr>
            <w:r w:rsidRPr="750713B4">
              <w:rPr>
                <w:rFonts w:asciiTheme="minorHAnsi" w:hAnsiTheme="minorHAnsi" w:cstheme="minorBidi"/>
                <w:color w:val="auto"/>
                <w:sz w:val="22"/>
                <w:szCs w:val="22"/>
              </w:rPr>
              <w:t xml:space="preserve">Treasury report completed September 2023, for circulation to Investor Roundtable before next meeting. </w:t>
            </w:r>
          </w:p>
        </w:tc>
      </w:tr>
      <w:tr w:rsidR="002C750E" w:rsidRPr="003252DE" w14:paraId="64C490EF" w14:textId="77777777" w:rsidTr="00824498">
        <w:tc>
          <w:tcPr>
            <w:tcW w:w="14521" w:type="dxa"/>
            <w:gridSpan w:val="3"/>
          </w:tcPr>
          <w:p w14:paraId="6A6CA360" w14:textId="77777777" w:rsidR="002C750E" w:rsidRPr="003252DE" w:rsidRDefault="002C750E" w:rsidP="00824498">
            <w:pPr>
              <w:pStyle w:val="Milestonetable"/>
              <w:ind w:left="145" w:right="47"/>
              <w:jc w:val="center"/>
              <w:rPr>
                <w:rFonts w:asciiTheme="minorHAnsi" w:hAnsiTheme="minorHAnsi" w:cstheme="minorHAnsi"/>
                <w:color w:val="auto"/>
                <w:sz w:val="22"/>
                <w:szCs w:val="22"/>
              </w:rPr>
            </w:pPr>
            <w:r w:rsidRPr="00031C69">
              <w:rPr>
                <w:rFonts w:asciiTheme="minorHAnsi" w:hAnsiTheme="minorHAnsi" w:cstheme="minorHAnsi"/>
                <w:b/>
                <w:bCs/>
                <w:color w:val="auto"/>
                <w:sz w:val="22"/>
                <w:szCs w:val="22"/>
              </w:rPr>
              <w:t>Increasing housing supply</w:t>
            </w:r>
          </w:p>
        </w:tc>
      </w:tr>
      <w:tr w:rsidR="002C750E" w:rsidRPr="00F71437" w14:paraId="13D17FF8" w14:textId="77777777" w:rsidTr="00824498">
        <w:trPr>
          <w:trHeight w:val="4470"/>
        </w:trPr>
        <w:tc>
          <w:tcPr>
            <w:tcW w:w="4668" w:type="dxa"/>
          </w:tcPr>
          <w:p w14:paraId="63F912B7" w14:textId="77777777" w:rsidR="002C750E" w:rsidRPr="00F71437" w:rsidRDefault="002C750E" w:rsidP="00824498">
            <w:pPr>
              <w:pStyle w:val="Milestonetable"/>
              <w:ind w:left="127"/>
              <w:rPr>
                <w:rFonts w:asciiTheme="minorHAnsi" w:hAnsiTheme="minorHAnsi" w:cstheme="minorHAnsi"/>
                <w:color w:val="auto"/>
                <w:sz w:val="22"/>
                <w:szCs w:val="22"/>
              </w:rPr>
            </w:pPr>
            <w:r w:rsidRPr="00F71437">
              <w:rPr>
                <w:rFonts w:asciiTheme="minorHAnsi" w:hAnsiTheme="minorHAnsi" w:cstheme="minorHAnsi"/>
                <w:color w:val="auto"/>
                <w:sz w:val="22"/>
                <w:szCs w:val="22"/>
              </w:rPr>
              <w:t>Lead development and agreement to the National Housing and Homelessness Plan</w:t>
            </w:r>
            <w:r>
              <w:rPr>
                <w:rFonts w:asciiTheme="minorHAnsi" w:hAnsiTheme="minorHAnsi" w:cstheme="minorHAnsi"/>
                <w:color w:val="auto"/>
                <w:sz w:val="22"/>
                <w:szCs w:val="22"/>
              </w:rPr>
              <w:t>.</w:t>
            </w:r>
          </w:p>
        </w:tc>
        <w:tc>
          <w:tcPr>
            <w:tcW w:w="7938" w:type="dxa"/>
            <w:shd w:val="clear" w:color="auto" w:fill="auto"/>
          </w:tcPr>
          <w:p w14:paraId="654FD3EA" w14:textId="77777777" w:rsidR="002C750E" w:rsidRDefault="002C750E" w:rsidP="00824498">
            <w:pPr>
              <w:pStyle w:val="Milestonetable"/>
              <w:ind w:left="127" w:right="251"/>
              <w:rPr>
                <w:rFonts w:ascii="Calibri" w:hAnsi="Calibri"/>
                <w:color w:val="auto"/>
                <w:sz w:val="22"/>
                <w:szCs w:val="22"/>
                <w:lang w:val="en-AU" w:eastAsia="en-US"/>
              </w:rPr>
            </w:pPr>
            <w:r w:rsidRPr="00356BA7">
              <w:rPr>
                <w:rFonts w:ascii="Calibri" w:hAnsi="Calibri"/>
                <w:color w:val="auto"/>
                <w:sz w:val="22"/>
                <w:szCs w:val="22"/>
                <w:lang w:val="en-AU" w:eastAsia="en-US"/>
              </w:rPr>
              <w:t>The Government</w:t>
            </w:r>
            <w:r>
              <w:rPr>
                <w:rFonts w:ascii="Calibri" w:hAnsi="Calibri"/>
                <w:color w:val="auto"/>
                <w:sz w:val="22"/>
                <w:szCs w:val="22"/>
                <w:lang w:val="en-AU" w:eastAsia="en-US"/>
              </w:rPr>
              <w:t xml:space="preserve"> </w:t>
            </w:r>
            <w:r w:rsidRPr="00356BA7">
              <w:rPr>
                <w:rFonts w:ascii="Calibri" w:hAnsi="Calibri"/>
                <w:color w:val="auto"/>
                <w:sz w:val="22"/>
                <w:szCs w:val="22"/>
                <w:lang w:val="en-AU" w:eastAsia="en-US"/>
              </w:rPr>
              <w:t xml:space="preserve">is developing a National Housing and Homelessness Plan </w:t>
            </w:r>
            <w:r>
              <w:rPr>
                <w:rFonts w:ascii="Calibri" w:hAnsi="Calibri"/>
                <w:color w:val="auto"/>
                <w:sz w:val="22"/>
                <w:szCs w:val="22"/>
                <w:lang w:val="en-AU" w:eastAsia="en-US"/>
              </w:rPr>
              <w:t xml:space="preserve">(the Plan) </w:t>
            </w:r>
            <w:r w:rsidRPr="00356BA7" w:rsidDel="00B56359">
              <w:rPr>
                <w:rFonts w:ascii="Calibri" w:hAnsi="Calibri"/>
                <w:color w:val="auto"/>
                <w:sz w:val="22"/>
                <w:szCs w:val="22"/>
                <w:lang w:val="en-AU" w:eastAsia="en-US"/>
              </w:rPr>
              <w:t>to help more Australians access safe and affordable</w:t>
            </w:r>
            <w:r w:rsidRPr="00356BA7">
              <w:rPr>
                <w:rFonts w:ascii="Calibri" w:hAnsi="Calibri"/>
                <w:color w:val="auto"/>
                <w:sz w:val="22"/>
                <w:szCs w:val="22"/>
                <w:lang w:val="en-AU" w:eastAsia="en-US"/>
              </w:rPr>
              <w:t xml:space="preserve"> housing</w:t>
            </w:r>
            <w:r w:rsidRPr="00356BA7" w:rsidDel="00B56359">
              <w:rPr>
                <w:rFonts w:ascii="Calibri" w:hAnsi="Calibri"/>
                <w:color w:val="auto"/>
                <w:sz w:val="22"/>
                <w:szCs w:val="22"/>
                <w:lang w:val="en-AU" w:eastAsia="en-US"/>
              </w:rPr>
              <w:t xml:space="preserve">. </w:t>
            </w:r>
            <w:r w:rsidRPr="00356BA7">
              <w:rPr>
                <w:rFonts w:ascii="Calibri" w:hAnsi="Calibri"/>
                <w:color w:val="auto"/>
                <w:sz w:val="22"/>
                <w:szCs w:val="22"/>
                <w:lang w:val="en-AU" w:eastAsia="en-US"/>
              </w:rPr>
              <w:t>The Plan will</w:t>
            </w:r>
            <w:r>
              <w:rPr>
                <w:rFonts w:ascii="Calibri" w:hAnsi="Calibri"/>
                <w:color w:val="auto"/>
                <w:sz w:val="22"/>
                <w:szCs w:val="22"/>
                <w:lang w:val="en-AU" w:eastAsia="en-US"/>
              </w:rPr>
              <w:t xml:space="preserve"> be a 10-year strategy and will</w:t>
            </w:r>
            <w:r w:rsidRPr="00356BA7">
              <w:rPr>
                <w:rFonts w:ascii="Calibri" w:hAnsi="Calibri"/>
                <w:color w:val="auto"/>
                <w:sz w:val="22"/>
                <w:szCs w:val="22"/>
                <w:lang w:val="en-AU" w:eastAsia="en-US"/>
              </w:rPr>
              <w:t xml:space="preserve"> set out a</w:t>
            </w:r>
            <w:r w:rsidRPr="00356BA7" w:rsidDel="00024FAA">
              <w:rPr>
                <w:rFonts w:ascii="Calibri" w:hAnsi="Calibri"/>
                <w:color w:val="auto"/>
                <w:sz w:val="22"/>
                <w:szCs w:val="22"/>
                <w:lang w:val="en-AU" w:eastAsia="en-US"/>
              </w:rPr>
              <w:t xml:space="preserve"> </w:t>
            </w:r>
            <w:r w:rsidRPr="00356BA7">
              <w:rPr>
                <w:rFonts w:ascii="Calibri" w:hAnsi="Calibri"/>
                <w:color w:val="auto"/>
                <w:sz w:val="22"/>
                <w:szCs w:val="22"/>
                <w:lang w:val="en-AU" w:eastAsia="en-US"/>
              </w:rPr>
              <w:t>shared national vision across the responsibilities of different levels of government to improve housing outcomes and help address homelessness in Australia.</w:t>
            </w:r>
            <w:r>
              <w:rPr>
                <w:rFonts w:ascii="Calibri" w:hAnsi="Calibri"/>
                <w:color w:val="auto"/>
                <w:sz w:val="22"/>
                <w:szCs w:val="22"/>
                <w:lang w:val="en-AU" w:eastAsia="en-US"/>
              </w:rPr>
              <w:t xml:space="preserve"> </w:t>
            </w:r>
          </w:p>
          <w:p w14:paraId="4281A541" w14:textId="77777777" w:rsidR="002C750E" w:rsidRPr="00267C0C" w:rsidRDefault="002C750E" w:rsidP="00824498">
            <w:pPr>
              <w:pStyle w:val="Milestonetable"/>
              <w:ind w:left="127" w:right="251"/>
              <w:rPr>
                <w:rFonts w:ascii="Calibri" w:hAnsi="Calibri"/>
                <w:color w:val="auto"/>
                <w:sz w:val="22"/>
                <w:szCs w:val="22"/>
                <w:lang w:val="en-AU" w:eastAsia="en-US"/>
              </w:rPr>
            </w:pPr>
            <w:r w:rsidRPr="00267C0C">
              <w:rPr>
                <w:rFonts w:ascii="Calibri" w:hAnsi="Calibri"/>
                <w:color w:val="auto"/>
                <w:sz w:val="22"/>
                <w:szCs w:val="22"/>
                <w:lang w:val="en-AU" w:eastAsia="en-US"/>
              </w:rPr>
              <w:t>The Plan is being developed in collaboration with key stakeholders including state and territory governments, local government, not-for-profit and civil society organisations, industry bodies, superannuation funds and other experts in housing, finance and urban development.</w:t>
            </w:r>
            <w:r>
              <w:rPr>
                <w:rFonts w:ascii="Calibri" w:hAnsi="Calibri"/>
                <w:color w:val="auto"/>
                <w:sz w:val="22"/>
                <w:szCs w:val="22"/>
                <w:lang w:val="en-AU" w:eastAsia="en-US"/>
              </w:rPr>
              <w:t xml:space="preserve"> </w:t>
            </w:r>
          </w:p>
          <w:p w14:paraId="02AD8203" w14:textId="7B11F823" w:rsidR="002C750E" w:rsidRDefault="002C750E" w:rsidP="00824498">
            <w:pPr>
              <w:pStyle w:val="Milestonetable"/>
              <w:ind w:left="127" w:right="251"/>
              <w:rPr>
                <w:rFonts w:ascii="Calibri" w:hAnsi="Calibri"/>
                <w:color w:val="auto"/>
                <w:sz w:val="22"/>
                <w:szCs w:val="22"/>
                <w:lang w:val="en-AU" w:eastAsia="en-US"/>
              </w:rPr>
            </w:pPr>
            <w:r w:rsidRPr="00267C0C">
              <w:rPr>
                <w:rFonts w:ascii="Calibri" w:hAnsi="Calibri"/>
                <w:color w:val="auto"/>
                <w:sz w:val="22"/>
                <w:szCs w:val="22"/>
                <w:lang w:val="en-AU" w:eastAsia="en-US"/>
              </w:rPr>
              <w:t xml:space="preserve">The Government has released an Issues Paper and is seeking feedback on the key issues in the housing and homelessness systems that need to be considered in the development of the Plan. The Government is also hosting face-to-face and online consultations across Australia. Consultations have begun and will continue until </w:t>
            </w:r>
            <w:r>
              <w:rPr>
                <w:rFonts w:ascii="Calibri" w:hAnsi="Calibri"/>
                <w:color w:val="auto"/>
                <w:sz w:val="22"/>
                <w:szCs w:val="22"/>
                <w:lang w:val="en-AU" w:eastAsia="en-US"/>
              </w:rPr>
              <w:t>December</w:t>
            </w:r>
            <w:r w:rsidRPr="00267C0C">
              <w:rPr>
                <w:rFonts w:ascii="Calibri" w:hAnsi="Calibri"/>
                <w:color w:val="auto"/>
                <w:sz w:val="22"/>
                <w:szCs w:val="22"/>
                <w:lang w:val="en-AU" w:eastAsia="en-US"/>
              </w:rPr>
              <w:t xml:space="preserve"> 2023. </w:t>
            </w:r>
          </w:p>
          <w:p w14:paraId="14B6C15C" w14:textId="1CD69573" w:rsidR="002C750E" w:rsidRPr="00FB3D78" w:rsidRDefault="002C750E" w:rsidP="00006C98">
            <w:pPr>
              <w:pStyle w:val="Milestonetable"/>
              <w:spacing w:line="252" w:lineRule="auto"/>
              <w:ind w:left="127" w:right="251"/>
              <w:rPr>
                <w:rFonts w:ascii="Calibri" w:hAnsi="Calibri"/>
                <w:color w:val="auto"/>
                <w:sz w:val="22"/>
                <w:szCs w:val="22"/>
                <w:lang w:eastAsia="en-US"/>
              </w:rPr>
            </w:pPr>
            <w:r>
              <w:rPr>
                <w:rFonts w:ascii="Calibri" w:hAnsi="Calibri"/>
                <w:color w:val="auto"/>
                <w:sz w:val="22"/>
                <w:szCs w:val="22"/>
                <w:lang w:eastAsia="en-US"/>
              </w:rPr>
              <w:t>The Plan is expected to be released in 2024.</w:t>
            </w:r>
          </w:p>
        </w:tc>
        <w:tc>
          <w:tcPr>
            <w:tcW w:w="1915" w:type="dxa"/>
            <w:shd w:val="clear" w:color="auto" w:fill="auto"/>
          </w:tcPr>
          <w:p w14:paraId="4224AB6E" w14:textId="77777777" w:rsidR="002C750E" w:rsidRPr="00F71437" w:rsidRDefault="002C750E" w:rsidP="00824498">
            <w:pPr>
              <w:pStyle w:val="Milestonetable"/>
              <w:jc w:val="right"/>
              <w:rPr>
                <w:rFonts w:asciiTheme="minorHAnsi" w:hAnsiTheme="minorHAnsi" w:cstheme="minorHAnsi"/>
                <w:color w:val="auto"/>
                <w:sz w:val="22"/>
                <w:szCs w:val="22"/>
                <w:highlight w:val="yellow"/>
              </w:rPr>
            </w:pPr>
            <w:r w:rsidRPr="00CD34D3">
              <w:rPr>
                <w:rFonts w:asciiTheme="minorHAnsi" w:hAnsiTheme="minorHAnsi" w:cstheme="minorHAnsi"/>
                <w:color w:val="auto"/>
                <w:sz w:val="22"/>
                <w:szCs w:val="22"/>
              </w:rPr>
              <w:t>Plan</w:t>
            </w:r>
            <w:r>
              <w:rPr>
                <w:rFonts w:asciiTheme="minorHAnsi" w:hAnsiTheme="minorHAnsi" w:cstheme="minorHAnsi"/>
                <w:color w:val="auto"/>
                <w:sz w:val="22"/>
                <w:szCs w:val="22"/>
              </w:rPr>
              <w:t xml:space="preserve"> expected to be released in 2024</w:t>
            </w:r>
          </w:p>
        </w:tc>
      </w:tr>
      <w:tr w:rsidR="002C750E" w:rsidRPr="00CD34D3" w14:paraId="1BE693DA" w14:textId="77777777" w:rsidTr="00824498">
        <w:tc>
          <w:tcPr>
            <w:tcW w:w="4668" w:type="dxa"/>
          </w:tcPr>
          <w:p w14:paraId="6726FADF" w14:textId="77777777" w:rsidR="002C750E"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 xml:space="preserve">Planning, </w:t>
            </w:r>
            <w:proofErr w:type="gramStart"/>
            <w:r>
              <w:rPr>
                <w:rFonts w:asciiTheme="minorHAnsi" w:hAnsiTheme="minorHAnsi" w:cstheme="minorHAnsi"/>
                <w:color w:val="auto"/>
                <w:sz w:val="22"/>
                <w:szCs w:val="22"/>
              </w:rPr>
              <w:t>zoning</w:t>
            </w:r>
            <w:proofErr w:type="gramEnd"/>
            <w:r>
              <w:rPr>
                <w:rFonts w:asciiTheme="minorHAnsi" w:hAnsiTheme="minorHAnsi" w:cstheme="minorHAnsi"/>
                <w:color w:val="auto"/>
                <w:sz w:val="22"/>
                <w:szCs w:val="22"/>
              </w:rPr>
              <w:t xml:space="preserve"> and land release</w:t>
            </w:r>
          </w:p>
        </w:tc>
        <w:tc>
          <w:tcPr>
            <w:tcW w:w="7938" w:type="dxa"/>
            <w:shd w:val="clear" w:color="auto" w:fill="auto"/>
          </w:tcPr>
          <w:p w14:paraId="5D733C8A" w14:textId="77777777" w:rsidR="002C750E" w:rsidRPr="00962C45" w:rsidRDefault="002C750E" w:rsidP="00824498">
            <w:pPr>
              <w:pStyle w:val="Milestonetable"/>
              <w:ind w:left="127"/>
              <w:rPr>
                <w:rFonts w:ascii="Calibri" w:hAnsi="Calibri"/>
                <w:color w:val="auto"/>
                <w:sz w:val="22"/>
                <w:szCs w:val="22"/>
                <w:lang w:eastAsia="en-US"/>
              </w:rPr>
            </w:pPr>
            <w:r w:rsidRPr="00962C45">
              <w:rPr>
                <w:rFonts w:ascii="Calibri" w:hAnsi="Calibri"/>
                <w:color w:val="auto"/>
                <w:sz w:val="22"/>
                <w:szCs w:val="22"/>
                <w:lang w:eastAsia="en-US"/>
              </w:rPr>
              <w:t xml:space="preserve">First Ministers have agreed that Planning Ministers will develop a proposal for National Cabinet outlining reforms to increase housing supply and affordability, working with the Australian Local Government Association. </w:t>
            </w:r>
          </w:p>
          <w:p w14:paraId="28E659D1" w14:textId="77777777" w:rsidR="002C750E" w:rsidRPr="00F141F0" w:rsidRDefault="002C750E" w:rsidP="00824498">
            <w:pPr>
              <w:pStyle w:val="Milestonetable"/>
              <w:ind w:left="127" w:right="251"/>
              <w:rPr>
                <w:rFonts w:cstheme="minorHAnsi"/>
              </w:rPr>
            </w:pPr>
            <w:r w:rsidRPr="00962C45">
              <w:rPr>
                <w:rFonts w:ascii="Calibri" w:hAnsi="Calibri"/>
                <w:color w:val="auto"/>
                <w:sz w:val="22"/>
                <w:szCs w:val="22"/>
                <w:lang w:eastAsia="en-US"/>
              </w:rPr>
              <w:t xml:space="preserve">The </w:t>
            </w:r>
            <w:proofErr w:type="gramStart"/>
            <w:r w:rsidRPr="00962C45">
              <w:rPr>
                <w:rFonts w:ascii="Calibri" w:hAnsi="Calibri"/>
                <w:color w:val="auto"/>
                <w:sz w:val="22"/>
                <w:szCs w:val="22"/>
                <w:lang w:eastAsia="en-US"/>
              </w:rPr>
              <w:t>Commonwealth Minister</w:t>
            </w:r>
            <w:proofErr w:type="gramEnd"/>
            <w:r w:rsidRPr="00962C45">
              <w:rPr>
                <w:rFonts w:ascii="Calibri" w:hAnsi="Calibri"/>
                <w:color w:val="auto"/>
                <w:sz w:val="22"/>
                <w:szCs w:val="22"/>
                <w:lang w:eastAsia="en-US"/>
              </w:rPr>
              <w:t xml:space="preserve"> for Infrastructure, Transport, Regional Development and Local Government convened the Planning Ministers’ Meeting in July 2023 to progress work on this proposal, and reported back to National Cabinet on 16 August 2023 with a National Planning Reform Blueprint on with planning, zoning, land release and other measures to </w:t>
            </w:r>
            <w:r w:rsidRPr="00962C45">
              <w:rPr>
                <w:rFonts w:ascii="Calibri" w:hAnsi="Calibri"/>
                <w:color w:val="auto"/>
                <w:sz w:val="22"/>
                <w:szCs w:val="22"/>
                <w:lang w:eastAsia="en-US"/>
              </w:rPr>
              <w:lastRenderedPageBreak/>
              <w:t xml:space="preserve">improve housing supply and affordability. The Blueprint </w:t>
            </w:r>
            <w:proofErr w:type="gramStart"/>
            <w:r w:rsidRPr="00962C45">
              <w:rPr>
                <w:rFonts w:ascii="Calibri" w:hAnsi="Calibri"/>
                <w:color w:val="auto"/>
                <w:sz w:val="22"/>
                <w:szCs w:val="22"/>
                <w:lang w:eastAsia="en-US"/>
              </w:rPr>
              <w:t>includes:</w:t>
            </w:r>
            <w:proofErr w:type="gramEnd"/>
            <w:r w:rsidRPr="00962C45">
              <w:rPr>
                <w:rFonts w:ascii="Calibri" w:hAnsi="Calibri"/>
                <w:color w:val="auto"/>
                <w:sz w:val="22"/>
                <w:szCs w:val="22"/>
                <w:lang w:eastAsia="en-US"/>
              </w:rPr>
              <w:t xml:space="preserve"> updating state, regional, and local strategic plans to reflect housing supply targets; promoting medium and high-density housing in well-located areas close to existing public transport connections, amenities and employment; and streamlining approval pathways.</w:t>
            </w:r>
          </w:p>
        </w:tc>
        <w:tc>
          <w:tcPr>
            <w:tcW w:w="1915" w:type="dxa"/>
            <w:shd w:val="clear" w:color="auto" w:fill="auto"/>
          </w:tcPr>
          <w:p w14:paraId="28107F0B" w14:textId="77777777" w:rsidR="002C750E" w:rsidRPr="00CD34D3" w:rsidRDefault="002C750E" w:rsidP="00824498">
            <w:pPr>
              <w:pStyle w:val="Milestonetable"/>
              <w:jc w:val="right"/>
              <w:rPr>
                <w:rFonts w:asciiTheme="minorHAnsi" w:hAnsiTheme="minorHAnsi" w:cstheme="minorHAnsi"/>
                <w:color w:val="auto"/>
                <w:sz w:val="22"/>
                <w:szCs w:val="22"/>
              </w:rPr>
            </w:pPr>
            <w:r w:rsidRPr="001C7622">
              <w:rPr>
                <w:rFonts w:asciiTheme="minorHAnsi" w:hAnsiTheme="minorHAnsi" w:cstheme="minorHAnsi"/>
                <w:color w:val="auto"/>
                <w:sz w:val="22"/>
                <w:szCs w:val="22"/>
              </w:rPr>
              <w:lastRenderedPageBreak/>
              <w:t>Reported to National Cabinet August 2023</w:t>
            </w:r>
          </w:p>
        </w:tc>
      </w:tr>
      <w:tr w:rsidR="002C750E" w14:paraId="5806BC05" w14:textId="77777777" w:rsidTr="00824498">
        <w:tc>
          <w:tcPr>
            <w:tcW w:w="4668" w:type="dxa"/>
          </w:tcPr>
          <w:p w14:paraId="77C2D747" w14:textId="77777777" w:rsidR="002C750E" w:rsidDel="00776DCF"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The Commonwealth is providing payments to incentivise the delivery of new homes</w:t>
            </w:r>
          </w:p>
        </w:tc>
        <w:tc>
          <w:tcPr>
            <w:tcW w:w="7938" w:type="dxa"/>
            <w:shd w:val="clear" w:color="auto" w:fill="auto"/>
          </w:tcPr>
          <w:p w14:paraId="08C9AAC5" w14:textId="77777777" w:rsidR="002C750E" w:rsidRDefault="002C750E" w:rsidP="00824498">
            <w:pPr>
              <w:pStyle w:val="Milestonetable"/>
              <w:ind w:left="127" w:right="251"/>
              <w:rPr>
                <w:rFonts w:asciiTheme="minorHAnsi" w:hAnsiTheme="minorHAnsi" w:cstheme="minorBidi"/>
                <w:color w:val="auto"/>
                <w:sz w:val="22"/>
                <w:szCs w:val="22"/>
              </w:rPr>
            </w:pPr>
            <w:r w:rsidRPr="00120BD9">
              <w:rPr>
                <w:rFonts w:asciiTheme="minorHAnsi" w:hAnsiTheme="minorHAnsi" w:cstheme="minorHAnsi"/>
                <w:color w:val="auto"/>
                <w:sz w:val="22"/>
                <w:szCs w:val="22"/>
              </w:rPr>
              <w:t>The Commonwealth has committed to $3 billion for performance-funding under the New Homes Bonus for states and territories that achieve more than their share of the one million well-located homes target under the Accord</w:t>
            </w:r>
            <w:r w:rsidRPr="0021345C">
              <w:rPr>
                <w:rFonts w:asciiTheme="minorHAnsi" w:hAnsiTheme="minorHAnsi" w:cstheme="minorBidi"/>
                <w:color w:val="auto"/>
                <w:sz w:val="22"/>
                <w:szCs w:val="22"/>
              </w:rPr>
              <w:t>, up to their share of the new 1.2 million homes target.</w:t>
            </w:r>
          </w:p>
          <w:p w14:paraId="3BA8F14D" w14:textId="77777777" w:rsidR="002C750E" w:rsidRPr="00EC0219" w:rsidRDefault="002C750E" w:rsidP="00824498">
            <w:pPr>
              <w:pStyle w:val="Milestonetable"/>
              <w:ind w:left="127" w:right="251"/>
              <w:rPr>
                <w:rFonts w:asciiTheme="minorHAnsi" w:hAnsiTheme="minorHAnsi" w:cstheme="minorBidi"/>
                <w:color w:val="auto"/>
                <w:sz w:val="22"/>
                <w:szCs w:val="22"/>
              </w:rPr>
            </w:pPr>
          </w:p>
          <w:p w14:paraId="52E87837" w14:textId="77777777" w:rsidR="00AF1F2E" w:rsidRDefault="00AF1F2E" w:rsidP="00824498">
            <w:pPr>
              <w:pStyle w:val="Milestonetable"/>
              <w:ind w:left="127" w:right="251"/>
              <w:rPr>
                <w:rFonts w:asciiTheme="minorHAnsi" w:hAnsiTheme="minorHAnsi" w:cstheme="minorBidi"/>
                <w:color w:val="auto"/>
                <w:sz w:val="22"/>
                <w:szCs w:val="22"/>
              </w:rPr>
            </w:pPr>
          </w:p>
          <w:p w14:paraId="3B2137B8" w14:textId="77777777" w:rsidR="00AF1F2E" w:rsidRDefault="00AF1F2E" w:rsidP="00824498">
            <w:pPr>
              <w:pStyle w:val="Milestonetable"/>
              <w:ind w:left="127" w:right="251"/>
              <w:rPr>
                <w:rFonts w:asciiTheme="minorHAnsi" w:hAnsiTheme="minorHAnsi" w:cstheme="minorBidi"/>
                <w:color w:val="auto"/>
                <w:sz w:val="22"/>
                <w:szCs w:val="22"/>
              </w:rPr>
            </w:pPr>
          </w:p>
          <w:p w14:paraId="57702841" w14:textId="77777777" w:rsidR="00AF1F2E" w:rsidRDefault="00AF1F2E" w:rsidP="00824498">
            <w:pPr>
              <w:pStyle w:val="Milestonetable"/>
              <w:ind w:left="127" w:right="251"/>
              <w:rPr>
                <w:rFonts w:asciiTheme="minorHAnsi" w:hAnsiTheme="minorHAnsi" w:cstheme="minorBidi"/>
                <w:color w:val="auto"/>
                <w:sz w:val="22"/>
                <w:szCs w:val="22"/>
              </w:rPr>
            </w:pPr>
          </w:p>
          <w:p w14:paraId="6837DD13" w14:textId="77777777" w:rsidR="00AF1F2E" w:rsidRDefault="00AF1F2E" w:rsidP="00824498">
            <w:pPr>
              <w:pStyle w:val="Milestonetable"/>
              <w:ind w:left="127" w:right="251"/>
              <w:rPr>
                <w:rFonts w:asciiTheme="minorHAnsi" w:hAnsiTheme="minorHAnsi" w:cstheme="minorBidi"/>
                <w:color w:val="auto"/>
                <w:sz w:val="22"/>
                <w:szCs w:val="22"/>
              </w:rPr>
            </w:pPr>
          </w:p>
          <w:p w14:paraId="609624C2" w14:textId="77777777" w:rsidR="00AF1F2E" w:rsidRDefault="00AF1F2E" w:rsidP="00824498">
            <w:pPr>
              <w:pStyle w:val="Milestonetable"/>
              <w:ind w:left="127" w:right="251"/>
              <w:rPr>
                <w:rFonts w:asciiTheme="minorHAnsi" w:hAnsiTheme="minorHAnsi" w:cstheme="minorBidi"/>
                <w:color w:val="auto"/>
                <w:sz w:val="22"/>
                <w:szCs w:val="22"/>
              </w:rPr>
            </w:pPr>
          </w:p>
          <w:p w14:paraId="5B3DF77B" w14:textId="4B3F9078" w:rsidR="002C750E" w:rsidRDefault="002C750E" w:rsidP="00824498">
            <w:pPr>
              <w:pStyle w:val="Milestonetable"/>
              <w:ind w:left="127" w:right="251"/>
              <w:rPr>
                <w:rFonts w:asciiTheme="minorHAnsi" w:hAnsiTheme="minorHAnsi" w:cstheme="minorBidi"/>
                <w:color w:val="auto"/>
                <w:sz w:val="22"/>
                <w:szCs w:val="22"/>
              </w:rPr>
            </w:pPr>
            <w:r w:rsidRPr="59DB5CD7">
              <w:rPr>
                <w:rFonts w:asciiTheme="minorHAnsi" w:hAnsiTheme="minorHAnsi" w:cstheme="minorBidi"/>
                <w:color w:val="auto"/>
                <w:sz w:val="22"/>
                <w:szCs w:val="22"/>
              </w:rPr>
              <w:t xml:space="preserve">The Commonwealth will </w:t>
            </w:r>
            <w:r w:rsidRPr="2D574E53">
              <w:rPr>
                <w:rFonts w:asciiTheme="minorHAnsi" w:hAnsiTheme="minorHAnsi" w:cstheme="minorBidi"/>
                <w:color w:val="auto"/>
                <w:sz w:val="22"/>
                <w:szCs w:val="22"/>
              </w:rPr>
              <w:t>provide a $</w:t>
            </w:r>
            <w:r w:rsidRPr="64C280E3">
              <w:rPr>
                <w:rFonts w:asciiTheme="minorHAnsi" w:hAnsiTheme="minorHAnsi" w:cstheme="minorBidi"/>
                <w:color w:val="auto"/>
                <w:sz w:val="22"/>
                <w:szCs w:val="22"/>
              </w:rPr>
              <w:t xml:space="preserve">500 million </w:t>
            </w:r>
            <w:r w:rsidRPr="00EC0219">
              <w:rPr>
                <w:rFonts w:asciiTheme="minorHAnsi" w:hAnsiTheme="minorHAnsi" w:cstheme="minorBidi"/>
                <w:color w:val="auto"/>
                <w:sz w:val="22"/>
                <w:szCs w:val="22"/>
              </w:rPr>
              <w:t>Housing Support Program</w:t>
            </w:r>
            <w:r w:rsidRPr="0A863C85">
              <w:rPr>
                <w:rFonts w:asciiTheme="minorHAnsi" w:hAnsiTheme="minorHAnsi" w:cstheme="minorBidi"/>
                <w:color w:val="auto"/>
                <w:sz w:val="22"/>
                <w:szCs w:val="22"/>
              </w:rPr>
              <w:t xml:space="preserve"> which will be</w:t>
            </w:r>
            <w:r w:rsidRPr="00EC0219">
              <w:rPr>
                <w:rFonts w:asciiTheme="minorHAnsi" w:hAnsiTheme="minorHAnsi" w:cstheme="minorBidi"/>
                <w:color w:val="auto"/>
                <w:sz w:val="22"/>
                <w:szCs w:val="22"/>
              </w:rPr>
              <w:t xml:space="preserve"> a competitive funding program for local and state governments to kick-start housing supply in well-located areas through targeted activation payments for things like connecting essential services, amenities to support new housing development, or building planning capacity.</w:t>
            </w:r>
          </w:p>
          <w:p w14:paraId="734C01B9" w14:textId="77777777" w:rsidR="002C750E" w:rsidRPr="00120BD9" w:rsidRDefault="002C750E" w:rsidP="00824498"/>
        </w:tc>
        <w:tc>
          <w:tcPr>
            <w:tcW w:w="1915" w:type="dxa"/>
            <w:shd w:val="clear" w:color="auto" w:fill="auto"/>
          </w:tcPr>
          <w:p w14:paraId="45EB0075" w14:textId="7904E203" w:rsidR="002C750E" w:rsidRDefault="002C750E" w:rsidP="00824498">
            <w:pPr>
              <w:pStyle w:val="Milestonetable"/>
              <w:tabs>
                <w:tab w:val="left" w:pos="465"/>
              </w:tabs>
              <w:rPr>
                <w:rFonts w:asciiTheme="minorHAnsi" w:hAnsiTheme="minorHAnsi" w:cstheme="minorBidi"/>
                <w:color w:val="auto"/>
                <w:sz w:val="22"/>
                <w:szCs w:val="22"/>
              </w:rPr>
            </w:pPr>
            <w:r w:rsidRPr="48826DB8">
              <w:rPr>
                <w:rFonts w:asciiTheme="minorHAnsi" w:hAnsiTheme="minorHAnsi" w:cstheme="minorBidi"/>
                <w:color w:val="auto"/>
                <w:sz w:val="22"/>
                <w:szCs w:val="22"/>
              </w:rPr>
              <w:t xml:space="preserve">Federation Funding Agreement between Commonwealth, states and territories for the $3 billion New Homes Bonus </w:t>
            </w:r>
            <w:r>
              <w:rPr>
                <w:rFonts w:asciiTheme="minorHAnsi" w:hAnsiTheme="minorHAnsi" w:cstheme="minorBidi"/>
                <w:color w:val="auto"/>
                <w:sz w:val="22"/>
                <w:szCs w:val="22"/>
              </w:rPr>
              <w:t xml:space="preserve">will aim to be </w:t>
            </w:r>
            <w:r w:rsidRPr="48826DB8">
              <w:rPr>
                <w:rFonts w:asciiTheme="minorHAnsi" w:hAnsiTheme="minorHAnsi" w:cstheme="minorBidi"/>
                <w:color w:val="auto"/>
                <w:sz w:val="22"/>
                <w:szCs w:val="22"/>
              </w:rPr>
              <w:t>finalised by the end of 2023</w:t>
            </w:r>
            <w:r w:rsidR="00E02ABF">
              <w:rPr>
                <w:rFonts w:asciiTheme="minorHAnsi" w:hAnsiTheme="minorHAnsi" w:cstheme="minorBidi"/>
                <w:color w:val="auto"/>
                <w:sz w:val="22"/>
                <w:szCs w:val="22"/>
              </w:rPr>
              <w:t>/ early 2024</w:t>
            </w:r>
            <w:r w:rsidRPr="48826DB8">
              <w:rPr>
                <w:rFonts w:asciiTheme="minorHAnsi" w:hAnsiTheme="minorHAnsi" w:cstheme="minorBidi"/>
                <w:color w:val="auto"/>
                <w:sz w:val="22"/>
                <w:szCs w:val="22"/>
              </w:rPr>
              <w:t>.</w:t>
            </w:r>
          </w:p>
          <w:p w14:paraId="637D51DB" w14:textId="77777777" w:rsidR="002C750E" w:rsidRDefault="002C750E" w:rsidP="00824498">
            <w:pPr>
              <w:pStyle w:val="Milestonetable"/>
              <w:tabs>
                <w:tab w:val="left" w:pos="465"/>
              </w:tabs>
              <w:rPr>
                <w:rFonts w:asciiTheme="minorHAnsi" w:hAnsiTheme="minorHAnsi" w:cstheme="minorBidi"/>
                <w:color w:val="auto"/>
                <w:sz w:val="22"/>
                <w:szCs w:val="22"/>
              </w:rPr>
            </w:pPr>
          </w:p>
          <w:p w14:paraId="59BA3817" w14:textId="6F301DAA" w:rsidR="002C750E" w:rsidRDefault="002C750E" w:rsidP="00824498">
            <w:pPr>
              <w:pStyle w:val="Milestonetable"/>
              <w:tabs>
                <w:tab w:val="left" w:pos="465"/>
              </w:tabs>
              <w:rPr>
                <w:rFonts w:asciiTheme="minorHAnsi" w:hAnsiTheme="minorHAnsi" w:cstheme="minorBidi"/>
                <w:color w:val="auto"/>
                <w:sz w:val="22"/>
                <w:szCs w:val="22"/>
              </w:rPr>
            </w:pPr>
            <w:r>
              <w:rPr>
                <w:rFonts w:asciiTheme="minorHAnsi" w:hAnsiTheme="minorHAnsi" w:cstheme="minorBidi"/>
                <w:color w:val="auto"/>
                <w:sz w:val="22"/>
                <w:szCs w:val="22"/>
              </w:rPr>
              <w:t>Housing Support Program is expected to be delivered over 2023-24 and 2024-25</w:t>
            </w:r>
          </w:p>
        </w:tc>
      </w:tr>
      <w:tr w:rsidR="002C750E" w14:paraId="7719CB8A" w14:textId="77777777" w:rsidTr="00824498">
        <w:tc>
          <w:tcPr>
            <w:tcW w:w="4668" w:type="dxa"/>
          </w:tcPr>
          <w:p w14:paraId="1567FAB7" w14:textId="77777777" w:rsidR="002C750E" w:rsidRDefault="002C750E" w:rsidP="00824498">
            <w:pPr>
              <w:pStyle w:val="Milestonetable"/>
              <w:ind w:left="127"/>
              <w:rPr>
                <w:rFonts w:asciiTheme="minorHAnsi" w:hAnsiTheme="minorHAnsi" w:cstheme="minorHAnsi"/>
                <w:color w:val="auto"/>
                <w:sz w:val="22"/>
                <w:szCs w:val="22"/>
              </w:rPr>
            </w:pPr>
            <w:r w:rsidRPr="00F71437">
              <w:rPr>
                <w:rFonts w:asciiTheme="minorHAnsi" w:hAnsiTheme="minorHAnsi" w:cstheme="minorHAnsi"/>
                <w:color w:val="auto"/>
                <w:sz w:val="22"/>
                <w:szCs w:val="22"/>
              </w:rPr>
              <w:t xml:space="preserve">Extend the Australian Skills Guarantee (including </w:t>
            </w:r>
            <w:r>
              <w:rPr>
                <w:rFonts w:asciiTheme="minorHAnsi" w:hAnsiTheme="minorHAnsi" w:cstheme="minorHAnsi"/>
                <w:color w:val="auto"/>
                <w:sz w:val="22"/>
                <w:szCs w:val="22"/>
              </w:rPr>
              <w:t>targets for women)</w:t>
            </w:r>
            <w:r w:rsidRPr="00F71437">
              <w:rPr>
                <w:rFonts w:asciiTheme="minorHAnsi" w:hAnsiTheme="minorHAnsi" w:cstheme="minorHAnsi"/>
                <w:color w:val="auto"/>
                <w:sz w:val="22"/>
                <w:szCs w:val="22"/>
              </w:rPr>
              <w:t xml:space="preserve"> to include apprentices</w:t>
            </w:r>
            <w:r>
              <w:rPr>
                <w:rFonts w:asciiTheme="minorHAnsi" w:hAnsiTheme="minorHAnsi" w:cstheme="minorHAnsi"/>
                <w:color w:val="auto"/>
                <w:sz w:val="22"/>
                <w:szCs w:val="22"/>
              </w:rPr>
              <w:t xml:space="preserve"> and trainees</w:t>
            </w:r>
            <w:r w:rsidRPr="00F71437">
              <w:rPr>
                <w:rFonts w:asciiTheme="minorHAnsi" w:hAnsiTheme="minorHAnsi" w:cstheme="minorHAnsi"/>
                <w:color w:val="auto"/>
                <w:sz w:val="22"/>
                <w:szCs w:val="22"/>
              </w:rPr>
              <w:t xml:space="preserve"> on Government funded housing projects, in accordance with the broader approach to implementing the</w:t>
            </w:r>
            <w:r>
              <w:rPr>
                <w:rFonts w:asciiTheme="minorHAnsi" w:hAnsiTheme="minorHAnsi" w:cstheme="minorHAnsi"/>
                <w:color w:val="auto"/>
                <w:sz w:val="22"/>
                <w:szCs w:val="22"/>
              </w:rPr>
              <w:t xml:space="preserve"> Australian Skills</w:t>
            </w:r>
            <w:r w:rsidRPr="00F71437">
              <w:rPr>
                <w:rFonts w:asciiTheme="minorHAnsi" w:hAnsiTheme="minorHAnsi" w:cstheme="minorHAnsi"/>
                <w:color w:val="auto"/>
                <w:sz w:val="22"/>
                <w:szCs w:val="22"/>
              </w:rPr>
              <w:t xml:space="preserve"> Guarantee.</w:t>
            </w:r>
          </w:p>
        </w:tc>
        <w:tc>
          <w:tcPr>
            <w:tcW w:w="7938" w:type="dxa"/>
            <w:shd w:val="clear" w:color="auto" w:fill="auto"/>
          </w:tcPr>
          <w:p w14:paraId="5109EB5D" w14:textId="77777777" w:rsidR="002C750E" w:rsidRDefault="002C750E" w:rsidP="00824498">
            <w:pPr>
              <w:pStyle w:val="Milestonetable"/>
              <w:ind w:left="127" w:right="251"/>
              <w:rPr>
                <w:rFonts w:asciiTheme="minorHAnsi" w:hAnsiTheme="minorHAnsi" w:cstheme="minorBidi"/>
                <w:color w:val="auto"/>
                <w:sz w:val="22"/>
                <w:szCs w:val="22"/>
              </w:rPr>
            </w:pPr>
            <w:r w:rsidRPr="31C1DF3C">
              <w:rPr>
                <w:rFonts w:asciiTheme="minorHAnsi" w:hAnsiTheme="minorHAnsi" w:cstheme="minorBidi"/>
                <w:color w:val="auto"/>
                <w:sz w:val="22"/>
                <w:szCs w:val="22"/>
              </w:rPr>
              <w:t xml:space="preserve">Housing Australia will be directed to consider whether potential Accord projects comply with the principles and requirements set out in the Australian Skills Guarantee. </w:t>
            </w:r>
          </w:p>
          <w:p w14:paraId="0497210F" w14:textId="77777777" w:rsidR="002C750E" w:rsidRDefault="002C750E" w:rsidP="00824498">
            <w:pPr>
              <w:pStyle w:val="Milestonetable"/>
              <w:ind w:left="127" w:right="251"/>
              <w:rPr>
                <w:rFonts w:asciiTheme="minorHAnsi" w:hAnsiTheme="minorHAnsi" w:cstheme="minorBidi"/>
                <w:color w:val="auto"/>
                <w:sz w:val="22"/>
                <w:szCs w:val="22"/>
              </w:rPr>
            </w:pPr>
            <w:r w:rsidRPr="005C4C31">
              <w:rPr>
                <w:rFonts w:asciiTheme="minorHAnsi" w:hAnsiTheme="minorHAnsi" w:cstheme="minorBidi"/>
                <w:color w:val="auto"/>
                <w:sz w:val="22"/>
                <w:szCs w:val="22"/>
              </w:rPr>
              <w:t>Guidance will be provided to relevant parties on how the Australian Skills Guarantee will be applied.</w:t>
            </w:r>
          </w:p>
        </w:tc>
        <w:tc>
          <w:tcPr>
            <w:tcW w:w="1915" w:type="dxa"/>
            <w:shd w:val="clear" w:color="auto" w:fill="auto"/>
          </w:tcPr>
          <w:p w14:paraId="34DC00DC"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To be finalised by 30 June 2024</w:t>
            </w:r>
          </w:p>
        </w:tc>
      </w:tr>
      <w:tr w:rsidR="002C750E" w14:paraId="69CE9A4F" w14:textId="77777777" w:rsidTr="00824498">
        <w:tc>
          <w:tcPr>
            <w:tcW w:w="4668" w:type="dxa"/>
          </w:tcPr>
          <w:p w14:paraId="33A2623F"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Urban Precincts and Partnerships Program</w:t>
            </w:r>
          </w:p>
        </w:tc>
        <w:tc>
          <w:tcPr>
            <w:tcW w:w="7938" w:type="dxa"/>
            <w:shd w:val="clear" w:color="auto" w:fill="auto"/>
          </w:tcPr>
          <w:p w14:paraId="779FE120" w14:textId="77777777" w:rsidR="002C750E" w:rsidRPr="009B0126" w:rsidRDefault="002C750E" w:rsidP="00824498">
            <w:pPr>
              <w:pStyle w:val="Milestonetable"/>
              <w:ind w:left="127" w:right="251"/>
              <w:rPr>
                <w:rFonts w:asciiTheme="minorHAnsi" w:hAnsiTheme="minorHAnsi" w:cstheme="minorHAnsi"/>
                <w:color w:val="auto"/>
                <w:sz w:val="22"/>
                <w:szCs w:val="22"/>
              </w:rPr>
            </w:pPr>
            <w:r w:rsidRPr="007F379C">
              <w:rPr>
                <w:rFonts w:asciiTheme="minorHAnsi" w:hAnsiTheme="minorHAnsi" w:cstheme="minorHAnsi"/>
                <w:color w:val="auto"/>
                <w:sz w:val="22"/>
                <w:szCs w:val="22"/>
              </w:rPr>
              <w:t xml:space="preserve">The Australian Government is investing $150 million over three years, commencing in 2024–25, to fund both the development of precincts to facilitate planning, </w:t>
            </w:r>
            <w:proofErr w:type="gramStart"/>
            <w:r w:rsidRPr="007F379C">
              <w:rPr>
                <w:rFonts w:asciiTheme="minorHAnsi" w:hAnsiTheme="minorHAnsi" w:cstheme="minorHAnsi"/>
                <w:color w:val="auto"/>
                <w:sz w:val="22"/>
                <w:szCs w:val="22"/>
              </w:rPr>
              <w:t>design</w:t>
            </w:r>
            <w:proofErr w:type="gramEnd"/>
            <w:r w:rsidRPr="007F379C">
              <w:rPr>
                <w:rFonts w:asciiTheme="minorHAnsi" w:hAnsiTheme="minorHAnsi" w:cstheme="minorHAnsi"/>
                <w:color w:val="auto"/>
                <w:sz w:val="22"/>
                <w:szCs w:val="22"/>
              </w:rPr>
              <w:t xml:space="preserve"> and consultation, leading to business cases for </w:t>
            </w:r>
            <w:r w:rsidRPr="007F379C">
              <w:rPr>
                <w:rFonts w:asciiTheme="minorHAnsi" w:hAnsiTheme="minorHAnsi" w:cstheme="minorHAnsi"/>
                <w:color w:val="auto"/>
                <w:sz w:val="22"/>
                <w:szCs w:val="22"/>
              </w:rPr>
              <w:lastRenderedPageBreak/>
              <w:t xml:space="preserve">investment-ready proposals, as well as a stream for the delivery of larger scale precinct projects. </w:t>
            </w:r>
            <w:r w:rsidRPr="00280F4C">
              <w:rPr>
                <w:rFonts w:asciiTheme="minorHAnsi" w:hAnsiTheme="minorHAnsi" w:cstheme="minorHAnsi"/>
                <w:color w:val="auto"/>
                <w:sz w:val="22"/>
                <w:szCs w:val="22"/>
              </w:rPr>
              <w:t xml:space="preserve">Projects funded under the </w:t>
            </w:r>
            <w:r>
              <w:rPr>
                <w:rFonts w:asciiTheme="minorHAnsi" w:hAnsiTheme="minorHAnsi" w:cstheme="minorHAnsi"/>
                <w:color w:val="auto"/>
                <w:sz w:val="22"/>
                <w:szCs w:val="22"/>
              </w:rPr>
              <w:t xml:space="preserve">Urban </w:t>
            </w:r>
            <w:r w:rsidRPr="00280F4C">
              <w:rPr>
                <w:rFonts w:asciiTheme="minorHAnsi" w:hAnsiTheme="minorHAnsi" w:cstheme="minorHAnsi"/>
                <w:color w:val="auto"/>
                <w:sz w:val="22"/>
                <w:szCs w:val="22"/>
              </w:rPr>
              <w:t>P</w:t>
            </w:r>
            <w:r>
              <w:rPr>
                <w:rFonts w:asciiTheme="minorHAnsi" w:hAnsiTheme="minorHAnsi" w:cstheme="minorHAnsi"/>
                <w:color w:val="auto"/>
                <w:sz w:val="22"/>
                <w:szCs w:val="22"/>
              </w:rPr>
              <w:t xml:space="preserve">recincts and </w:t>
            </w:r>
            <w:r w:rsidRPr="00280F4C">
              <w:rPr>
                <w:rFonts w:asciiTheme="minorHAnsi" w:hAnsiTheme="minorHAnsi" w:cstheme="minorHAnsi"/>
                <w:color w:val="auto"/>
                <w:sz w:val="22"/>
                <w:szCs w:val="22"/>
              </w:rPr>
              <w:t>P</w:t>
            </w:r>
            <w:r>
              <w:rPr>
                <w:rFonts w:asciiTheme="minorHAnsi" w:hAnsiTheme="minorHAnsi" w:cstheme="minorHAnsi"/>
                <w:color w:val="auto"/>
                <w:sz w:val="22"/>
                <w:szCs w:val="22"/>
              </w:rPr>
              <w:t xml:space="preserve">artnerships </w:t>
            </w:r>
            <w:r w:rsidRPr="00280F4C">
              <w:rPr>
                <w:rFonts w:asciiTheme="minorHAnsi" w:hAnsiTheme="minorHAnsi" w:cstheme="minorHAnsi"/>
                <w:color w:val="auto"/>
                <w:sz w:val="22"/>
                <w:szCs w:val="22"/>
              </w:rPr>
              <w:t>P</w:t>
            </w:r>
            <w:r>
              <w:rPr>
                <w:rFonts w:asciiTheme="minorHAnsi" w:hAnsiTheme="minorHAnsi" w:cstheme="minorHAnsi"/>
                <w:color w:val="auto"/>
                <w:sz w:val="22"/>
                <w:szCs w:val="22"/>
              </w:rPr>
              <w:t>rogram</w:t>
            </w:r>
            <w:r w:rsidRPr="00280F4C">
              <w:rPr>
                <w:rFonts w:asciiTheme="minorHAnsi" w:hAnsiTheme="minorHAnsi" w:cstheme="minorHAnsi"/>
                <w:color w:val="auto"/>
                <w:sz w:val="22"/>
                <w:szCs w:val="22"/>
              </w:rPr>
              <w:t xml:space="preserve"> must contribute to the Australian Government’s current policy priorities; including but not limited to addressing housing supply and affordability via support of the objectives within the National Housing Accord.</w:t>
            </w:r>
          </w:p>
        </w:tc>
        <w:tc>
          <w:tcPr>
            <w:tcW w:w="1915" w:type="dxa"/>
            <w:shd w:val="clear" w:color="auto" w:fill="auto"/>
          </w:tcPr>
          <w:p w14:paraId="4B8C8B73"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To be completed by 30 June 2027</w:t>
            </w:r>
          </w:p>
        </w:tc>
      </w:tr>
      <w:tr w:rsidR="002C750E" w14:paraId="4A4725BC" w14:textId="77777777" w:rsidTr="00824498">
        <w:tc>
          <w:tcPr>
            <w:tcW w:w="4668" w:type="dxa"/>
          </w:tcPr>
          <w:p w14:paraId="3602B93E" w14:textId="77777777" w:rsidR="002C750E" w:rsidRPr="00F71437" w:rsidRDefault="002C750E" w:rsidP="00824498">
            <w:pPr>
              <w:pStyle w:val="Milestonetable"/>
              <w:ind w:left="127"/>
              <w:rPr>
                <w:rFonts w:asciiTheme="minorHAnsi" w:hAnsiTheme="minorHAnsi" w:cstheme="minorHAnsi"/>
                <w:color w:val="auto"/>
                <w:sz w:val="22"/>
                <w:szCs w:val="22"/>
              </w:rPr>
            </w:pPr>
            <w:r>
              <w:rPr>
                <w:rFonts w:asciiTheme="minorHAnsi" w:hAnsiTheme="minorHAnsi" w:cstheme="minorHAnsi"/>
                <w:color w:val="auto"/>
                <w:sz w:val="22"/>
                <w:szCs w:val="22"/>
              </w:rPr>
              <w:t>Supporting more effective planning with improved data and information</w:t>
            </w:r>
          </w:p>
        </w:tc>
        <w:tc>
          <w:tcPr>
            <w:tcW w:w="7938" w:type="dxa"/>
            <w:shd w:val="clear" w:color="auto" w:fill="auto"/>
          </w:tcPr>
          <w:p w14:paraId="2189529F" w14:textId="23EEE823" w:rsidR="002C750E" w:rsidRPr="009B0126" w:rsidRDefault="002C750E" w:rsidP="00824498">
            <w:pPr>
              <w:pStyle w:val="Milestonetable"/>
              <w:spacing w:line="252" w:lineRule="auto"/>
              <w:ind w:left="127" w:right="251"/>
              <w:rPr>
                <w:rFonts w:asciiTheme="minorHAnsi" w:hAnsiTheme="minorHAnsi" w:cstheme="minorHAnsi"/>
                <w:color w:val="auto"/>
                <w:sz w:val="22"/>
                <w:szCs w:val="22"/>
              </w:rPr>
            </w:pPr>
            <w:r>
              <w:rPr>
                <w:rFonts w:asciiTheme="minorHAnsi" w:hAnsiTheme="minorHAnsi" w:cstheme="minorHAnsi"/>
                <w:color w:val="auto"/>
                <w:sz w:val="22"/>
                <w:szCs w:val="22"/>
              </w:rPr>
              <w:t xml:space="preserve">The Government has established the interim National Housing Supply and Affordability Council to provide independent advice to Government on housing matters. Part of its role is to build and improve the evidence base for housing-related policy, including to work towards improving the availability, </w:t>
            </w:r>
            <w:proofErr w:type="gramStart"/>
            <w:r>
              <w:rPr>
                <w:rFonts w:asciiTheme="minorHAnsi" w:hAnsiTheme="minorHAnsi" w:cstheme="minorHAnsi"/>
                <w:color w:val="auto"/>
                <w:sz w:val="22"/>
                <w:szCs w:val="22"/>
              </w:rPr>
              <w:t>quality</w:t>
            </w:r>
            <w:proofErr w:type="gramEnd"/>
            <w:r>
              <w:rPr>
                <w:rFonts w:asciiTheme="minorHAnsi" w:hAnsiTheme="minorHAnsi" w:cstheme="minorHAnsi"/>
                <w:color w:val="auto"/>
                <w:sz w:val="22"/>
                <w:szCs w:val="22"/>
              </w:rPr>
              <w:t xml:space="preserve"> and consistency of housing-related data. In September 2023, Parliament passed the National Housing Supply and Affordability Council Bill, which will establish the Council as an independent statutory body. The permanent Council once established will provide an annual report to the Minister which will be published on its website. </w:t>
            </w:r>
          </w:p>
        </w:tc>
        <w:tc>
          <w:tcPr>
            <w:tcW w:w="1915" w:type="dxa"/>
            <w:shd w:val="clear" w:color="auto" w:fill="auto"/>
          </w:tcPr>
          <w:p w14:paraId="2C336219" w14:textId="77777777" w:rsidR="002C750E" w:rsidRDefault="002C750E" w:rsidP="00824498">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Ongoing</w:t>
            </w:r>
          </w:p>
        </w:tc>
      </w:tr>
    </w:tbl>
    <w:p w14:paraId="018B0032" w14:textId="726A3502" w:rsidR="00266447" w:rsidRPr="0028063E" w:rsidRDefault="00266447" w:rsidP="0028063E"/>
    <w:sectPr w:rsidR="00266447" w:rsidRPr="0028063E" w:rsidSect="006F67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1AD"/>
    <w:multiLevelType w:val="multilevel"/>
    <w:tmpl w:val="1E92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95A2E"/>
    <w:multiLevelType w:val="multilevel"/>
    <w:tmpl w:val="BE50ADF6"/>
    <w:lvl w:ilvl="0">
      <w:start w:val="1"/>
      <w:numFmt w:val="bullet"/>
      <w:lvlText w:val="•"/>
      <w:lvlJc w:val="left"/>
      <w:pPr>
        <w:tabs>
          <w:tab w:val="num" w:pos="496"/>
        </w:tabs>
        <w:ind w:left="496" w:hanging="496"/>
      </w:pPr>
      <w:rPr>
        <w:rFonts w:ascii="Times New Roman" w:hAnsi="Times New Roman" w:cs="Times New Roman"/>
      </w:rPr>
    </w:lvl>
    <w:lvl w:ilvl="1">
      <w:start w:val="1"/>
      <w:numFmt w:val="bullet"/>
      <w:lvlText w:val="–"/>
      <w:lvlJc w:val="left"/>
      <w:pPr>
        <w:tabs>
          <w:tab w:val="num" w:pos="992"/>
        </w:tabs>
        <w:ind w:left="992" w:hanging="496"/>
      </w:pPr>
      <w:rPr>
        <w:rFonts w:ascii="Times New Roman" w:hAnsi="Times New Roman" w:cs="Times New Roman"/>
      </w:rPr>
    </w:lvl>
    <w:lvl w:ilvl="2">
      <w:start w:val="1"/>
      <w:numFmt w:val="bulle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202135"/>
    <w:multiLevelType w:val="multilevel"/>
    <w:tmpl w:val="30A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D76FC"/>
    <w:multiLevelType w:val="multilevel"/>
    <w:tmpl w:val="F4CA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D67EB"/>
    <w:multiLevelType w:val="multilevel"/>
    <w:tmpl w:val="CBB0C38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C23DE6"/>
    <w:multiLevelType w:val="multilevel"/>
    <w:tmpl w:val="B9F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C1602"/>
    <w:multiLevelType w:val="multilevel"/>
    <w:tmpl w:val="00063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F4781"/>
    <w:multiLevelType w:val="multilevel"/>
    <w:tmpl w:val="B12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3F"/>
    <w:rsid w:val="00006C98"/>
    <w:rsid w:val="000346C4"/>
    <w:rsid w:val="000E0C2C"/>
    <w:rsid w:val="00182C38"/>
    <w:rsid w:val="00266447"/>
    <w:rsid w:val="0028063E"/>
    <w:rsid w:val="00290C67"/>
    <w:rsid w:val="002A1289"/>
    <w:rsid w:val="002C750E"/>
    <w:rsid w:val="002F45C2"/>
    <w:rsid w:val="00317D3F"/>
    <w:rsid w:val="003D24D8"/>
    <w:rsid w:val="003D40B6"/>
    <w:rsid w:val="003E43F0"/>
    <w:rsid w:val="004E290C"/>
    <w:rsid w:val="005F4983"/>
    <w:rsid w:val="00653D96"/>
    <w:rsid w:val="006609A1"/>
    <w:rsid w:val="006E7EFA"/>
    <w:rsid w:val="006F679E"/>
    <w:rsid w:val="00715352"/>
    <w:rsid w:val="007277BA"/>
    <w:rsid w:val="007D5B9C"/>
    <w:rsid w:val="009E0EBF"/>
    <w:rsid w:val="00A73242"/>
    <w:rsid w:val="00AC4A92"/>
    <w:rsid w:val="00AF1F2E"/>
    <w:rsid w:val="00B95AA9"/>
    <w:rsid w:val="00BA22A1"/>
    <w:rsid w:val="00C174BC"/>
    <w:rsid w:val="00C61698"/>
    <w:rsid w:val="00CD2462"/>
    <w:rsid w:val="00D539A7"/>
    <w:rsid w:val="00DE487E"/>
    <w:rsid w:val="00E02ABF"/>
    <w:rsid w:val="00E0437A"/>
    <w:rsid w:val="00EA32B3"/>
    <w:rsid w:val="00EB2730"/>
    <w:rsid w:val="00EB7691"/>
    <w:rsid w:val="00F952F1"/>
    <w:rsid w:val="00FC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5F2"/>
  <w15:chartTrackingRefBased/>
  <w15:docId w15:val="{FF056686-AB9C-4B8B-BAD2-9F16D956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2C38"/>
    <w:pPr>
      <w:widowControl w:val="0"/>
      <w:spacing w:after="0" w:line="240" w:lineRule="auto"/>
    </w:pPr>
  </w:style>
  <w:style w:type="paragraph" w:styleId="Heading2">
    <w:name w:val="heading 2"/>
    <w:basedOn w:val="Normal"/>
    <w:link w:val="Heading2Char"/>
    <w:uiPriority w:val="9"/>
    <w:qFormat/>
    <w:rsid w:val="00E0437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37A"/>
    <w:rPr>
      <w:rFonts w:ascii="Times New Roman" w:eastAsia="Times New Roman" w:hAnsi="Times New Roman" w:cs="Times New Roman"/>
      <w:b/>
      <w:bCs/>
      <w:sz w:val="36"/>
      <w:szCs w:val="36"/>
      <w:lang w:val="en-GB" w:eastAsia="en-GB"/>
    </w:rPr>
  </w:style>
  <w:style w:type="paragraph" w:styleId="NormalWeb">
    <w:name w:val="Normal (Web)"/>
    <w:basedOn w:val="Normal"/>
    <w:link w:val="NormalWebChar"/>
    <w:uiPriority w:val="99"/>
    <w:unhideWhenUsed/>
    <w:rsid w:val="00E0437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0437A"/>
    <w:pPr>
      <w:spacing w:after="0" w:line="240" w:lineRule="auto"/>
    </w:pPr>
  </w:style>
  <w:style w:type="character" w:styleId="Hyperlink">
    <w:name w:val="Hyperlink"/>
    <w:basedOn w:val="DefaultParagraphFont"/>
    <w:uiPriority w:val="99"/>
    <w:semiHidden/>
    <w:unhideWhenUsed/>
    <w:rsid w:val="00266447"/>
    <w:rPr>
      <w:color w:val="0000FF"/>
      <w:u w:val="single"/>
    </w:rPr>
  </w:style>
  <w:style w:type="character" w:styleId="FollowedHyperlink">
    <w:name w:val="FollowedHyperlink"/>
    <w:basedOn w:val="DefaultParagraphFont"/>
    <w:uiPriority w:val="99"/>
    <w:semiHidden/>
    <w:unhideWhenUsed/>
    <w:rsid w:val="00266447"/>
    <w:rPr>
      <w:color w:val="954F72" w:themeColor="followedHyperlink"/>
      <w:u w:val="single"/>
    </w:rPr>
  </w:style>
  <w:style w:type="paragraph" w:customStyle="1" w:styleId="Bullet">
    <w:name w:val="Bullet"/>
    <w:basedOn w:val="Normal"/>
    <w:link w:val="BulletChar"/>
    <w:rsid w:val="005F4983"/>
    <w:pPr>
      <w:numPr>
        <w:numId w:val="2"/>
      </w:numPr>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rsid w:val="005F4983"/>
    <w:rPr>
      <w:rFonts w:ascii="Times New Roman" w:eastAsia="Times New Roman" w:hAnsi="Times New Roman" w:cs="Times New Roman"/>
      <w:sz w:val="24"/>
      <w:szCs w:val="24"/>
      <w:lang w:val="en-GB" w:eastAsia="en-GB"/>
    </w:rPr>
  </w:style>
  <w:style w:type="character" w:customStyle="1" w:styleId="BulletChar">
    <w:name w:val="Bullet Char"/>
    <w:basedOn w:val="NormalWebChar"/>
    <w:link w:val="Bullet"/>
    <w:rsid w:val="005F4983"/>
    <w:rPr>
      <w:rFonts w:ascii="Times New Roman" w:eastAsia="Times New Roman" w:hAnsi="Times New Roman" w:cs="Times New Roman"/>
      <w:sz w:val="24"/>
      <w:szCs w:val="24"/>
      <w:lang w:val="en-GB" w:eastAsia="en-GB"/>
    </w:rPr>
  </w:style>
  <w:style w:type="paragraph" w:customStyle="1" w:styleId="Dash">
    <w:name w:val="Dash"/>
    <w:basedOn w:val="Normal"/>
    <w:link w:val="DashChar"/>
    <w:rsid w:val="005F4983"/>
    <w:pPr>
      <w:numPr>
        <w:ilvl w:val="1"/>
        <w:numId w:val="2"/>
      </w:numPr>
    </w:pPr>
    <w:rPr>
      <w:rFonts w:ascii="Times New Roman" w:eastAsia="Times New Roman" w:hAnsi="Times New Roman" w:cs="Times New Roman"/>
      <w:sz w:val="24"/>
      <w:szCs w:val="24"/>
      <w:lang w:val="en-GB" w:eastAsia="en-GB"/>
    </w:rPr>
  </w:style>
  <w:style w:type="character" w:customStyle="1" w:styleId="DashChar">
    <w:name w:val="Dash Char"/>
    <w:basedOn w:val="NormalWebChar"/>
    <w:link w:val="Dash"/>
    <w:rsid w:val="005F4983"/>
    <w:rPr>
      <w:rFonts w:ascii="Times New Roman" w:eastAsia="Times New Roman" w:hAnsi="Times New Roman" w:cs="Times New Roman"/>
      <w:sz w:val="24"/>
      <w:szCs w:val="24"/>
      <w:lang w:val="en-GB" w:eastAsia="en-GB"/>
    </w:rPr>
  </w:style>
  <w:style w:type="paragraph" w:customStyle="1" w:styleId="DoubleDot">
    <w:name w:val="Double Dot"/>
    <w:basedOn w:val="Normal"/>
    <w:link w:val="DoubleDotChar"/>
    <w:rsid w:val="005F4983"/>
    <w:pPr>
      <w:numPr>
        <w:ilvl w:val="2"/>
        <w:numId w:val="2"/>
      </w:numPr>
    </w:pPr>
    <w:rPr>
      <w:rFonts w:ascii="Times New Roman" w:eastAsia="Times New Roman" w:hAnsi="Times New Roman" w:cs="Times New Roman"/>
      <w:sz w:val="24"/>
      <w:szCs w:val="24"/>
      <w:lang w:val="en-GB" w:eastAsia="en-GB"/>
    </w:rPr>
  </w:style>
  <w:style w:type="character" w:customStyle="1" w:styleId="DoubleDotChar">
    <w:name w:val="Double Dot Char"/>
    <w:basedOn w:val="NormalWebChar"/>
    <w:link w:val="DoubleDot"/>
    <w:rsid w:val="005F4983"/>
    <w:rPr>
      <w:rFonts w:ascii="Times New Roman" w:eastAsia="Times New Roman" w:hAnsi="Times New Roman" w:cs="Times New Roman"/>
      <w:sz w:val="24"/>
      <w:szCs w:val="24"/>
      <w:lang w:val="en-GB" w:eastAsia="en-GB"/>
    </w:rPr>
  </w:style>
  <w:style w:type="paragraph" w:styleId="Title">
    <w:name w:val="Title"/>
    <w:basedOn w:val="Normal"/>
    <w:next w:val="Subtitle"/>
    <w:link w:val="TitleChar"/>
    <w:uiPriority w:val="10"/>
    <w:qFormat/>
    <w:rsid w:val="00182C38"/>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182C38"/>
    <w:rPr>
      <w:rFonts w:ascii="Corbel" w:eastAsia="Times New Roman" w:hAnsi="Corbel" w:cs="Times New Roman"/>
      <w:color w:val="3D4B67"/>
      <w:sz w:val="40"/>
      <w:szCs w:val="40"/>
      <w:lang w:val="en-AU" w:eastAsia="ja-JP"/>
    </w:rPr>
  </w:style>
  <w:style w:type="paragraph" w:customStyle="1" w:styleId="Tableformat">
    <w:name w:val="Table format"/>
    <w:basedOn w:val="Heading2"/>
    <w:link w:val="TableformatChar"/>
    <w:qFormat/>
    <w:rsid w:val="00182C38"/>
    <w:pPr>
      <w:spacing w:before="80" w:beforeAutospacing="0" w:after="80" w:afterAutospacing="0"/>
    </w:pPr>
    <w:rPr>
      <w:rFonts w:ascii="Corbel" w:hAnsi="Corbel" w:cs="Arial"/>
      <w:b w:val="0"/>
      <w:bCs w:val="0"/>
      <w:iCs/>
      <w:color w:val="2E74B5" w:themeColor="accent1" w:themeShade="BF"/>
      <w:sz w:val="26"/>
      <w:szCs w:val="26"/>
      <w:lang w:eastAsia="en-AU"/>
    </w:rPr>
  </w:style>
  <w:style w:type="character" w:customStyle="1" w:styleId="TableformatChar">
    <w:name w:val="Table format Char"/>
    <w:basedOn w:val="Heading2Char"/>
    <w:link w:val="Tableformat"/>
    <w:rsid w:val="00182C38"/>
    <w:rPr>
      <w:rFonts w:ascii="Corbel" w:eastAsia="Times New Roman" w:hAnsi="Corbel" w:cs="Arial"/>
      <w:b w:val="0"/>
      <w:bCs w:val="0"/>
      <w:iCs/>
      <w:color w:val="2E74B5" w:themeColor="accent1" w:themeShade="BF"/>
      <w:sz w:val="26"/>
      <w:szCs w:val="26"/>
      <w:lang w:val="en-GB" w:eastAsia="en-AU"/>
    </w:rPr>
  </w:style>
  <w:style w:type="paragraph" w:styleId="Subtitle">
    <w:name w:val="Subtitle"/>
    <w:basedOn w:val="Normal"/>
    <w:next w:val="Normal"/>
    <w:link w:val="SubtitleChar"/>
    <w:uiPriority w:val="11"/>
    <w:qFormat/>
    <w:rsid w:val="00182C3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2C38"/>
    <w:rPr>
      <w:rFonts w:eastAsiaTheme="minorEastAsia"/>
      <w:color w:val="5A5A5A" w:themeColor="text1" w:themeTint="A5"/>
      <w:spacing w:val="15"/>
    </w:rPr>
  </w:style>
  <w:style w:type="paragraph" w:customStyle="1" w:styleId="Milestonetable">
    <w:name w:val="Milestone table"/>
    <w:basedOn w:val="Tableformat"/>
    <w:link w:val="MilestonetableChar"/>
    <w:qFormat/>
    <w:rsid w:val="002C750E"/>
    <w:pPr>
      <w:widowControl/>
      <w:spacing w:before="60" w:after="60"/>
    </w:pPr>
    <w:rPr>
      <w:sz w:val="20"/>
      <w:szCs w:val="20"/>
    </w:rPr>
  </w:style>
  <w:style w:type="character" w:customStyle="1" w:styleId="MilestonetableChar">
    <w:name w:val="Milestone table Char"/>
    <w:basedOn w:val="TableformatChar"/>
    <w:link w:val="Milestonetable"/>
    <w:rsid w:val="002C750E"/>
    <w:rPr>
      <w:rFonts w:ascii="Corbel" w:eastAsia="Times New Roman" w:hAnsi="Corbel" w:cs="Arial"/>
      <w:b w:val="0"/>
      <w:bCs w:val="0"/>
      <w:iCs/>
      <w:color w:val="2E74B5" w:themeColor="accent1" w:themeShade="BF"/>
      <w:sz w:val="20"/>
      <w:szCs w:val="20"/>
      <w:lang w:val="en-GB" w:eastAsia="en-AU"/>
    </w:rPr>
  </w:style>
  <w:style w:type="character" w:customStyle="1" w:styleId="normaltextrun">
    <w:name w:val="normaltextrun"/>
    <w:basedOn w:val="DefaultParagraphFont"/>
    <w:rsid w:val="002C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5751">
      <w:bodyDiv w:val="1"/>
      <w:marLeft w:val="0"/>
      <w:marRight w:val="0"/>
      <w:marTop w:val="0"/>
      <w:marBottom w:val="0"/>
      <w:divBdr>
        <w:top w:val="none" w:sz="0" w:space="0" w:color="auto"/>
        <w:left w:val="none" w:sz="0" w:space="0" w:color="auto"/>
        <w:bottom w:val="none" w:sz="0" w:space="0" w:color="auto"/>
        <w:right w:val="none" w:sz="0" w:space="0" w:color="auto"/>
      </w:divBdr>
    </w:div>
    <w:div w:id="893197064">
      <w:bodyDiv w:val="1"/>
      <w:marLeft w:val="0"/>
      <w:marRight w:val="0"/>
      <w:marTop w:val="0"/>
      <w:marBottom w:val="0"/>
      <w:divBdr>
        <w:top w:val="none" w:sz="0" w:space="0" w:color="auto"/>
        <w:left w:val="none" w:sz="0" w:space="0" w:color="auto"/>
        <w:bottom w:val="none" w:sz="0" w:space="0" w:color="auto"/>
        <w:right w:val="none" w:sz="0" w:space="0" w:color="auto"/>
      </w:divBdr>
      <w:divsChild>
        <w:div w:id="966547059">
          <w:marLeft w:val="0"/>
          <w:marRight w:val="0"/>
          <w:marTop w:val="0"/>
          <w:marBottom w:val="0"/>
          <w:divBdr>
            <w:top w:val="none" w:sz="0" w:space="0" w:color="auto"/>
            <w:left w:val="none" w:sz="0" w:space="0" w:color="auto"/>
            <w:bottom w:val="none" w:sz="0" w:space="0" w:color="auto"/>
            <w:right w:val="none" w:sz="0" w:space="0" w:color="auto"/>
          </w:divBdr>
          <w:divsChild>
            <w:div w:id="593780113">
              <w:marLeft w:val="0"/>
              <w:marRight w:val="0"/>
              <w:marTop w:val="0"/>
              <w:marBottom w:val="0"/>
              <w:divBdr>
                <w:top w:val="none" w:sz="0" w:space="0" w:color="auto"/>
                <w:left w:val="none" w:sz="0" w:space="0" w:color="auto"/>
                <w:bottom w:val="none" w:sz="0" w:space="0" w:color="auto"/>
                <w:right w:val="none" w:sz="0" w:space="0" w:color="auto"/>
              </w:divBdr>
              <w:divsChild>
                <w:div w:id="1733114124">
                  <w:marLeft w:val="0"/>
                  <w:marRight w:val="0"/>
                  <w:marTop w:val="0"/>
                  <w:marBottom w:val="0"/>
                  <w:divBdr>
                    <w:top w:val="none" w:sz="0" w:space="0" w:color="auto"/>
                    <w:left w:val="none" w:sz="0" w:space="0" w:color="auto"/>
                    <w:bottom w:val="none" w:sz="0" w:space="0" w:color="auto"/>
                    <w:right w:val="none" w:sz="0" w:space="0" w:color="auto"/>
                  </w:divBdr>
                  <w:divsChild>
                    <w:div w:id="808941172">
                      <w:marLeft w:val="0"/>
                      <w:marRight w:val="0"/>
                      <w:marTop w:val="0"/>
                      <w:marBottom w:val="0"/>
                      <w:divBdr>
                        <w:top w:val="none" w:sz="0" w:space="0" w:color="auto"/>
                        <w:left w:val="none" w:sz="0" w:space="0" w:color="auto"/>
                        <w:bottom w:val="none" w:sz="0" w:space="0" w:color="auto"/>
                        <w:right w:val="none" w:sz="0" w:space="0" w:color="auto"/>
                      </w:divBdr>
                      <w:divsChild>
                        <w:div w:id="1335839881">
                          <w:marLeft w:val="0"/>
                          <w:marRight w:val="0"/>
                          <w:marTop w:val="0"/>
                          <w:marBottom w:val="0"/>
                          <w:divBdr>
                            <w:top w:val="none" w:sz="0" w:space="0" w:color="auto"/>
                            <w:left w:val="none" w:sz="0" w:space="0" w:color="auto"/>
                            <w:bottom w:val="none" w:sz="0" w:space="0" w:color="auto"/>
                            <w:right w:val="none" w:sz="0" w:space="0" w:color="auto"/>
                          </w:divBdr>
                          <w:divsChild>
                            <w:div w:id="1904681898">
                              <w:marLeft w:val="0"/>
                              <w:marRight w:val="0"/>
                              <w:marTop w:val="0"/>
                              <w:marBottom w:val="0"/>
                              <w:divBdr>
                                <w:top w:val="none" w:sz="0" w:space="0" w:color="auto"/>
                                <w:left w:val="none" w:sz="0" w:space="0" w:color="auto"/>
                                <w:bottom w:val="none" w:sz="0" w:space="0" w:color="auto"/>
                                <w:right w:val="none" w:sz="0" w:space="0" w:color="auto"/>
                              </w:divBdr>
                              <w:divsChild>
                                <w:div w:id="2037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832478">
      <w:bodyDiv w:val="1"/>
      <w:marLeft w:val="0"/>
      <w:marRight w:val="0"/>
      <w:marTop w:val="0"/>
      <w:marBottom w:val="0"/>
      <w:divBdr>
        <w:top w:val="none" w:sz="0" w:space="0" w:color="auto"/>
        <w:left w:val="none" w:sz="0" w:space="0" w:color="auto"/>
        <w:bottom w:val="none" w:sz="0" w:space="0" w:color="auto"/>
        <w:right w:val="none" w:sz="0" w:space="0" w:color="auto"/>
      </w:divBdr>
    </w:div>
    <w:div w:id="1897818260">
      <w:bodyDiv w:val="1"/>
      <w:marLeft w:val="0"/>
      <w:marRight w:val="0"/>
      <w:marTop w:val="0"/>
      <w:marBottom w:val="0"/>
      <w:divBdr>
        <w:top w:val="none" w:sz="0" w:space="0" w:color="auto"/>
        <w:left w:val="none" w:sz="0" w:space="0" w:color="auto"/>
        <w:bottom w:val="none" w:sz="0" w:space="0" w:color="auto"/>
        <w:right w:val="none" w:sz="0" w:space="0" w:color="auto"/>
      </w:divBdr>
      <w:divsChild>
        <w:div w:id="1907252585">
          <w:marLeft w:val="0"/>
          <w:marRight w:val="0"/>
          <w:marTop w:val="0"/>
          <w:marBottom w:val="0"/>
          <w:divBdr>
            <w:top w:val="none" w:sz="0" w:space="0" w:color="auto"/>
            <w:left w:val="none" w:sz="0" w:space="0" w:color="auto"/>
            <w:bottom w:val="none" w:sz="0" w:space="0" w:color="auto"/>
            <w:right w:val="none" w:sz="0" w:space="0" w:color="auto"/>
          </w:divBdr>
          <w:divsChild>
            <w:div w:id="9067166">
              <w:marLeft w:val="0"/>
              <w:marRight w:val="0"/>
              <w:marTop w:val="0"/>
              <w:marBottom w:val="0"/>
              <w:divBdr>
                <w:top w:val="none" w:sz="0" w:space="0" w:color="auto"/>
                <w:left w:val="none" w:sz="0" w:space="0" w:color="auto"/>
                <w:bottom w:val="none" w:sz="0" w:space="0" w:color="auto"/>
                <w:right w:val="none" w:sz="0" w:space="0" w:color="auto"/>
              </w:divBdr>
              <w:divsChild>
                <w:div w:id="1384215236">
                  <w:marLeft w:val="0"/>
                  <w:marRight w:val="0"/>
                  <w:marTop w:val="0"/>
                  <w:marBottom w:val="0"/>
                  <w:divBdr>
                    <w:top w:val="none" w:sz="0" w:space="0" w:color="auto"/>
                    <w:left w:val="none" w:sz="0" w:space="0" w:color="auto"/>
                    <w:bottom w:val="none" w:sz="0" w:space="0" w:color="auto"/>
                    <w:right w:val="none" w:sz="0" w:space="0" w:color="auto"/>
                  </w:divBdr>
                  <w:divsChild>
                    <w:div w:id="273758307">
                      <w:marLeft w:val="0"/>
                      <w:marRight w:val="0"/>
                      <w:marTop w:val="0"/>
                      <w:marBottom w:val="0"/>
                      <w:divBdr>
                        <w:top w:val="none" w:sz="0" w:space="0" w:color="auto"/>
                        <w:left w:val="none" w:sz="0" w:space="0" w:color="auto"/>
                        <w:bottom w:val="none" w:sz="0" w:space="0" w:color="auto"/>
                        <w:right w:val="none" w:sz="0" w:space="0" w:color="auto"/>
                      </w:divBdr>
                      <w:divsChild>
                        <w:div w:id="989820750">
                          <w:marLeft w:val="0"/>
                          <w:marRight w:val="0"/>
                          <w:marTop w:val="0"/>
                          <w:marBottom w:val="0"/>
                          <w:divBdr>
                            <w:top w:val="none" w:sz="0" w:space="0" w:color="auto"/>
                            <w:left w:val="none" w:sz="0" w:space="0" w:color="auto"/>
                            <w:bottom w:val="none" w:sz="0" w:space="0" w:color="auto"/>
                            <w:right w:val="none" w:sz="0" w:space="0" w:color="auto"/>
                          </w:divBdr>
                          <w:divsChild>
                            <w:div w:id="1681737251">
                              <w:marLeft w:val="0"/>
                              <w:marRight w:val="0"/>
                              <w:marTop w:val="0"/>
                              <w:marBottom w:val="0"/>
                              <w:divBdr>
                                <w:top w:val="none" w:sz="0" w:space="0" w:color="auto"/>
                                <w:left w:val="none" w:sz="0" w:space="0" w:color="auto"/>
                                <w:bottom w:val="none" w:sz="0" w:space="0" w:color="auto"/>
                                <w:right w:val="none" w:sz="0" w:space="0" w:color="auto"/>
                              </w:divBdr>
                              <w:divsChild>
                                <w:div w:id="18943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831179">
      <w:bodyDiv w:val="1"/>
      <w:marLeft w:val="0"/>
      <w:marRight w:val="0"/>
      <w:marTop w:val="0"/>
      <w:marBottom w:val="0"/>
      <w:divBdr>
        <w:top w:val="none" w:sz="0" w:space="0" w:color="auto"/>
        <w:left w:val="none" w:sz="0" w:space="0" w:color="auto"/>
        <w:bottom w:val="none" w:sz="0" w:space="0" w:color="auto"/>
        <w:right w:val="none" w:sz="0" w:space="0" w:color="auto"/>
      </w:divBdr>
      <w:divsChild>
        <w:div w:id="2084720049">
          <w:marLeft w:val="0"/>
          <w:marRight w:val="0"/>
          <w:marTop w:val="0"/>
          <w:marBottom w:val="0"/>
          <w:divBdr>
            <w:top w:val="none" w:sz="0" w:space="0" w:color="auto"/>
            <w:left w:val="none" w:sz="0" w:space="0" w:color="auto"/>
            <w:bottom w:val="none" w:sz="0" w:space="0" w:color="auto"/>
            <w:right w:val="none" w:sz="0" w:space="0" w:color="auto"/>
          </w:divBdr>
          <w:divsChild>
            <w:div w:id="1477259984">
              <w:marLeft w:val="0"/>
              <w:marRight w:val="0"/>
              <w:marTop w:val="0"/>
              <w:marBottom w:val="0"/>
              <w:divBdr>
                <w:top w:val="none" w:sz="0" w:space="0" w:color="auto"/>
                <w:left w:val="none" w:sz="0" w:space="0" w:color="auto"/>
                <w:bottom w:val="none" w:sz="0" w:space="0" w:color="auto"/>
                <w:right w:val="none" w:sz="0" w:space="0" w:color="auto"/>
              </w:divBdr>
              <w:divsChild>
                <w:div w:id="1563828235">
                  <w:marLeft w:val="0"/>
                  <w:marRight w:val="0"/>
                  <w:marTop w:val="0"/>
                  <w:marBottom w:val="0"/>
                  <w:divBdr>
                    <w:top w:val="none" w:sz="0" w:space="0" w:color="auto"/>
                    <w:left w:val="none" w:sz="0" w:space="0" w:color="auto"/>
                    <w:bottom w:val="none" w:sz="0" w:space="0" w:color="auto"/>
                    <w:right w:val="none" w:sz="0" w:space="0" w:color="auto"/>
                  </w:divBdr>
                  <w:divsChild>
                    <w:div w:id="922377065">
                      <w:marLeft w:val="0"/>
                      <w:marRight w:val="0"/>
                      <w:marTop w:val="0"/>
                      <w:marBottom w:val="0"/>
                      <w:divBdr>
                        <w:top w:val="none" w:sz="0" w:space="0" w:color="auto"/>
                        <w:left w:val="none" w:sz="0" w:space="0" w:color="auto"/>
                        <w:bottom w:val="none" w:sz="0" w:space="0" w:color="auto"/>
                        <w:right w:val="none" w:sz="0" w:space="0" w:color="auto"/>
                      </w:divBdr>
                      <w:divsChild>
                        <w:div w:id="1953171615">
                          <w:marLeft w:val="0"/>
                          <w:marRight w:val="0"/>
                          <w:marTop w:val="0"/>
                          <w:marBottom w:val="0"/>
                          <w:divBdr>
                            <w:top w:val="none" w:sz="0" w:space="0" w:color="auto"/>
                            <w:left w:val="none" w:sz="0" w:space="0" w:color="auto"/>
                            <w:bottom w:val="none" w:sz="0" w:space="0" w:color="auto"/>
                            <w:right w:val="none" w:sz="0" w:space="0" w:color="auto"/>
                          </w:divBdr>
                          <w:divsChild>
                            <w:div w:id="1075783929">
                              <w:marLeft w:val="0"/>
                              <w:marRight w:val="0"/>
                              <w:marTop w:val="0"/>
                              <w:marBottom w:val="0"/>
                              <w:divBdr>
                                <w:top w:val="none" w:sz="0" w:space="0" w:color="auto"/>
                                <w:left w:val="none" w:sz="0" w:space="0" w:color="auto"/>
                                <w:bottom w:val="none" w:sz="0" w:space="0" w:color="auto"/>
                                <w:right w:val="none" w:sz="0" w:space="0" w:color="auto"/>
                              </w:divBdr>
                              <w:divsChild>
                                <w:div w:id="10476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easury.sharepoint.com/sites/ha-function/sh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Web management</TermName>
          <TermId xmlns="http://schemas.microsoft.com/office/infopath/2007/PartnerControls">13bf925d-dea1-4b8e-bf7f-8f666ceaa2ef</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3cfc555b-b70d-47ec-abe9-44119bb692c9</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0a5f7403-d38e-437e-a8c7-1e471ec56b40</TermId>
        </TermInfo>
      </Terms>
    </a48f371a4a874164b16a8c4aab488f5c>
    <TaxCatchAll xmlns="8c1dcaad-f81b-4b7a-aa4b-c3e91d379893">
      <Value>155</Value>
      <Value>58</Value>
      <Value>1</Value>
      <Value>119</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979bf202-2487-4a57-be6e-16b9563bd2d7</TermId>
        </TermInfo>
      </Terms>
    </gfba5f33532c49208d2320ce38cc3c2b>
    <_dlc_DocId xmlns="fe39d773-a83d-4623-ae74-f25711a76616">4DWCR5SPSACH-169042403-63</_dlc_DocId>
    <_dlc_DocIdUrl xmlns="fe39d773-a83d-4623-ae74-f25711a76616">
      <Url>https://austreasury.sharepoint.com/sites/ha-function/_layouts/15/DocIdRedir.aspx?ID=4DWCR5SPSACH-169042403-63</Url>
      <Description>4DWCR5SPSACH-169042403-63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04161A75830146AC4943781EC718CA" ma:contentTypeVersion="9" ma:contentTypeDescription="Create a new document." ma:contentTypeScope="" ma:versionID="1ab07d83d4e7a13232486822721a3166">
  <xsd:schema xmlns:xsd="http://www.w3.org/2001/XMLSchema" xmlns:xs="http://www.w3.org/2001/XMLSchema" xmlns:p="http://schemas.microsoft.com/office/2006/metadata/properties" xmlns:ns2="8c1dcaad-f81b-4b7a-aa4b-c3e91d379893" xmlns:ns3="fe39d773-a83d-4623-ae74-f25711a76616" xmlns:ns4="f8a2654c-d5a8-44de-8399-4688fceec784" targetNamespace="http://schemas.microsoft.com/office/2006/metadata/properties" ma:root="true" ma:fieldsID="f0a243867d1a686b8847b249752d73e8" ns2:_="" ns3:_="" ns4:_="">
    <xsd:import namespace="8c1dcaad-f81b-4b7a-aa4b-c3e91d379893"/>
    <xsd:import namespace="fe39d773-a83d-4623-ae74-f25711a76616"/>
    <xsd:import namespace="f8a2654c-d5a8-44de-8399-4688fceec784"/>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abb9e8-4f53-4012-bbb2-4fe5a8d1d43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1abb9e8-4f53-4012-bbb2-4fe5a8d1d43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Housing|0a5f7403-d38e-437e-a8c7-1e471ec56b40"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a2654c-d5a8-44de-8399-4688fceec78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13A84-0036-4CBE-8B60-29FBAE324D0C}">
  <ds:schemaRefs>
    <ds:schemaRef ds:uri="http://purl.org/dc/terms/"/>
    <ds:schemaRef ds:uri="http://schemas.microsoft.com/office/2006/documentManagement/types"/>
    <ds:schemaRef ds:uri="8c1dcaad-f81b-4b7a-aa4b-c3e91d379893"/>
    <ds:schemaRef ds:uri="fe39d773-a83d-4623-ae74-f25711a76616"/>
    <ds:schemaRef ds:uri="http://schemas.microsoft.com/office/infopath/2007/PartnerControls"/>
    <ds:schemaRef ds:uri="http://purl.org/dc/dcmitype/"/>
    <ds:schemaRef ds:uri="http://www.w3.org/XML/1998/namespace"/>
    <ds:schemaRef ds:uri="http://schemas.openxmlformats.org/package/2006/metadata/core-properties"/>
    <ds:schemaRef ds:uri="f8a2654c-d5a8-44de-8399-4688fceec78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A79F606-3540-41F2-9523-DFA8DD5E4AAC}">
  <ds:schemaRefs>
    <ds:schemaRef ds:uri="http://schemas.microsoft.com/sharepoint/v3/contenttype/forms"/>
  </ds:schemaRefs>
</ds:datastoreItem>
</file>

<file path=customXml/itemProps3.xml><?xml version="1.0" encoding="utf-8"?>
<ds:datastoreItem xmlns:ds="http://schemas.openxmlformats.org/officeDocument/2006/customXml" ds:itemID="{C0BE506F-A3FF-4064-83F2-0DF703EB88DF}">
  <ds:schemaRefs>
    <ds:schemaRef ds:uri="http://schemas.microsoft.com/sharepoint/events"/>
  </ds:schemaRefs>
</ds:datastoreItem>
</file>

<file path=customXml/itemProps4.xml><?xml version="1.0" encoding="utf-8"?>
<ds:datastoreItem xmlns:ds="http://schemas.openxmlformats.org/officeDocument/2006/customXml" ds:itemID="{2084C248-C108-4316-BCB9-C4651FCEF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f8a2654c-d5a8-44de-8399-4688fceec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9</TotalTime>
  <Pages>9</Pages>
  <Words>2388</Words>
  <Characters>13883</Characters>
  <Application>Microsoft Office Word</Application>
  <DocSecurity>0</DocSecurity>
  <Lines>379</Lines>
  <Paragraphs>109</Paragraphs>
  <ScaleCrop>false</ScaleCrop>
  <HeadingPairs>
    <vt:vector size="2" baseType="variant">
      <vt:variant>
        <vt:lpstr>Title</vt:lpstr>
      </vt:variant>
      <vt:variant>
        <vt:i4>1</vt:i4>
      </vt:variant>
    </vt:vector>
  </HeadingPairs>
  <TitlesOfParts>
    <vt:vector size="1" baseType="lpstr">
      <vt:lpstr>Commonwealth - National Housing Accord – implementation schedule</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 National Housing Accord – implementation schedule</dc:title>
  <dc:subject/>
  <dc:creator>Australian Government</dc:creator>
  <cp:keywords/>
  <dc:description/>
  <cp:lastModifiedBy>Hill, Christine</cp:lastModifiedBy>
  <cp:revision>16</cp:revision>
  <dcterms:created xsi:type="dcterms:W3CDTF">2023-11-15T21:50:00Z</dcterms:created>
  <dcterms:modified xsi:type="dcterms:W3CDTF">2023-11-23T22:42:00Z</dcterms:modified>
</cp:coreProperties>
</file>