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C3BB" w14:textId="3C5951E3" w:rsidR="00C327A9" w:rsidRDefault="00E97822" w:rsidP="00C327A9">
      <w:pPr>
        <w:pStyle w:val="CoverTitleMain"/>
        <w:rPr>
          <w:b w:val="0"/>
          <w:color w:val="auto"/>
          <w:sz w:val="48"/>
          <w:szCs w:val="48"/>
        </w:rPr>
      </w:pPr>
      <w:r>
        <w:rPr>
          <w:b w:val="0"/>
          <w:noProof/>
          <w:color w:val="auto"/>
          <w:sz w:val="48"/>
          <w:szCs w:val="48"/>
        </w:rPr>
        <w:drawing>
          <wp:inline distT="0" distB="0" distL="0" distR="0" wp14:anchorId="49A73E1E" wp14:editId="6377293D">
            <wp:extent cx="1636107" cy="82220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4603" cy="826476"/>
                    </a:xfrm>
                    <a:prstGeom prst="rect">
                      <a:avLst/>
                    </a:prstGeom>
                  </pic:spPr>
                </pic:pic>
              </a:graphicData>
            </a:graphic>
          </wp:inline>
        </w:drawing>
      </w:r>
    </w:p>
    <w:p w14:paraId="579D1A6E" w14:textId="410BC6D3" w:rsidR="00C327A9" w:rsidRDefault="003916C9" w:rsidP="00C327A9">
      <w:pPr>
        <w:pStyle w:val="CoverTitleMain"/>
        <w:spacing w:before="480" w:after="0"/>
        <w:rPr>
          <w:b w:val="0"/>
          <w:color w:val="auto"/>
          <w:sz w:val="48"/>
          <w:szCs w:val="48"/>
        </w:rPr>
      </w:pPr>
      <w:r w:rsidRPr="00C327A9">
        <w:rPr>
          <w:b w:val="0"/>
          <w:color w:val="auto"/>
          <w:sz w:val="48"/>
          <w:szCs w:val="48"/>
        </w:rPr>
        <w:t>News Media and Digital Platforms Mandatory Bargaining Code</w:t>
      </w:r>
      <w:r>
        <w:rPr>
          <w:b w:val="0"/>
          <w:color w:val="auto"/>
          <w:sz w:val="48"/>
          <w:szCs w:val="48"/>
        </w:rPr>
        <w:t>:</w:t>
      </w:r>
      <w:r w:rsidRPr="00C327A9">
        <w:rPr>
          <w:b w:val="0"/>
          <w:color w:val="auto"/>
          <w:sz w:val="48"/>
          <w:szCs w:val="48"/>
        </w:rPr>
        <w:t xml:space="preserve"> The Code’s first year of operation</w:t>
      </w:r>
    </w:p>
    <w:p w14:paraId="4C015DB7" w14:textId="79E1E86C" w:rsidR="00C327A9" w:rsidRDefault="003916C9" w:rsidP="00C327A9">
      <w:pPr>
        <w:pStyle w:val="CoverTitleMain"/>
        <w:spacing w:before="480" w:after="0"/>
        <w:rPr>
          <w:b w:val="0"/>
          <w:color w:val="auto"/>
          <w:sz w:val="48"/>
          <w:szCs w:val="48"/>
        </w:rPr>
      </w:pPr>
      <w:r>
        <w:rPr>
          <w:b w:val="0"/>
          <w:color w:val="auto"/>
          <w:sz w:val="48"/>
          <w:szCs w:val="48"/>
        </w:rPr>
        <w:t>Government</w:t>
      </w:r>
      <w:r w:rsidRPr="00A6282A">
        <w:rPr>
          <w:b w:val="0"/>
          <w:color w:val="auto"/>
          <w:sz w:val="48"/>
          <w:szCs w:val="48"/>
        </w:rPr>
        <w:t xml:space="preserve"> Response</w:t>
      </w:r>
    </w:p>
    <w:p w14:paraId="6B750CEB" w14:textId="77777777" w:rsidR="00C327A9" w:rsidRDefault="00C327A9" w:rsidP="00C327A9"/>
    <w:p w14:paraId="047D929A" w14:textId="77777777" w:rsidR="00C327A9" w:rsidRDefault="00C327A9" w:rsidP="00C327A9"/>
    <w:p w14:paraId="606DE1E7" w14:textId="77777777" w:rsidR="00C327A9" w:rsidRDefault="00C327A9" w:rsidP="00C327A9"/>
    <w:p w14:paraId="72805174" w14:textId="73077C6C" w:rsidR="00C327A9" w:rsidRPr="00845A0D" w:rsidRDefault="1648E726" w:rsidP="00C327A9">
      <w:pPr>
        <w:jc w:val="center"/>
      </w:pPr>
      <w:r>
        <w:t xml:space="preserve"> </w:t>
      </w:r>
      <w:r w:rsidR="007E3736" w:rsidRPr="00666E31">
        <w:t>1</w:t>
      </w:r>
      <w:r w:rsidR="004746A5" w:rsidRPr="00666E31">
        <w:t>8</w:t>
      </w:r>
      <w:r w:rsidR="007E3736">
        <w:t xml:space="preserve"> </w:t>
      </w:r>
      <w:r>
        <w:t>December 2023</w:t>
      </w:r>
    </w:p>
    <w:p w14:paraId="3FC1B69E" w14:textId="77777777" w:rsidR="00C327A9" w:rsidRDefault="00C327A9" w:rsidP="00C327A9">
      <w:pPr>
        <w:sectPr w:rsidR="00C327A9">
          <w:headerReference w:type="default" r:id="rId8"/>
          <w:footerReference w:type="first" r:id="rId9"/>
          <w:pgSz w:w="11906" w:h="16838"/>
          <w:pgMar w:top="1418" w:right="1418" w:bottom="1418" w:left="1418" w:header="709" w:footer="240" w:gutter="0"/>
          <w:cols w:space="720"/>
          <w:titlePg/>
        </w:sectPr>
      </w:pPr>
    </w:p>
    <w:p w14:paraId="05879F66" w14:textId="77777777" w:rsidR="00C327A9" w:rsidRDefault="003916C9" w:rsidP="00C327A9">
      <w:pPr>
        <w:pStyle w:val="Heading2NotNumbered"/>
        <w:jc w:val="center"/>
        <w:rPr>
          <w:color w:val="auto"/>
          <w:sz w:val="32"/>
          <w:szCs w:val="32"/>
        </w:rPr>
      </w:pPr>
      <w:r w:rsidRPr="00845A0D">
        <w:rPr>
          <w:color w:val="auto"/>
          <w:sz w:val="32"/>
          <w:szCs w:val="32"/>
        </w:rPr>
        <w:lastRenderedPageBreak/>
        <w:t>Australian Government response</w:t>
      </w:r>
    </w:p>
    <w:p w14:paraId="3EFAB0EB" w14:textId="77777777" w:rsidR="00C327A9" w:rsidRPr="000A29BE" w:rsidRDefault="00C327A9" w:rsidP="00C327A9"/>
    <w:p w14:paraId="32620F4C" w14:textId="591A0118" w:rsidR="00C327A9" w:rsidRPr="000A29BE" w:rsidRDefault="00C327A9" w:rsidP="00C327A9">
      <w:pPr>
        <w:pStyle w:val="Heading6"/>
        <w:rPr>
          <w:sz w:val="28"/>
          <w:szCs w:val="28"/>
        </w:rPr>
      </w:pPr>
    </w:p>
    <w:tbl>
      <w:tblPr>
        <w:tblStyle w:val="TableGrid"/>
        <w:tblW w:w="0" w:type="auto"/>
        <w:tblLook w:val="04A0" w:firstRow="1" w:lastRow="0" w:firstColumn="1" w:lastColumn="0" w:noHBand="0" w:noVBand="1"/>
      </w:tblPr>
      <w:tblGrid>
        <w:gridCol w:w="9026"/>
      </w:tblGrid>
      <w:tr w:rsidR="00C0048C" w14:paraId="569657D9" w14:textId="77777777" w:rsidTr="00E06AF4">
        <w:trPr>
          <w:trHeight w:val="1046"/>
        </w:trPr>
        <w:tc>
          <w:tcPr>
            <w:tcW w:w="9286" w:type="dxa"/>
          </w:tcPr>
          <w:p w14:paraId="76F1ADF9" w14:textId="030EB734" w:rsidR="00C327A9" w:rsidRPr="00A6282A" w:rsidRDefault="003916C9" w:rsidP="00E06AF4">
            <w:pPr>
              <w:rPr>
                <w:b/>
              </w:rPr>
            </w:pPr>
            <w:r w:rsidRPr="00A6282A">
              <w:rPr>
                <w:b/>
              </w:rPr>
              <w:t>Recommendation 1</w:t>
            </w:r>
          </w:p>
          <w:p w14:paraId="296A6BA8" w14:textId="77777777" w:rsidR="00AB47FA" w:rsidRDefault="003916C9" w:rsidP="004666D2">
            <w:r>
              <w:t>The Government should consider directing the ACCC to prepare reports on:</w:t>
            </w:r>
          </w:p>
          <w:p w14:paraId="72B0C559" w14:textId="10E70A28" w:rsidR="00AB47FA" w:rsidRDefault="003916C9" w:rsidP="004666D2">
            <w:pPr>
              <w:pStyle w:val="Bullet"/>
              <w:spacing w:after="120"/>
            </w:pPr>
            <w:r>
              <w:t>the extent to which digital platforms make available covered news content of Australian news businesses and</w:t>
            </w:r>
          </w:p>
          <w:p w14:paraId="30AC21B8" w14:textId="141F94B6" w:rsidR="00C327A9" w:rsidRPr="00AB47FA" w:rsidRDefault="003916C9" w:rsidP="00E06AF4">
            <w:pPr>
              <w:pStyle w:val="Bullet"/>
            </w:pPr>
            <w:r>
              <w:t xml:space="preserve">whether significant bargaining power imbalances exist between these digital platforms and Australian news businesses. </w:t>
            </w:r>
          </w:p>
        </w:tc>
      </w:tr>
    </w:tbl>
    <w:p w14:paraId="1D0E484D" w14:textId="77777777" w:rsidR="00C327A9" w:rsidRPr="00A6282A" w:rsidRDefault="003916C9" w:rsidP="00C327A9">
      <w:pPr>
        <w:rPr>
          <w:b/>
        </w:rPr>
      </w:pPr>
      <w:r w:rsidRPr="00A6282A">
        <w:rPr>
          <w:b/>
        </w:rPr>
        <w:t>Response</w:t>
      </w:r>
    </w:p>
    <w:p w14:paraId="73BC1EB6" w14:textId="1B9A7752" w:rsidR="00AB47FA" w:rsidRDefault="003916C9" w:rsidP="00AB47FA">
      <w:r>
        <w:t>The Government supports the recommendation.</w:t>
      </w:r>
    </w:p>
    <w:p w14:paraId="11231119" w14:textId="447A472E" w:rsidR="00C327A9" w:rsidRDefault="7B562723" w:rsidP="00C327A9">
      <w:pPr>
        <w:rPr>
          <w:iCs/>
        </w:rPr>
      </w:pPr>
      <w:r>
        <w:t xml:space="preserve">It will introduce legislative amendments that would facilitate the Australian Competition and Consumer Commission (ACCC) preparing periodic reports on the digital platforms that should be covered by the Code. The ACCC will have compulsory information-gathering powers to assist it to prepare these reports. </w:t>
      </w:r>
    </w:p>
    <w:p w14:paraId="50C3448B" w14:textId="0375BF5F" w:rsidR="7B562723" w:rsidRDefault="7B562723" w:rsidP="7B562723"/>
    <w:tbl>
      <w:tblPr>
        <w:tblStyle w:val="TableGrid"/>
        <w:tblW w:w="0" w:type="auto"/>
        <w:tblLook w:val="04A0" w:firstRow="1" w:lastRow="0" w:firstColumn="1" w:lastColumn="0" w:noHBand="0" w:noVBand="1"/>
      </w:tblPr>
      <w:tblGrid>
        <w:gridCol w:w="9026"/>
      </w:tblGrid>
      <w:tr w:rsidR="00C0048C" w14:paraId="62BEE711" w14:textId="77777777" w:rsidTr="00E06AF4">
        <w:trPr>
          <w:trHeight w:val="1046"/>
        </w:trPr>
        <w:tc>
          <w:tcPr>
            <w:tcW w:w="9286" w:type="dxa"/>
          </w:tcPr>
          <w:p w14:paraId="0953B84A" w14:textId="4295ACB0" w:rsidR="00C327A9" w:rsidRPr="00A6282A" w:rsidRDefault="003916C9" w:rsidP="00E06AF4">
            <w:pPr>
              <w:rPr>
                <w:b/>
              </w:rPr>
            </w:pPr>
            <w:r w:rsidRPr="00A6282A">
              <w:rPr>
                <w:b/>
              </w:rPr>
              <w:t xml:space="preserve">Recommendation </w:t>
            </w:r>
            <w:r>
              <w:rPr>
                <w:b/>
              </w:rPr>
              <w:t>2</w:t>
            </w:r>
          </w:p>
          <w:p w14:paraId="6BD197F1" w14:textId="4412A708" w:rsidR="00C327A9" w:rsidRPr="0085026B" w:rsidRDefault="003916C9" w:rsidP="004666D2">
            <w:pPr>
              <w:spacing w:after="360"/>
            </w:pPr>
            <w:r>
              <w:t>The Government should consider addressing, in its response to Interim Report No. 5 of the ACCC’s Digital Platform Services Inquiry, whether ACCC information-gathering powers could be used to obtain information about commercial agreements between digital platforms and news businesses.</w:t>
            </w:r>
          </w:p>
        </w:tc>
      </w:tr>
    </w:tbl>
    <w:p w14:paraId="50B37461" w14:textId="595FDFEC" w:rsidR="00C327A9" w:rsidRPr="0085026B" w:rsidRDefault="003916C9" w:rsidP="008505A7">
      <w:pPr>
        <w:rPr>
          <w:b/>
        </w:rPr>
      </w:pPr>
      <w:r w:rsidRPr="00A6282A">
        <w:rPr>
          <w:b/>
        </w:rPr>
        <w:t>Response</w:t>
      </w:r>
    </w:p>
    <w:p w14:paraId="3D8F4536" w14:textId="6FA7F6C9" w:rsidR="004666D2" w:rsidRDefault="003916C9" w:rsidP="004666D2">
      <w:r>
        <w:t>The Government supports the recommendation.</w:t>
      </w:r>
    </w:p>
    <w:p w14:paraId="79D73566" w14:textId="2C4065FD" w:rsidR="009620A0" w:rsidRPr="0005306C" w:rsidRDefault="003916C9" w:rsidP="009620A0">
      <w:pPr>
        <w:rPr>
          <w:rFonts w:ascii="Calibri" w:hAnsi="Calibri"/>
          <w:color w:val="000000"/>
          <w:sz w:val="22"/>
        </w:rPr>
      </w:pPr>
      <w:r>
        <w:rPr>
          <w:color w:val="000000"/>
        </w:rPr>
        <w:t xml:space="preserve">In its </w:t>
      </w:r>
      <w:r w:rsidR="00BC5878">
        <w:rPr>
          <w:color w:val="000000"/>
        </w:rPr>
        <w:t>fifth</w:t>
      </w:r>
      <w:r>
        <w:rPr>
          <w:color w:val="000000"/>
        </w:rPr>
        <w:t xml:space="preserve"> interim report released on 11 November 2022 as part of the Digital Platform Services Inquiry, the ACCC recommended that as part of the new digital competition code framework, the relevant regulator should have information-gathering powers </w:t>
      </w:r>
      <w:proofErr w:type="gramStart"/>
      <w:r>
        <w:rPr>
          <w:color w:val="000000"/>
        </w:rPr>
        <w:t>in order to</w:t>
      </w:r>
      <w:proofErr w:type="gramEnd"/>
      <w:r>
        <w:rPr>
          <w:color w:val="000000"/>
        </w:rPr>
        <w:t xml:space="preserve"> collect data from companies, many of which are global entities in overseas jurisdictions.  </w:t>
      </w:r>
    </w:p>
    <w:p w14:paraId="5A5608F5" w14:textId="77777777" w:rsidR="00152E2B" w:rsidRDefault="1648E726" w:rsidP="002972CE">
      <w:pPr>
        <w:rPr>
          <w:color w:val="000000" w:themeColor="text1"/>
        </w:rPr>
      </w:pPr>
      <w:r w:rsidRPr="1648E726">
        <w:rPr>
          <w:color w:val="000000" w:themeColor="text1"/>
        </w:rPr>
        <w:t xml:space="preserve">Treasury consulted on the ACCC’s fifth interim report recommendations between 20 December 2022 and 15 February 2023. </w:t>
      </w:r>
    </w:p>
    <w:p w14:paraId="19B361F3" w14:textId="452E4054" w:rsidR="00557111" w:rsidRDefault="001B0249" w:rsidP="002972CE">
      <w:r>
        <w:rPr>
          <w:color w:val="000000" w:themeColor="text1"/>
        </w:rPr>
        <w:t xml:space="preserve">The Government </w:t>
      </w:r>
      <w:r w:rsidR="003C23A4">
        <w:rPr>
          <w:color w:val="000000" w:themeColor="text1"/>
        </w:rPr>
        <w:t xml:space="preserve">published its response to the ACCC’s </w:t>
      </w:r>
      <w:r w:rsidR="002E175C">
        <w:rPr>
          <w:color w:val="000000" w:themeColor="text1"/>
        </w:rPr>
        <w:t>fifth interim report on 8</w:t>
      </w:r>
      <w:r w:rsidR="00DD0610">
        <w:rPr>
          <w:color w:val="000000" w:themeColor="text1"/>
        </w:rPr>
        <w:t> </w:t>
      </w:r>
      <w:r w:rsidR="00C4577D">
        <w:rPr>
          <w:color w:val="000000" w:themeColor="text1"/>
        </w:rPr>
        <w:t>December</w:t>
      </w:r>
      <w:r w:rsidR="002E175C">
        <w:rPr>
          <w:color w:val="000000" w:themeColor="text1"/>
        </w:rPr>
        <w:t xml:space="preserve"> 2023</w:t>
      </w:r>
      <w:r w:rsidR="00C4577D">
        <w:rPr>
          <w:color w:val="000000" w:themeColor="text1"/>
        </w:rPr>
        <w:t xml:space="preserve">.  The response noted that </w:t>
      </w:r>
      <w:r w:rsidR="00DC37E7">
        <w:rPr>
          <w:color w:val="000000" w:themeColor="text1"/>
        </w:rPr>
        <w:t>p</w:t>
      </w:r>
      <w:r w:rsidR="00C4577D" w:rsidRPr="00C4577D">
        <w:rPr>
          <w:color w:val="000000" w:themeColor="text1"/>
        </w:rPr>
        <w:t xml:space="preserve">art of designing the new framework would include considering the broader allocation of powers for the regulator to enforce the regime and undertake roles under other reforms. </w:t>
      </w:r>
      <w:r w:rsidR="1648E726" w:rsidRPr="1648E726">
        <w:rPr>
          <w:color w:val="000000" w:themeColor="text1"/>
        </w:rPr>
        <w:t xml:space="preserve">The Government will consider the extent of the ACCC’s information-gathering powers, including in relation to commercial agreements between digital platforms and news businesses, as part of that process. </w:t>
      </w:r>
    </w:p>
    <w:p w14:paraId="5420418C" w14:textId="231884AC" w:rsidR="00C327A9" w:rsidRDefault="00C327A9" w:rsidP="00C327A9"/>
    <w:tbl>
      <w:tblPr>
        <w:tblStyle w:val="TableGrid"/>
        <w:tblW w:w="0" w:type="auto"/>
        <w:tblLook w:val="04A0" w:firstRow="1" w:lastRow="0" w:firstColumn="1" w:lastColumn="0" w:noHBand="0" w:noVBand="1"/>
      </w:tblPr>
      <w:tblGrid>
        <w:gridCol w:w="9026"/>
      </w:tblGrid>
      <w:tr w:rsidR="00C0048C" w14:paraId="0CD7C885" w14:textId="77777777" w:rsidTr="00E06AF4">
        <w:trPr>
          <w:trHeight w:val="1046"/>
        </w:trPr>
        <w:tc>
          <w:tcPr>
            <w:tcW w:w="9286" w:type="dxa"/>
          </w:tcPr>
          <w:p w14:paraId="747F7A89" w14:textId="34A8962B" w:rsidR="00C327A9" w:rsidRPr="00A6282A" w:rsidRDefault="003916C9" w:rsidP="00E06AF4">
            <w:pPr>
              <w:rPr>
                <w:b/>
              </w:rPr>
            </w:pPr>
            <w:r w:rsidRPr="00A6282A">
              <w:rPr>
                <w:b/>
              </w:rPr>
              <w:t xml:space="preserve">Recommendation </w:t>
            </w:r>
            <w:r>
              <w:rPr>
                <w:b/>
              </w:rPr>
              <w:t>3</w:t>
            </w:r>
          </w:p>
          <w:p w14:paraId="598CE270" w14:textId="26626A5F" w:rsidR="00C327A9" w:rsidRPr="0085026B" w:rsidRDefault="003916C9" w:rsidP="00E06AF4">
            <w:r>
              <w:t>Treasury, in consultation with the Department of Infrastructure, Transport, Regional Development, Communications and the Arts, should monitor registration outcomes for consistency with the policy objectives of the Code.</w:t>
            </w:r>
          </w:p>
        </w:tc>
      </w:tr>
    </w:tbl>
    <w:p w14:paraId="69226C60" w14:textId="77777777" w:rsidR="00C327A9" w:rsidRDefault="003916C9" w:rsidP="00C327A9">
      <w:pPr>
        <w:rPr>
          <w:b/>
        </w:rPr>
      </w:pPr>
      <w:r w:rsidRPr="00A6282A">
        <w:rPr>
          <w:b/>
        </w:rPr>
        <w:t>Response</w:t>
      </w:r>
    </w:p>
    <w:p w14:paraId="20B5194B" w14:textId="7CD303BF" w:rsidR="004666D2" w:rsidRDefault="003916C9" w:rsidP="004666D2">
      <w:r>
        <w:t>The Government supports the recommendation.</w:t>
      </w:r>
      <w:r w:rsidR="00416351">
        <w:t xml:space="preserve"> </w:t>
      </w:r>
    </w:p>
    <w:p w14:paraId="2132223A" w14:textId="66097254" w:rsidR="00E442C7" w:rsidRDefault="003916C9" w:rsidP="00152816">
      <w:r>
        <w:t xml:space="preserve">The Government accepts the </w:t>
      </w:r>
      <w:bookmarkStart w:id="0" w:name="_Hlk123813169"/>
      <w:r>
        <w:t xml:space="preserve">review’s finding that the registration provisions have worked effectively overall, </w:t>
      </w:r>
      <w:r w:rsidR="00EF4955">
        <w:t xml:space="preserve">and that there </w:t>
      </w:r>
      <w:r w:rsidR="00366243">
        <w:t xml:space="preserve">is </w:t>
      </w:r>
      <w:r w:rsidR="00EF4955">
        <w:t xml:space="preserve">not a sufficiently strong case to amend them </w:t>
      </w:r>
      <w:proofErr w:type="gramStart"/>
      <w:r w:rsidR="00EF4955">
        <w:t>at this point in time</w:t>
      </w:r>
      <w:proofErr w:type="gramEnd"/>
      <w:r w:rsidR="00EF4955">
        <w:t xml:space="preserve">. </w:t>
      </w:r>
      <w:r w:rsidR="00366243">
        <w:t xml:space="preserve">However, </w:t>
      </w:r>
      <w:r>
        <w:t>there appear to be a small number of cases where the provisions, as currently drafted, have not delivered outcomes consistent with the Code’s objectives.</w:t>
      </w:r>
      <w:bookmarkEnd w:id="0"/>
      <w:r>
        <w:t xml:space="preserve"> It will therefore be important to continue to monitor registration outcomes. </w:t>
      </w:r>
      <w:r w:rsidR="00366243">
        <w:t xml:space="preserve">This issue </w:t>
      </w:r>
      <w:r w:rsidR="00CA507C">
        <w:t>should</w:t>
      </w:r>
      <w:r w:rsidR="00366243">
        <w:t xml:space="preserve"> be revisited in the future review proposed in recommendation 5.</w:t>
      </w:r>
    </w:p>
    <w:p w14:paraId="68A482AD" w14:textId="43565E15" w:rsidR="00C327A9" w:rsidRDefault="00C327A9" w:rsidP="00C327A9"/>
    <w:tbl>
      <w:tblPr>
        <w:tblStyle w:val="TableGrid"/>
        <w:tblW w:w="0" w:type="auto"/>
        <w:tblLook w:val="04A0" w:firstRow="1" w:lastRow="0" w:firstColumn="1" w:lastColumn="0" w:noHBand="0" w:noVBand="1"/>
      </w:tblPr>
      <w:tblGrid>
        <w:gridCol w:w="9026"/>
      </w:tblGrid>
      <w:tr w:rsidR="00C0048C" w14:paraId="6BC99B8C" w14:textId="77777777" w:rsidTr="00E06AF4">
        <w:trPr>
          <w:trHeight w:val="1046"/>
        </w:trPr>
        <w:tc>
          <w:tcPr>
            <w:tcW w:w="9286" w:type="dxa"/>
          </w:tcPr>
          <w:p w14:paraId="31C255E4" w14:textId="2FFE98D7" w:rsidR="00AB47FA" w:rsidRPr="00A6282A" w:rsidRDefault="003916C9" w:rsidP="00E06AF4">
            <w:pPr>
              <w:rPr>
                <w:b/>
              </w:rPr>
            </w:pPr>
            <w:r w:rsidRPr="00A6282A">
              <w:rPr>
                <w:b/>
              </w:rPr>
              <w:t xml:space="preserve">Recommendation </w:t>
            </w:r>
            <w:r>
              <w:rPr>
                <w:b/>
              </w:rPr>
              <w:t>4</w:t>
            </w:r>
          </w:p>
          <w:p w14:paraId="0765E9DE" w14:textId="54F0FF28" w:rsidR="00AB47FA" w:rsidRPr="0085026B" w:rsidRDefault="003916C9" w:rsidP="00E06AF4">
            <w:r>
              <w:t>The Australian Communications and Media Authority should consider administrative issues arising in relation to the registration process.</w:t>
            </w:r>
          </w:p>
        </w:tc>
      </w:tr>
    </w:tbl>
    <w:p w14:paraId="33FA7ACD" w14:textId="77777777" w:rsidR="00AB47FA" w:rsidRDefault="003916C9" w:rsidP="00AB47FA">
      <w:pPr>
        <w:rPr>
          <w:b/>
        </w:rPr>
      </w:pPr>
      <w:r w:rsidRPr="00A6282A">
        <w:rPr>
          <w:b/>
        </w:rPr>
        <w:t>Response</w:t>
      </w:r>
    </w:p>
    <w:p w14:paraId="0DD4C5B2" w14:textId="09B510BE" w:rsidR="004666D2" w:rsidRDefault="003916C9" w:rsidP="004666D2">
      <w:r>
        <w:t xml:space="preserve">The Government </w:t>
      </w:r>
      <w:r w:rsidR="00366243">
        <w:t xml:space="preserve">supports </w:t>
      </w:r>
      <w:r>
        <w:t>the recommendation</w:t>
      </w:r>
      <w:r w:rsidR="00366243">
        <w:t xml:space="preserve">, noting that it </w:t>
      </w:r>
      <w:r w:rsidR="009620A0">
        <w:t xml:space="preserve">is </w:t>
      </w:r>
      <w:r w:rsidR="00366243">
        <w:t xml:space="preserve">important for registration </w:t>
      </w:r>
      <w:r w:rsidR="008A08EE">
        <w:t>processes</w:t>
      </w:r>
      <w:r w:rsidR="00366243">
        <w:t xml:space="preserve"> to operate as effectively and efficiently as possible</w:t>
      </w:r>
      <w:r w:rsidR="009620A0">
        <w:t>,</w:t>
      </w:r>
      <w:r w:rsidR="008A08EE">
        <w:t xml:space="preserve"> consistent</w:t>
      </w:r>
      <w:r w:rsidR="009620A0">
        <w:t>ly</w:t>
      </w:r>
      <w:r w:rsidR="008A08EE">
        <w:t xml:space="preserve"> with the existing provisions of the Code</w:t>
      </w:r>
      <w:r w:rsidR="00366243">
        <w:t>.</w:t>
      </w:r>
    </w:p>
    <w:p w14:paraId="0A3624F5" w14:textId="553A34F7" w:rsidR="00C327A9" w:rsidRDefault="00C327A9" w:rsidP="00C327A9"/>
    <w:tbl>
      <w:tblPr>
        <w:tblStyle w:val="TableGrid"/>
        <w:tblW w:w="0" w:type="auto"/>
        <w:tblLook w:val="04A0" w:firstRow="1" w:lastRow="0" w:firstColumn="1" w:lastColumn="0" w:noHBand="0" w:noVBand="1"/>
      </w:tblPr>
      <w:tblGrid>
        <w:gridCol w:w="9026"/>
      </w:tblGrid>
      <w:tr w:rsidR="00C0048C" w14:paraId="4FFF7BF3" w14:textId="77777777" w:rsidTr="00E06AF4">
        <w:trPr>
          <w:trHeight w:val="1046"/>
        </w:trPr>
        <w:tc>
          <w:tcPr>
            <w:tcW w:w="9286" w:type="dxa"/>
          </w:tcPr>
          <w:p w14:paraId="11BA7480" w14:textId="7664C9C9" w:rsidR="00AB47FA" w:rsidRPr="00A6282A" w:rsidRDefault="003916C9" w:rsidP="00E06AF4">
            <w:pPr>
              <w:rPr>
                <w:b/>
              </w:rPr>
            </w:pPr>
            <w:r w:rsidRPr="00A6282A">
              <w:rPr>
                <w:b/>
              </w:rPr>
              <w:t xml:space="preserve">Recommendation </w:t>
            </w:r>
            <w:r>
              <w:rPr>
                <w:b/>
              </w:rPr>
              <w:t>5</w:t>
            </w:r>
          </w:p>
          <w:p w14:paraId="3914048E" w14:textId="62FA0CB1" w:rsidR="00AB47FA" w:rsidRPr="0085026B" w:rsidRDefault="003916C9" w:rsidP="00E06AF4">
            <w:r>
              <w:t>The Government should consider reviewing the Code again after 4 years of its operation.</w:t>
            </w:r>
          </w:p>
        </w:tc>
      </w:tr>
    </w:tbl>
    <w:p w14:paraId="2B45DB3F" w14:textId="77777777" w:rsidR="00AB47FA" w:rsidRDefault="003916C9" w:rsidP="00AB47FA">
      <w:pPr>
        <w:rPr>
          <w:b/>
        </w:rPr>
      </w:pPr>
      <w:r w:rsidRPr="00A6282A">
        <w:rPr>
          <w:b/>
        </w:rPr>
        <w:t>Response</w:t>
      </w:r>
    </w:p>
    <w:p w14:paraId="4CDE11F9" w14:textId="1373FC26" w:rsidR="0093210B" w:rsidRDefault="003916C9">
      <w:r>
        <w:t>The Government supports the recommendation.</w:t>
      </w:r>
      <w:r w:rsidR="00E442C7">
        <w:t xml:space="preserve"> It accepts the review’s finding that it will be important to review the Code again in the future </w:t>
      </w:r>
      <w:proofErr w:type="gramStart"/>
      <w:r w:rsidR="00E442C7">
        <w:t>in light of</w:t>
      </w:r>
      <w:proofErr w:type="gramEnd"/>
      <w:r w:rsidR="00E442C7">
        <w:t xml:space="preserve"> commercial, technological, and regulatory developments.</w:t>
      </w:r>
    </w:p>
    <w:sectPr w:rsidR="0093210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1791" w14:textId="77777777" w:rsidR="007402BB" w:rsidRDefault="007402BB" w:rsidP="00C327A9">
      <w:pPr>
        <w:spacing w:before="0" w:after="0"/>
      </w:pPr>
      <w:r>
        <w:separator/>
      </w:r>
    </w:p>
  </w:endnote>
  <w:endnote w:type="continuationSeparator" w:id="0">
    <w:p w14:paraId="744E3E02" w14:textId="77777777" w:rsidR="007402BB" w:rsidRDefault="007402BB" w:rsidP="00C327A9">
      <w:pPr>
        <w:spacing w:before="0" w:after="0"/>
      </w:pPr>
      <w:r>
        <w:continuationSeparator/>
      </w:r>
    </w:p>
  </w:endnote>
  <w:endnote w:type="continuationNotice" w:id="1">
    <w:p w14:paraId="3EA4703E" w14:textId="77777777" w:rsidR="007402BB" w:rsidRDefault="007402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03F7" w14:textId="333C130E" w:rsidR="00C327A9" w:rsidRDefault="00C327A9" w:rsidP="0016422F">
    <w:pPr>
      <w:pStyle w:val="SecurityClassificationFooter"/>
      <w:spacing w:before="0" w:after="0"/>
      <w:rPr>
        <w:rFonts w:ascii="Arial" w:eastAsia="Arial" w:hAnsi="Arial" w:cs="Arial"/>
        <w:b w:val="0"/>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8EFA" w14:textId="77777777" w:rsidR="007402BB" w:rsidRDefault="007402BB" w:rsidP="00C327A9">
      <w:pPr>
        <w:spacing w:before="0" w:after="0"/>
      </w:pPr>
      <w:r>
        <w:separator/>
      </w:r>
    </w:p>
  </w:footnote>
  <w:footnote w:type="continuationSeparator" w:id="0">
    <w:p w14:paraId="4E149EBF" w14:textId="77777777" w:rsidR="007402BB" w:rsidRDefault="007402BB" w:rsidP="00C327A9">
      <w:pPr>
        <w:spacing w:before="0" w:after="0"/>
      </w:pPr>
      <w:r>
        <w:continuationSeparator/>
      </w:r>
    </w:p>
  </w:footnote>
  <w:footnote w:type="continuationNotice" w:id="1">
    <w:p w14:paraId="0BB5D171" w14:textId="77777777" w:rsidR="007402BB" w:rsidRDefault="007402B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A79F" w14:textId="7A5580E9" w:rsidR="00385785" w:rsidRPr="00385785" w:rsidRDefault="003916C9" w:rsidP="00755150">
    <w:pPr>
      <w:pStyle w:val="SecurityClassificationHeader"/>
      <w:rPr>
        <w:color w:val="C00000"/>
      </w:rPr>
    </w:pPr>
    <w:r w:rsidRPr="00385785">
      <w:rPr>
        <w:color w:val="C00000"/>
      </w:rPr>
      <w:t>PROTECTED CABINET</w:t>
    </w:r>
  </w:p>
  <w:p w14:paraId="02D256AA" w14:textId="51A1FFEA" w:rsidR="00C327A9" w:rsidRDefault="003916C9" w:rsidP="00755150">
    <w:pPr>
      <w:pStyle w:val="SecurityClassificationHeader"/>
    </w:pPr>
    <w: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964A" w14:textId="5B4B9401" w:rsidR="00C327A9" w:rsidRPr="00C33675" w:rsidRDefault="00C327A9" w:rsidP="00C33675">
    <w:pPr>
      <w:pStyle w:val="Header"/>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F1AA4"/>
    <w:multiLevelType w:val="multilevel"/>
    <w:tmpl w:val="136451B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71224022">
    <w:abstractNumId w:val="0"/>
  </w:num>
  <w:num w:numId="2" w16cid:durableId="21458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09"/>
    <w:rsid w:val="00013BCC"/>
    <w:rsid w:val="00015562"/>
    <w:rsid w:val="0005306C"/>
    <w:rsid w:val="00055633"/>
    <w:rsid w:val="00060968"/>
    <w:rsid w:val="00062651"/>
    <w:rsid w:val="000A29BE"/>
    <w:rsid w:val="00133F89"/>
    <w:rsid w:val="00152816"/>
    <w:rsid w:val="00152E2B"/>
    <w:rsid w:val="0016422F"/>
    <w:rsid w:val="001B0249"/>
    <w:rsid w:val="001D341C"/>
    <w:rsid w:val="00225B6D"/>
    <w:rsid w:val="00230422"/>
    <w:rsid w:val="002972CE"/>
    <w:rsid w:val="002D2ABF"/>
    <w:rsid w:val="002E175C"/>
    <w:rsid w:val="002F23B9"/>
    <w:rsid w:val="0031539E"/>
    <w:rsid w:val="0031698D"/>
    <w:rsid w:val="0035333C"/>
    <w:rsid w:val="00353B31"/>
    <w:rsid w:val="00366243"/>
    <w:rsid w:val="00385785"/>
    <w:rsid w:val="003916C9"/>
    <w:rsid w:val="003C23A4"/>
    <w:rsid w:val="00411813"/>
    <w:rsid w:val="00416351"/>
    <w:rsid w:val="0044546C"/>
    <w:rsid w:val="004666D2"/>
    <w:rsid w:val="004746A5"/>
    <w:rsid w:val="00480A09"/>
    <w:rsid w:val="004C66FB"/>
    <w:rsid w:val="00515A15"/>
    <w:rsid w:val="005216CA"/>
    <w:rsid w:val="00535082"/>
    <w:rsid w:val="00557111"/>
    <w:rsid w:val="005B36A8"/>
    <w:rsid w:val="005D052A"/>
    <w:rsid w:val="005E5F33"/>
    <w:rsid w:val="00663182"/>
    <w:rsid w:val="00666E31"/>
    <w:rsid w:val="006B6E65"/>
    <w:rsid w:val="007402BB"/>
    <w:rsid w:val="0075482D"/>
    <w:rsid w:val="00755150"/>
    <w:rsid w:val="007972D7"/>
    <w:rsid w:val="007E3736"/>
    <w:rsid w:val="00805125"/>
    <w:rsid w:val="00811E52"/>
    <w:rsid w:val="00845A0D"/>
    <w:rsid w:val="0085026B"/>
    <w:rsid w:val="008505A7"/>
    <w:rsid w:val="00857C00"/>
    <w:rsid w:val="0087491F"/>
    <w:rsid w:val="008A08EE"/>
    <w:rsid w:val="008D6B2C"/>
    <w:rsid w:val="008F0273"/>
    <w:rsid w:val="0093210B"/>
    <w:rsid w:val="00945630"/>
    <w:rsid w:val="009620A0"/>
    <w:rsid w:val="00974F8F"/>
    <w:rsid w:val="00A353F2"/>
    <w:rsid w:val="00A4689F"/>
    <w:rsid w:val="00A5071A"/>
    <w:rsid w:val="00A6282A"/>
    <w:rsid w:val="00AB47FA"/>
    <w:rsid w:val="00AC01C1"/>
    <w:rsid w:val="00AE5A5D"/>
    <w:rsid w:val="00B42429"/>
    <w:rsid w:val="00B66090"/>
    <w:rsid w:val="00B720D3"/>
    <w:rsid w:val="00B74A0C"/>
    <w:rsid w:val="00B96B20"/>
    <w:rsid w:val="00BC5878"/>
    <w:rsid w:val="00C0048C"/>
    <w:rsid w:val="00C21203"/>
    <w:rsid w:val="00C327A9"/>
    <w:rsid w:val="00C33675"/>
    <w:rsid w:val="00C4577D"/>
    <w:rsid w:val="00C7098E"/>
    <w:rsid w:val="00C71F7D"/>
    <w:rsid w:val="00CA507C"/>
    <w:rsid w:val="00CA6F48"/>
    <w:rsid w:val="00CF2D1D"/>
    <w:rsid w:val="00D31C6E"/>
    <w:rsid w:val="00D72DE0"/>
    <w:rsid w:val="00D740CB"/>
    <w:rsid w:val="00DA4102"/>
    <w:rsid w:val="00DC37E7"/>
    <w:rsid w:val="00DD0610"/>
    <w:rsid w:val="00DE6158"/>
    <w:rsid w:val="00DF71EC"/>
    <w:rsid w:val="00E06AF4"/>
    <w:rsid w:val="00E17BF9"/>
    <w:rsid w:val="00E442C7"/>
    <w:rsid w:val="00E848C2"/>
    <w:rsid w:val="00E97822"/>
    <w:rsid w:val="00ED5A70"/>
    <w:rsid w:val="00EF4955"/>
    <w:rsid w:val="00F53876"/>
    <w:rsid w:val="00F77417"/>
    <w:rsid w:val="00F91F58"/>
    <w:rsid w:val="00FE50F6"/>
    <w:rsid w:val="1648E726"/>
    <w:rsid w:val="7B562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E8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09"/>
    <w:pPr>
      <w:spacing w:before="120" w:after="120" w:line="240" w:lineRule="auto"/>
    </w:pPr>
    <w:rPr>
      <w:rFonts w:ascii="Arial" w:eastAsia="Times New Roman" w:hAnsi="Arial" w:cs="Times New Roman"/>
      <w:sz w:val="24"/>
      <w:szCs w:val="20"/>
      <w:lang w:eastAsia="en-AU"/>
    </w:rPr>
  </w:style>
  <w:style w:type="paragraph" w:styleId="Heading6">
    <w:name w:val="heading 6"/>
    <w:basedOn w:val="Normal"/>
    <w:next w:val="Normal"/>
    <w:link w:val="Heading6Char"/>
    <w:qFormat/>
    <w:rsid w:val="00C327A9"/>
    <w:pPr>
      <w:keepNext/>
      <w:spacing w:before="0"/>
      <w:outlineLvl w:val="5"/>
    </w:pPr>
    <w:rPr>
      <w:rFonts w:ascii="Calibri" w:hAnsi="Calibri"/>
      <w:bCs/>
      <w:color w:val="44546A"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7A9"/>
    <w:pPr>
      <w:tabs>
        <w:tab w:val="center" w:pos="4513"/>
        <w:tab w:val="right" w:pos="9026"/>
      </w:tabs>
      <w:spacing w:before="0" w:after="0"/>
    </w:pPr>
  </w:style>
  <w:style w:type="character" w:customStyle="1" w:styleId="HeaderChar">
    <w:name w:val="Header Char"/>
    <w:basedOn w:val="DefaultParagraphFont"/>
    <w:link w:val="Header"/>
    <w:uiPriority w:val="99"/>
    <w:rsid w:val="00C327A9"/>
    <w:rPr>
      <w:rFonts w:ascii="Arial" w:eastAsia="Times New Roman" w:hAnsi="Arial" w:cs="Times New Roman"/>
      <w:sz w:val="24"/>
      <w:szCs w:val="20"/>
      <w:lang w:eastAsia="en-AU"/>
    </w:rPr>
  </w:style>
  <w:style w:type="paragraph" w:styleId="Footer">
    <w:name w:val="footer"/>
    <w:basedOn w:val="Normal"/>
    <w:link w:val="FooterChar"/>
    <w:unhideWhenUsed/>
    <w:rsid w:val="00C327A9"/>
    <w:pPr>
      <w:tabs>
        <w:tab w:val="center" w:pos="4513"/>
        <w:tab w:val="right" w:pos="9026"/>
      </w:tabs>
      <w:spacing w:before="0" w:after="0"/>
    </w:pPr>
  </w:style>
  <w:style w:type="character" w:customStyle="1" w:styleId="FooterChar">
    <w:name w:val="Footer Char"/>
    <w:basedOn w:val="DefaultParagraphFont"/>
    <w:link w:val="Footer"/>
    <w:rsid w:val="00C327A9"/>
    <w:rPr>
      <w:rFonts w:ascii="Arial" w:eastAsia="Times New Roman" w:hAnsi="Arial" w:cs="Times New Roman"/>
      <w:sz w:val="24"/>
      <w:szCs w:val="20"/>
      <w:lang w:eastAsia="en-AU"/>
    </w:rPr>
  </w:style>
  <w:style w:type="character" w:customStyle="1" w:styleId="Heading6Char">
    <w:name w:val="Heading 6 Char"/>
    <w:basedOn w:val="DefaultParagraphFont"/>
    <w:link w:val="Heading6"/>
    <w:rsid w:val="00C327A9"/>
    <w:rPr>
      <w:rFonts w:ascii="Calibri" w:eastAsia="Times New Roman" w:hAnsi="Calibri" w:cs="Times New Roman"/>
      <w:bCs/>
      <w:color w:val="44546A" w:themeColor="text2"/>
      <w:lang w:eastAsia="en-AU"/>
    </w:rPr>
  </w:style>
  <w:style w:type="table" w:styleId="TableGrid">
    <w:name w:val="Table Grid"/>
    <w:basedOn w:val="TableNormal"/>
    <w:rsid w:val="00C327A9"/>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CoverTitleMain">
    <w:name w:val="Cover Title Main"/>
    <w:basedOn w:val="Normal"/>
    <w:next w:val="Normal"/>
    <w:rsid w:val="00C327A9"/>
    <w:pPr>
      <w:keepNext/>
      <w:shd w:val="clear" w:color="auto" w:fill="FFFFFF" w:themeFill="background1"/>
      <w:spacing w:before="3360" w:after="480"/>
      <w:jc w:val="center"/>
    </w:pPr>
    <w:rPr>
      <w:rFonts w:asciiTheme="minorHAnsi" w:hAnsiTheme="minorHAnsi"/>
      <w:b/>
      <w:color w:val="44546A" w:themeColor="text2"/>
      <w:sz w:val="52"/>
      <w:szCs w:val="52"/>
    </w:rPr>
  </w:style>
  <w:style w:type="paragraph" w:customStyle="1" w:styleId="Heading2NotNumbered">
    <w:name w:val="Heading 2 Not Numbered"/>
    <w:basedOn w:val="Normal"/>
    <w:next w:val="Normal"/>
    <w:rsid w:val="00C327A9"/>
    <w:pPr>
      <w:keepNext/>
      <w:spacing w:before="360" w:after="180"/>
    </w:pPr>
    <w:rPr>
      <w:rFonts w:ascii="Calibri" w:hAnsi="Calibri"/>
      <w:b/>
      <w:color w:val="44546A" w:themeColor="text2"/>
      <w:sz w:val="28"/>
      <w:szCs w:val="28"/>
    </w:rPr>
  </w:style>
  <w:style w:type="paragraph" w:customStyle="1" w:styleId="SecurityClassificationFooter">
    <w:name w:val="Security Classification Footer"/>
    <w:link w:val="SecurityClassificationFooterChar"/>
    <w:rsid w:val="00C327A9"/>
    <w:pPr>
      <w:spacing w:before="60" w:after="240" w:line="276" w:lineRule="auto"/>
      <w:jc w:val="center"/>
    </w:pPr>
    <w:rPr>
      <w:rFonts w:ascii="Times New Roman" w:eastAsia="Times New Roman" w:hAnsi="Times New Roman" w:cs="Times New Roman"/>
      <w:b/>
      <w:caps/>
      <w:color w:val="342E82"/>
      <w:sz w:val="24"/>
      <w:szCs w:val="20"/>
      <w:lang w:eastAsia="en-AU"/>
    </w:rPr>
  </w:style>
  <w:style w:type="character" w:customStyle="1" w:styleId="SecurityClassificationFooterChar">
    <w:name w:val="Security Classification Footer Char"/>
    <w:link w:val="SecurityClassificationFooter"/>
    <w:rsid w:val="00C327A9"/>
    <w:rPr>
      <w:rFonts w:ascii="Times New Roman" w:eastAsia="Times New Roman" w:hAnsi="Times New Roman" w:cs="Times New Roman"/>
      <w:b/>
      <w:caps/>
      <w:color w:val="342E82"/>
      <w:sz w:val="24"/>
      <w:szCs w:val="20"/>
      <w:lang w:eastAsia="en-AU"/>
    </w:rPr>
  </w:style>
  <w:style w:type="paragraph" w:customStyle="1" w:styleId="SecurityClassificationHeader">
    <w:name w:val="Security Classification Header"/>
    <w:link w:val="SecurityClassificationHeaderChar"/>
    <w:rsid w:val="00C327A9"/>
    <w:pPr>
      <w:spacing w:before="60" w:after="240" w:line="240" w:lineRule="auto"/>
      <w:jc w:val="center"/>
    </w:pPr>
    <w:rPr>
      <w:rFonts w:ascii="Calibri" w:eastAsia="Times New Roman" w:hAnsi="Calibri" w:cs="Times New Roman"/>
      <w:b/>
      <w:caps/>
      <w:color w:val="44546A" w:themeColor="text2"/>
      <w:sz w:val="24"/>
      <w:szCs w:val="20"/>
      <w:lang w:eastAsia="en-AU"/>
    </w:rPr>
  </w:style>
  <w:style w:type="character" w:customStyle="1" w:styleId="SecurityClassificationHeaderChar">
    <w:name w:val="Security Classification Header Char"/>
    <w:basedOn w:val="HeaderChar"/>
    <w:link w:val="SecurityClassificationHeader"/>
    <w:rsid w:val="00C327A9"/>
    <w:rPr>
      <w:rFonts w:ascii="Calibri" w:eastAsia="Times New Roman" w:hAnsi="Calibri" w:cs="Times New Roman"/>
      <w:b/>
      <w:caps/>
      <w:color w:val="44546A" w:themeColor="text2"/>
      <w:sz w:val="24"/>
      <w:szCs w:val="20"/>
      <w:lang w:eastAsia="en-AU"/>
    </w:rPr>
  </w:style>
  <w:style w:type="paragraph" w:customStyle="1" w:styleId="Bullet">
    <w:name w:val="Bullet"/>
    <w:basedOn w:val="Normal"/>
    <w:link w:val="BulletChar"/>
    <w:rsid w:val="00AB47FA"/>
    <w:pPr>
      <w:numPr>
        <w:numId w:val="1"/>
      </w:numPr>
      <w:spacing w:after="360"/>
      <w:jc w:val="both"/>
    </w:pPr>
  </w:style>
  <w:style w:type="character" w:customStyle="1" w:styleId="BulletChar">
    <w:name w:val="Bullet Char"/>
    <w:basedOn w:val="DefaultParagraphFont"/>
    <w:link w:val="Bullet"/>
    <w:rsid w:val="00AB47FA"/>
    <w:rPr>
      <w:rFonts w:ascii="Arial" w:eastAsia="Times New Roman" w:hAnsi="Arial" w:cs="Times New Roman"/>
      <w:sz w:val="24"/>
      <w:szCs w:val="20"/>
      <w:lang w:eastAsia="en-AU"/>
    </w:rPr>
  </w:style>
  <w:style w:type="paragraph" w:customStyle="1" w:styleId="Dash">
    <w:name w:val="Dash"/>
    <w:basedOn w:val="Normal"/>
    <w:link w:val="DashChar"/>
    <w:rsid w:val="00AB47FA"/>
    <w:pPr>
      <w:numPr>
        <w:ilvl w:val="1"/>
        <w:numId w:val="1"/>
      </w:numPr>
      <w:spacing w:after="360"/>
      <w:jc w:val="both"/>
    </w:pPr>
  </w:style>
  <w:style w:type="character" w:customStyle="1" w:styleId="DashChar">
    <w:name w:val="Dash Char"/>
    <w:basedOn w:val="DefaultParagraphFont"/>
    <w:link w:val="Dash"/>
    <w:rsid w:val="00AB47FA"/>
    <w:rPr>
      <w:rFonts w:ascii="Arial" w:eastAsia="Times New Roman" w:hAnsi="Arial" w:cs="Times New Roman"/>
      <w:sz w:val="24"/>
      <w:szCs w:val="20"/>
      <w:lang w:eastAsia="en-AU"/>
    </w:rPr>
  </w:style>
  <w:style w:type="paragraph" w:customStyle="1" w:styleId="DoubleDot">
    <w:name w:val="Double Dot"/>
    <w:basedOn w:val="Normal"/>
    <w:link w:val="DoubleDotChar"/>
    <w:rsid w:val="00AB47FA"/>
    <w:pPr>
      <w:numPr>
        <w:ilvl w:val="2"/>
        <w:numId w:val="1"/>
      </w:numPr>
      <w:spacing w:after="360"/>
      <w:jc w:val="both"/>
    </w:pPr>
  </w:style>
  <w:style w:type="character" w:customStyle="1" w:styleId="DoubleDotChar">
    <w:name w:val="Double Dot Char"/>
    <w:basedOn w:val="DefaultParagraphFont"/>
    <w:link w:val="DoubleDot"/>
    <w:rsid w:val="00AB47FA"/>
    <w:rPr>
      <w:rFonts w:ascii="Arial" w:eastAsia="Times New Roman" w:hAnsi="Arial" w:cs="Times New Roman"/>
      <w:sz w:val="24"/>
      <w:szCs w:val="20"/>
      <w:lang w:eastAsia="en-AU"/>
    </w:rPr>
  </w:style>
  <w:style w:type="paragraph" w:styleId="Revision">
    <w:name w:val="Revision"/>
    <w:hidden/>
    <w:uiPriority w:val="99"/>
    <w:semiHidden/>
    <w:rsid w:val="0031539E"/>
    <w:pPr>
      <w:spacing w:after="0" w:line="240" w:lineRule="auto"/>
    </w:pPr>
    <w:rPr>
      <w:rFonts w:ascii="Arial" w:eastAsia="Times New Roman" w:hAnsi="Arial" w:cs="Times New Roman"/>
      <w:sz w:val="24"/>
      <w:szCs w:val="20"/>
      <w:lang w:eastAsia="en-AU"/>
    </w:rPr>
  </w:style>
  <w:style w:type="character" w:styleId="CommentReference">
    <w:name w:val="annotation reference"/>
    <w:basedOn w:val="DefaultParagraphFont"/>
    <w:uiPriority w:val="99"/>
    <w:semiHidden/>
    <w:unhideWhenUsed/>
    <w:rsid w:val="008F0273"/>
    <w:rPr>
      <w:sz w:val="16"/>
      <w:szCs w:val="16"/>
    </w:rPr>
  </w:style>
  <w:style w:type="paragraph" w:styleId="CommentText">
    <w:name w:val="annotation text"/>
    <w:basedOn w:val="Normal"/>
    <w:link w:val="CommentTextChar"/>
    <w:uiPriority w:val="99"/>
    <w:unhideWhenUsed/>
    <w:rsid w:val="008F0273"/>
    <w:rPr>
      <w:sz w:val="20"/>
    </w:rPr>
  </w:style>
  <w:style w:type="character" w:customStyle="1" w:styleId="CommentTextChar">
    <w:name w:val="Comment Text Char"/>
    <w:basedOn w:val="DefaultParagraphFont"/>
    <w:link w:val="CommentText"/>
    <w:uiPriority w:val="99"/>
    <w:rsid w:val="008F0273"/>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F0273"/>
    <w:rPr>
      <w:b/>
      <w:bCs/>
    </w:rPr>
  </w:style>
  <w:style w:type="character" w:customStyle="1" w:styleId="CommentSubjectChar">
    <w:name w:val="Comment Subject Char"/>
    <w:basedOn w:val="CommentTextChar"/>
    <w:link w:val="CommentSubject"/>
    <w:uiPriority w:val="99"/>
    <w:semiHidden/>
    <w:rsid w:val="008F0273"/>
    <w:rPr>
      <w:rFonts w:ascii="Arial" w:eastAsia="Times New Roman" w:hAnsi="Arial" w:cs="Times New Roman"/>
      <w:b/>
      <w:bCs/>
      <w:sz w:val="20"/>
      <w:szCs w:val="20"/>
      <w:lang w:eastAsia="en-AU"/>
    </w:rPr>
  </w:style>
  <w:style w:type="character" w:styleId="Hyperlink">
    <w:name w:val="Hyperlink"/>
    <w:basedOn w:val="DefaultParagraphFont"/>
    <w:uiPriority w:val="99"/>
    <w:unhideWhenUsed/>
    <w:rsid w:val="00515A15"/>
    <w:rPr>
      <w:color w:val="0563C1" w:themeColor="hyperlink"/>
      <w:u w:val="single"/>
    </w:rPr>
  </w:style>
  <w:style w:type="character" w:styleId="UnresolvedMention">
    <w:name w:val="Unresolved Mention"/>
    <w:basedOn w:val="DefaultParagraphFont"/>
    <w:uiPriority w:val="99"/>
    <w:semiHidden/>
    <w:unhideWhenUsed/>
    <w:rsid w:val="00515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News Media and Digital Platforms Mandatory Bargaining Code: The Code’s first year of operation – Government Response</vt:lpstr>
    </vt:vector>
  </TitlesOfParts>
  <Manager/>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Media and Digital Platforms Mandatory Bargaining Code: The Code’s first year of operation – Government Response</dc:title>
  <dc:creator/>
  <dc:description/>
  <cp:lastModifiedBy/>
  <cp:revision>1</cp:revision>
  <dcterms:created xsi:type="dcterms:W3CDTF">2023-12-15T06:15:00Z</dcterms:created>
  <dcterms:modified xsi:type="dcterms:W3CDTF">2023-12-15T06:18:00Z</dcterms:modified>
</cp:coreProperties>
</file>