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ADA89" w14:textId="77777777" w:rsidR="00E24AA1" w:rsidRDefault="002F5302"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2022</w:t>
      </w:r>
      <w:r w:rsidR="00041348">
        <w:t>–2023</w:t>
      </w:r>
    </w:p>
    <w:p w14:paraId="504EA66A" w14:textId="77777777" w:rsidR="00E24AA1" w:rsidRDefault="00E24AA1" w:rsidP="00E24AA1">
      <w:pPr>
        <w:pStyle w:val="Baseparagraphcentred"/>
      </w:pPr>
    </w:p>
    <w:p w14:paraId="745318E1" w14:textId="77777777" w:rsidR="00E24AA1" w:rsidRDefault="00E24AA1" w:rsidP="00E24AA1">
      <w:pPr>
        <w:pStyle w:val="Baseparagraphcentred"/>
      </w:pPr>
      <w:r>
        <w:t>THE PARLIAMENT OF THE COMMONWEALTH OF AUSTRALIA</w:t>
      </w:r>
    </w:p>
    <w:p w14:paraId="32EE70EA" w14:textId="77777777" w:rsidR="00E24AA1" w:rsidRDefault="00E24AA1" w:rsidP="00E24AA1">
      <w:pPr>
        <w:pStyle w:val="Baseparagraphcentred"/>
      </w:pPr>
    </w:p>
    <w:p w14:paraId="006EA08C" w14:textId="77777777" w:rsidR="00E24AA1" w:rsidRDefault="00E24AA1" w:rsidP="00E24AA1">
      <w:pPr>
        <w:pStyle w:val="Baseparagraphcentred"/>
      </w:pPr>
    </w:p>
    <w:p w14:paraId="2F11BEAD" w14:textId="77777777" w:rsidR="00E24AA1" w:rsidRDefault="00E24AA1" w:rsidP="00E24AA1">
      <w:pPr>
        <w:pStyle w:val="Baseparagraphcentred"/>
      </w:pPr>
    </w:p>
    <w:p w14:paraId="56CCC5F1" w14:textId="4EABE3F7" w:rsidR="000A4EB2" w:rsidRDefault="009D2CD6" w:rsidP="000A4EB2">
      <w:pPr>
        <w:pStyle w:val="Baseparagraphcentred"/>
      </w:pPr>
      <w:r>
        <w:rPr>
          <w:color w:val="2B579A"/>
          <w:shd w:val="clear" w:color="auto" w:fill="E6E6E6"/>
        </w:rPr>
        <w:t>HOUSE OF REPRESENTATIVES</w:t>
      </w:r>
    </w:p>
    <w:p w14:paraId="08D2A4C1" w14:textId="77777777" w:rsidR="00E24AA1" w:rsidRDefault="00E24AA1" w:rsidP="00E24AA1">
      <w:pPr>
        <w:pStyle w:val="Baseparagraphcentred"/>
      </w:pPr>
    </w:p>
    <w:p w14:paraId="14073504" w14:textId="77777777" w:rsidR="00E24AA1" w:rsidRDefault="00E24AA1" w:rsidP="00E24AA1">
      <w:pPr>
        <w:pStyle w:val="Baseparagraphcentred"/>
      </w:pPr>
    </w:p>
    <w:p w14:paraId="73899711" w14:textId="77777777" w:rsidR="00E24AA1" w:rsidRDefault="00E24AA1" w:rsidP="00E24AA1">
      <w:pPr>
        <w:pStyle w:val="Baseparagraphcentred"/>
        <w:pBdr>
          <w:bottom w:val="single" w:sz="4" w:space="1" w:color="auto"/>
        </w:pBdr>
      </w:pPr>
    </w:p>
    <w:p w14:paraId="0075655C" w14:textId="1ABFE931" w:rsidR="00E24AA1" w:rsidRPr="00E24AA1" w:rsidRDefault="009968B2" w:rsidP="00E24AA1">
      <w:pPr>
        <w:pStyle w:val="BillName"/>
      </w:pPr>
      <w:bookmarkStart w:id="6" w:name="BillName"/>
      <w:bookmarkEnd w:id="6"/>
      <w:r>
        <w:t xml:space="preserve">Treasury Laws Amendment Bill 2024: Climate-related Financial </w:t>
      </w:r>
      <w:r w:rsidR="00E42C6D">
        <w:t>Disclosure</w:t>
      </w:r>
    </w:p>
    <w:p w14:paraId="32BE2967" w14:textId="77777777" w:rsidR="00E24AA1" w:rsidRDefault="00E24AA1" w:rsidP="00E24AA1">
      <w:pPr>
        <w:pStyle w:val="Baseparagraphcentred"/>
        <w:pBdr>
          <w:top w:val="single" w:sz="4" w:space="1" w:color="auto"/>
        </w:pBdr>
      </w:pPr>
    </w:p>
    <w:p w14:paraId="444729FD" w14:textId="77777777" w:rsidR="00E24AA1" w:rsidRDefault="00E24AA1" w:rsidP="00E24AA1">
      <w:pPr>
        <w:pStyle w:val="Baseparagraphcentred"/>
      </w:pPr>
    </w:p>
    <w:p w14:paraId="79229E85" w14:textId="77777777" w:rsidR="00E24AA1" w:rsidRDefault="00E24AA1" w:rsidP="00E24AA1">
      <w:pPr>
        <w:pStyle w:val="Baseparagraphcentred"/>
      </w:pPr>
    </w:p>
    <w:p w14:paraId="4028411D" w14:textId="77777777" w:rsidR="00E24AA1" w:rsidRDefault="00E24AA1" w:rsidP="00E24AA1">
      <w:pPr>
        <w:pStyle w:val="Baseparagraphcentred"/>
      </w:pPr>
    </w:p>
    <w:p w14:paraId="46111E6F" w14:textId="77777777" w:rsidR="005506D3" w:rsidRDefault="005506D3" w:rsidP="00E24AA1">
      <w:pPr>
        <w:pStyle w:val="Baseparagraphcentred"/>
      </w:pPr>
      <w:r>
        <w:t>EXPOSURE DRAFT EXPLANATORY MATERIALS</w:t>
      </w:r>
    </w:p>
    <w:p w14:paraId="12E2F89F" w14:textId="1E55364E" w:rsidR="00E24AA1" w:rsidRDefault="00E24AA1" w:rsidP="00E24AA1">
      <w:pPr>
        <w:pStyle w:val="Baseparagraphcentred"/>
      </w:pPr>
    </w:p>
    <w:p w14:paraId="2868A5AF" w14:textId="77777777" w:rsidR="00E24AA1" w:rsidRDefault="00E24AA1" w:rsidP="00E24AA1">
      <w:pPr>
        <w:pStyle w:val="Baseparagraphcentred"/>
      </w:pPr>
    </w:p>
    <w:p w14:paraId="51A8EDB6" w14:textId="77777777" w:rsidR="00E24AA1" w:rsidRDefault="00E24AA1" w:rsidP="00E24AA1">
      <w:pPr>
        <w:pStyle w:val="ParaCentredNoSpacing"/>
      </w:pPr>
    </w:p>
    <w:p w14:paraId="58B42F5D" w14:textId="77777777" w:rsidR="00E24AA1" w:rsidRPr="00967273" w:rsidRDefault="00E24AA1" w:rsidP="00E24AA1">
      <w:pPr>
        <w:pStyle w:val="Normalparatextnonumbers"/>
        <w:jc w:val="center"/>
        <w:rPr>
          <w:rFonts w:cs="Calibri"/>
          <w:color w:val="000000" w:themeColor="text1"/>
        </w:rPr>
      </w:pPr>
    </w:p>
    <w:p w14:paraId="0C395ABE" w14:textId="77777777" w:rsidR="005506D3" w:rsidRPr="0090171F" w:rsidRDefault="005506D3" w:rsidP="0090171F">
      <w:pPr>
        <w:pStyle w:val="Normalparatextnonumbers"/>
      </w:pPr>
      <w:bookmarkStart w:id="7" w:name="ConsultPreamble"/>
      <w:bookmarkEnd w:id="7"/>
      <w:r w:rsidRPr="0090171F">
        <w:br w:type="page"/>
      </w:r>
    </w:p>
    <w:p w14:paraId="0F5AD8A8" w14:textId="77777777" w:rsidR="005506D3" w:rsidRPr="0090171F" w:rsidRDefault="005506D3" w:rsidP="005506D3">
      <w:pPr>
        <w:pStyle w:val="Normalparatextnonumbers"/>
        <w:numPr>
          <w:ilvl w:val="4"/>
          <w:numId w:val="2"/>
        </w:numPr>
        <w:rPr>
          <w:b/>
        </w:rPr>
      </w:pPr>
      <w:r w:rsidRPr="0090171F">
        <w:rPr>
          <w:b/>
        </w:rPr>
        <w:lastRenderedPageBreak/>
        <w:t>Consultation preamble</w:t>
      </w:r>
    </w:p>
    <w:p w14:paraId="2B367043" w14:textId="77777777" w:rsidR="005506D3" w:rsidRPr="0090171F" w:rsidRDefault="005506D3" w:rsidP="0090171F">
      <w:pPr>
        <w:pStyle w:val="Normalparatextnonumbers"/>
      </w:pPr>
      <w:r w:rsidRPr="0090171F">
        <w:t>Treasury seeks feedback on the effectiveness of this exposure draft explanatory material in explaining the policy context and operation of the proposed new law, including, but not limited to:</w:t>
      </w:r>
    </w:p>
    <w:p w14:paraId="627D7BE6" w14:textId="77777777" w:rsidR="005506D3" w:rsidRPr="0090171F" w:rsidRDefault="005506D3" w:rsidP="0090171F">
      <w:pPr>
        <w:pStyle w:val="Normalparatextnonumbers"/>
      </w:pPr>
      <w:r w:rsidRPr="0090171F">
        <w:t>•</w:t>
      </w:r>
      <w:r w:rsidRPr="0090171F">
        <w:tab/>
        <w:t xml:space="preserve">how the new law is intended to </w:t>
      </w:r>
      <w:proofErr w:type="gramStart"/>
      <w:r w:rsidRPr="0090171F">
        <w:t>operate;</w:t>
      </w:r>
      <w:proofErr w:type="gramEnd"/>
    </w:p>
    <w:p w14:paraId="0307244A" w14:textId="77777777" w:rsidR="005506D3" w:rsidRPr="0090171F" w:rsidRDefault="005506D3" w:rsidP="00924E28">
      <w:pPr>
        <w:pStyle w:val="Normalparatextnonumbers"/>
        <w:tabs>
          <w:tab w:val="left" w:pos="709"/>
        </w:tabs>
        <w:ind w:left="709" w:hanging="709"/>
      </w:pPr>
      <w:r w:rsidRPr="0090171F">
        <w:t>•</w:t>
      </w:r>
      <w:r w:rsidRPr="0090171F">
        <w:tab/>
        <w:t xml:space="preserve">whether the background and policy context </w:t>
      </w:r>
      <w:proofErr w:type="gramStart"/>
      <w:r w:rsidRPr="0090171F">
        <w:t>is</w:t>
      </w:r>
      <w:proofErr w:type="gramEnd"/>
      <w:r w:rsidRPr="0090171F">
        <w:t xml:space="preserve"> sufficiently comprehensive to support understanding of the policy intent and outcomes of the new law;</w:t>
      </w:r>
    </w:p>
    <w:p w14:paraId="4407D66B" w14:textId="77777777" w:rsidR="005506D3" w:rsidRPr="0090171F" w:rsidRDefault="005506D3" w:rsidP="0090171F">
      <w:pPr>
        <w:pStyle w:val="Normalparatextnonumbers"/>
        <w:ind w:left="709" w:hanging="709"/>
      </w:pPr>
      <w:r w:rsidRPr="0090171F">
        <w:t>•</w:t>
      </w:r>
      <w:r w:rsidRPr="0090171F">
        <w:tab/>
        <w:t>the use of relevant examples, illustrations or diagrams as explanatory aids;</w:t>
      </w:r>
      <w:r w:rsidRPr="0090171F">
        <w:br/>
        <w:t>and</w:t>
      </w:r>
    </w:p>
    <w:p w14:paraId="7BB98ECD" w14:textId="77777777" w:rsidR="005506D3" w:rsidRPr="0090171F" w:rsidRDefault="005506D3" w:rsidP="0090171F">
      <w:pPr>
        <w:pStyle w:val="Normalparatextnonumbers"/>
        <w:ind w:left="709" w:hanging="709"/>
      </w:pPr>
      <w:r w:rsidRPr="0090171F">
        <w:t>•</w:t>
      </w:r>
      <w:r w:rsidRPr="0090171F">
        <w:tab/>
        <w:t>any other matters affecting the readability or presentation of the explanatory material.</w:t>
      </w:r>
    </w:p>
    <w:p w14:paraId="18A84DB4" w14:textId="4CCB348D" w:rsidR="005506D3" w:rsidRDefault="005506D3" w:rsidP="0090171F">
      <w:pPr>
        <w:pStyle w:val="Normalparatextnonumbers"/>
      </w:pPr>
      <w:r w:rsidRPr="0090171F">
        <w:t xml:space="preserve">Feedback on these matters will assist to ensure the Explanatory Memoranda for the Bill aids the Parliament’s consideration of the proposed new law and the needs of other users. </w:t>
      </w:r>
    </w:p>
    <w:p w14:paraId="2AABDE77" w14:textId="7FF71FA3" w:rsidR="005506D3" w:rsidRDefault="005506D3">
      <w:pPr>
        <w:spacing w:before="0" w:after="160" w:line="259" w:lineRule="auto"/>
      </w:pPr>
      <w:r>
        <w:br w:type="page"/>
      </w:r>
    </w:p>
    <w:p w14:paraId="0C9C9468" w14:textId="77777777" w:rsidR="00873094" w:rsidRPr="00020288" w:rsidRDefault="00873094" w:rsidP="00873094">
      <w:pPr>
        <w:pStyle w:val="TOCHeading"/>
      </w:pPr>
      <w:bookmarkStart w:id="8" w:name="_Toc80172450"/>
      <w:bookmarkStart w:id="9" w:name="_Toc80197114"/>
      <w:bookmarkStart w:id="10" w:name="_Toc81852681"/>
      <w:bookmarkEnd w:id="0"/>
      <w:bookmarkEnd w:id="1"/>
      <w:bookmarkEnd w:id="2"/>
      <w:bookmarkEnd w:id="3"/>
      <w:bookmarkEnd w:id="4"/>
      <w:r w:rsidRPr="00020288">
        <w:lastRenderedPageBreak/>
        <w:t>Table of Contents</w:t>
      </w:r>
      <w:bookmarkStart w:id="11" w:name="_Toc78549733"/>
      <w:bookmarkStart w:id="12" w:name="_Toc78549778"/>
      <w:bookmarkStart w:id="13" w:name="_Toc80097483"/>
      <w:bookmarkStart w:id="14" w:name="_Toc80097777"/>
      <w:bookmarkStart w:id="15" w:name="_Toc80115276"/>
      <w:bookmarkStart w:id="16" w:name="_Toc80172451"/>
      <w:bookmarkStart w:id="17" w:name="_Toc80197115"/>
      <w:bookmarkStart w:id="18" w:name="_Toc81852682"/>
      <w:bookmarkStart w:id="19" w:name="_Toc81852727"/>
      <w:bookmarkEnd w:id="8"/>
      <w:bookmarkEnd w:id="9"/>
      <w:bookmarkEnd w:id="10"/>
    </w:p>
    <w:p w14:paraId="72DAE748" w14:textId="2CAF2760" w:rsidR="00475472" w:rsidRDefault="00873094">
      <w:pPr>
        <w:pStyle w:val="TOC1"/>
        <w:rPr>
          <w:rFonts w:asciiTheme="minorHAnsi" w:eastAsiaTheme="minorEastAsia" w:hAnsiTheme="minorHAnsi" w:cstheme="minorBidi"/>
          <w:bCs w:val="0"/>
          <w:noProof/>
          <w:sz w:val="22"/>
          <w:szCs w:val="22"/>
          <w:lang w:eastAsia="en-AU"/>
        </w:rPr>
      </w:pPr>
      <w:r w:rsidRPr="00BC2E4A">
        <w:rPr>
          <w:color w:val="2B579A"/>
          <w:shd w:val="clear" w:color="auto" w:fill="E6E6E6"/>
        </w:rPr>
        <w:fldChar w:fldCharType="begin"/>
      </w:r>
      <w:r w:rsidRPr="00BC2E4A">
        <w:instrText xml:space="preserve"> TOC \o "1-1" \u </w:instrText>
      </w:r>
      <w:r w:rsidRPr="00BC2E4A">
        <w:rPr>
          <w:color w:val="2B579A"/>
          <w:shd w:val="clear" w:color="auto" w:fill="E6E6E6"/>
        </w:rPr>
        <w:fldChar w:fldCharType="separate"/>
      </w:r>
      <w:r w:rsidR="00475472">
        <w:rPr>
          <w:noProof/>
        </w:rPr>
        <w:t>Glossary</w:t>
      </w:r>
      <w:r w:rsidR="00475472">
        <w:rPr>
          <w:noProof/>
        </w:rPr>
        <w:tab/>
      </w:r>
      <w:r w:rsidR="00475472">
        <w:rPr>
          <w:noProof/>
        </w:rPr>
        <w:tab/>
      </w:r>
      <w:r w:rsidR="00475472">
        <w:rPr>
          <w:noProof/>
        </w:rPr>
        <w:fldChar w:fldCharType="begin"/>
      </w:r>
      <w:r w:rsidR="00475472">
        <w:rPr>
          <w:noProof/>
        </w:rPr>
        <w:instrText xml:space="preserve"> PAGEREF _Toc154136138 \h </w:instrText>
      </w:r>
      <w:r w:rsidR="00475472">
        <w:rPr>
          <w:noProof/>
        </w:rPr>
      </w:r>
      <w:r w:rsidR="00475472">
        <w:rPr>
          <w:noProof/>
        </w:rPr>
        <w:fldChar w:fldCharType="separate"/>
      </w:r>
      <w:r w:rsidR="007105AC">
        <w:rPr>
          <w:noProof/>
        </w:rPr>
        <w:t>v</w:t>
      </w:r>
      <w:r w:rsidR="00475472">
        <w:rPr>
          <w:noProof/>
        </w:rPr>
        <w:fldChar w:fldCharType="end"/>
      </w:r>
    </w:p>
    <w:p w14:paraId="52E7A600" w14:textId="782CA3DD" w:rsidR="00475472" w:rsidRDefault="00475472">
      <w:pPr>
        <w:pStyle w:val="TOC1"/>
        <w:rPr>
          <w:rFonts w:asciiTheme="minorHAnsi" w:eastAsiaTheme="minorEastAsia" w:hAnsiTheme="minorHAnsi" w:cstheme="minorBidi"/>
          <w:bCs w:val="0"/>
          <w:noProof/>
          <w:sz w:val="22"/>
          <w:szCs w:val="22"/>
          <w:lang w:eastAsia="en-AU"/>
        </w:rPr>
      </w:pPr>
      <w:r w:rsidRPr="008509AC">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sz w:val="22"/>
          <w:szCs w:val="22"/>
          <w:lang w:eastAsia="en-AU"/>
        </w:rPr>
        <w:tab/>
      </w:r>
      <w:r>
        <w:rPr>
          <w:noProof/>
        </w:rPr>
        <w:t>Climate-related financial disclosure</w:t>
      </w:r>
      <w:r>
        <w:rPr>
          <w:noProof/>
        </w:rPr>
        <w:tab/>
      </w:r>
      <w:r>
        <w:rPr>
          <w:noProof/>
        </w:rPr>
        <w:fldChar w:fldCharType="begin"/>
      </w:r>
      <w:r>
        <w:rPr>
          <w:noProof/>
        </w:rPr>
        <w:instrText xml:space="preserve"> PAGEREF _Toc154136139 \h </w:instrText>
      </w:r>
      <w:r>
        <w:rPr>
          <w:noProof/>
        </w:rPr>
      </w:r>
      <w:r>
        <w:rPr>
          <w:noProof/>
        </w:rPr>
        <w:fldChar w:fldCharType="separate"/>
      </w:r>
      <w:r w:rsidR="007105AC">
        <w:rPr>
          <w:noProof/>
        </w:rPr>
        <w:t>7</w:t>
      </w:r>
      <w:r>
        <w:rPr>
          <w:noProof/>
        </w:rPr>
        <w:fldChar w:fldCharType="end"/>
      </w:r>
    </w:p>
    <w:p w14:paraId="5C8D00ED" w14:textId="1BD82226" w:rsidR="00873094" w:rsidRPr="00020288" w:rsidRDefault="00873094" w:rsidP="00BC2E4A">
      <w:pPr>
        <w:pStyle w:val="TOC1"/>
      </w:pPr>
      <w:r w:rsidRPr="00BC2E4A">
        <w:rPr>
          <w:color w:val="2B579A"/>
          <w:shd w:val="clear" w:color="auto" w:fill="E6E6E6"/>
        </w:rPr>
        <w:fldChar w:fldCharType="end"/>
      </w:r>
    </w:p>
    <w:p w14:paraId="2BFCC41F" w14:textId="77777777" w:rsidR="00873094" w:rsidRPr="00020288" w:rsidRDefault="00873094" w:rsidP="00873094"/>
    <w:p w14:paraId="1AFCA28B" w14:textId="77777777" w:rsidR="00873094" w:rsidRPr="00020288" w:rsidRDefault="00873094" w:rsidP="00873094">
      <w:pPr>
        <w:sectPr w:rsidR="00873094" w:rsidRPr="00020288" w:rsidSect="00000BFC">
          <w:headerReference w:type="default" r:id="rId8"/>
          <w:footerReference w:type="even" r:id="rId9"/>
          <w:footerReference w:type="default" r:id="rId10"/>
          <w:type w:val="oddPage"/>
          <w:pgSz w:w="9979" w:h="14175" w:code="9"/>
          <w:pgMar w:top="567" w:right="1134" w:bottom="567" w:left="1134" w:header="709" w:footer="709" w:gutter="0"/>
          <w:pgNumType w:start="1"/>
          <w:cols w:space="708"/>
          <w:titlePg/>
          <w:docGrid w:linePitch="360"/>
        </w:sectPr>
      </w:pPr>
    </w:p>
    <w:p w14:paraId="68F47AB2" w14:textId="77777777" w:rsidR="00873094" w:rsidRPr="00020288" w:rsidRDefault="00873094" w:rsidP="00873094">
      <w:pPr>
        <w:pStyle w:val="Heading1"/>
        <w:rPr>
          <w:rFonts w:hint="eastAsia"/>
        </w:rPr>
      </w:pPr>
      <w:bookmarkStart w:id="20" w:name="_Toc82021619"/>
      <w:bookmarkStart w:id="21" w:name="_Toc82067318"/>
      <w:bookmarkStart w:id="22" w:name="_Toc82072959"/>
      <w:bookmarkStart w:id="23" w:name="_Toc82073275"/>
      <w:bookmarkStart w:id="24" w:name="_Toc82073912"/>
      <w:bookmarkStart w:id="25" w:name="_Toc82074016"/>
      <w:bookmarkStart w:id="26" w:name="_Toc154136138"/>
      <w:r w:rsidRPr="00020288">
        <w:lastRenderedPageBreak/>
        <w:t>Glossary</w:t>
      </w:r>
      <w:bookmarkStart w:id="27" w:name="_Toc485286223"/>
      <w:bookmarkStart w:id="28" w:name="_Toc78193244"/>
      <w:bookmarkStart w:id="29" w:name="_Toc7819340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A12BAA">
        <w:tab/>
      </w:r>
      <w:r w:rsidR="001F670B">
        <w:t xml:space="preserve"> </w:t>
      </w:r>
    </w:p>
    <w:p w14:paraId="0613F475"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423919C0" w14:textId="77777777" w:rsidTr="002425D9">
        <w:tc>
          <w:tcPr>
            <w:tcW w:w="3776" w:type="dxa"/>
            <w:shd w:val="clear" w:color="auto" w:fill="auto"/>
          </w:tcPr>
          <w:p w14:paraId="4695CE4C" w14:textId="77777777" w:rsidR="00873094" w:rsidRPr="002E7A73" w:rsidRDefault="00873094" w:rsidP="00B7393A">
            <w:pPr>
              <w:pStyle w:val="Tableheaderrowtext"/>
            </w:pPr>
            <w:bookmarkStart w:id="30" w:name="GlossaryTableStart"/>
            <w:bookmarkEnd w:id="30"/>
            <w:r w:rsidRPr="002E7A73">
              <w:t>Abbreviation</w:t>
            </w:r>
          </w:p>
        </w:tc>
        <w:tc>
          <w:tcPr>
            <w:tcW w:w="3874" w:type="dxa"/>
            <w:shd w:val="clear" w:color="auto" w:fill="auto"/>
          </w:tcPr>
          <w:p w14:paraId="7C18105F" w14:textId="77777777" w:rsidR="00873094" w:rsidRPr="002E7A73" w:rsidRDefault="00873094" w:rsidP="00B7393A">
            <w:pPr>
              <w:pStyle w:val="Tableheaderrowtext"/>
            </w:pPr>
            <w:r w:rsidRPr="002E7A73">
              <w:t>Definition</w:t>
            </w:r>
          </w:p>
        </w:tc>
      </w:tr>
      <w:tr w:rsidR="00873094" w:rsidRPr="00020288" w14:paraId="6E336058" w14:textId="77777777" w:rsidTr="002425D9">
        <w:tc>
          <w:tcPr>
            <w:tcW w:w="3776" w:type="dxa"/>
          </w:tcPr>
          <w:p w14:paraId="239DC3BA" w14:textId="3197D266" w:rsidR="00873094" w:rsidRPr="00020288" w:rsidRDefault="00775A85" w:rsidP="002425D9">
            <w:pPr>
              <w:pStyle w:val="Normalparatextnonumbers"/>
            </w:pPr>
            <w:r>
              <w:t>A</w:t>
            </w:r>
            <w:r w:rsidR="002A1AA1">
              <w:t>ASB</w:t>
            </w:r>
          </w:p>
        </w:tc>
        <w:tc>
          <w:tcPr>
            <w:tcW w:w="3874" w:type="dxa"/>
          </w:tcPr>
          <w:p w14:paraId="766A7C67" w14:textId="00CA0237" w:rsidR="00873094" w:rsidRPr="00020288" w:rsidRDefault="00E365F7" w:rsidP="002425D9">
            <w:pPr>
              <w:pStyle w:val="Normalparatextnonumbers"/>
            </w:pPr>
            <w:r>
              <w:t>Australian Accounting Standards Board</w:t>
            </w:r>
          </w:p>
        </w:tc>
      </w:tr>
      <w:tr w:rsidR="00643947" w:rsidRPr="00020288" w14:paraId="49693FB9" w14:textId="77777777" w:rsidTr="002425D9">
        <w:tc>
          <w:tcPr>
            <w:tcW w:w="3776" w:type="dxa"/>
          </w:tcPr>
          <w:p w14:paraId="4C1628DF" w14:textId="1132AEC8" w:rsidR="00643947" w:rsidRDefault="00643947" w:rsidP="002425D9">
            <w:pPr>
              <w:pStyle w:val="Normalparatextnonumbers"/>
            </w:pPr>
            <w:r>
              <w:t>AGM</w:t>
            </w:r>
          </w:p>
        </w:tc>
        <w:tc>
          <w:tcPr>
            <w:tcW w:w="3874" w:type="dxa"/>
          </w:tcPr>
          <w:p w14:paraId="092AC8E2" w14:textId="10E579E5" w:rsidR="00643947" w:rsidRDefault="00643947" w:rsidP="002425D9">
            <w:pPr>
              <w:pStyle w:val="Normalparatextnonumbers"/>
            </w:pPr>
            <w:r>
              <w:t>Annual general meeting</w:t>
            </w:r>
          </w:p>
        </w:tc>
      </w:tr>
      <w:tr w:rsidR="00CF3082" w:rsidRPr="00020288" w14:paraId="4B971DA9" w14:textId="77777777" w:rsidTr="002425D9">
        <w:tc>
          <w:tcPr>
            <w:tcW w:w="3776" w:type="dxa"/>
          </w:tcPr>
          <w:p w14:paraId="44040395" w14:textId="70982F67" w:rsidR="00CF3082" w:rsidRPr="00020288" w:rsidRDefault="00CF3082" w:rsidP="00CF3082">
            <w:pPr>
              <w:pStyle w:val="Normalparatextnonumbers"/>
            </w:pPr>
            <w:r w:rsidRPr="00177FA5">
              <w:t>AUASB</w:t>
            </w:r>
          </w:p>
        </w:tc>
        <w:tc>
          <w:tcPr>
            <w:tcW w:w="3874" w:type="dxa"/>
          </w:tcPr>
          <w:p w14:paraId="690A4F75" w14:textId="195F79C8" w:rsidR="00CF3082" w:rsidRPr="00020288" w:rsidRDefault="00CF3082" w:rsidP="00CF3082">
            <w:pPr>
              <w:pStyle w:val="Normalparatextnonumbers"/>
            </w:pPr>
            <w:r w:rsidRPr="00177FA5">
              <w:t>The Auditing and Assurance Standards Board</w:t>
            </w:r>
          </w:p>
        </w:tc>
      </w:tr>
      <w:tr w:rsidR="00B1059C" w:rsidRPr="00020288" w14:paraId="10E68FDC" w14:textId="77777777" w:rsidTr="002425D9">
        <w:tc>
          <w:tcPr>
            <w:tcW w:w="3776" w:type="dxa"/>
          </w:tcPr>
          <w:p w14:paraId="1BA44592" w14:textId="29241D1D" w:rsidR="00B1059C" w:rsidRPr="00177FA5" w:rsidRDefault="00B1059C" w:rsidP="00CF3082">
            <w:pPr>
              <w:pStyle w:val="Normalparatextnonumbers"/>
            </w:pPr>
            <w:r>
              <w:t>Bill</w:t>
            </w:r>
          </w:p>
        </w:tc>
        <w:tc>
          <w:tcPr>
            <w:tcW w:w="3874" w:type="dxa"/>
          </w:tcPr>
          <w:p w14:paraId="080DB507" w14:textId="0A43087C" w:rsidR="00B1059C" w:rsidRPr="00177FA5" w:rsidRDefault="00B1059C" w:rsidP="00CF3082">
            <w:pPr>
              <w:pStyle w:val="Normalparatextnonumbers"/>
            </w:pPr>
            <w:r>
              <w:t>TBC</w:t>
            </w:r>
          </w:p>
        </w:tc>
      </w:tr>
      <w:tr w:rsidR="00162C59" w:rsidRPr="00020288" w14:paraId="795C694A" w14:textId="77777777" w:rsidTr="002425D9">
        <w:tc>
          <w:tcPr>
            <w:tcW w:w="3776" w:type="dxa"/>
          </w:tcPr>
          <w:p w14:paraId="3200F53D" w14:textId="7B641C9E" w:rsidR="00162C59" w:rsidRPr="00177FA5" w:rsidRDefault="00162C59" w:rsidP="00162C59">
            <w:pPr>
              <w:pStyle w:val="Normalparatextnonumbers"/>
            </w:pPr>
            <w:r w:rsidRPr="00177FA5">
              <w:t>Corporations Act</w:t>
            </w:r>
          </w:p>
        </w:tc>
        <w:tc>
          <w:tcPr>
            <w:tcW w:w="3874" w:type="dxa"/>
          </w:tcPr>
          <w:p w14:paraId="69CD0597" w14:textId="4AAADE19" w:rsidR="00162C59" w:rsidRPr="00177FA5" w:rsidRDefault="00162C59" w:rsidP="00162C59">
            <w:pPr>
              <w:pStyle w:val="Normalparatextnonumbers"/>
            </w:pPr>
            <w:r w:rsidRPr="00177FA5">
              <w:rPr>
                <w:i/>
                <w:iCs/>
              </w:rPr>
              <w:t>Corporations Act 2001</w:t>
            </w:r>
          </w:p>
        </w:tc>
      </w:tr>
      <w:tr w:rsidR="00162C59" w:rsidRPr="00020288" w14:paraId="7E6C2CD3" w14:textId="77777777" w:rsidTr="002425D9">
        <w:tc>
          <w:tcPr>
            <w:tcW w:w="3776" w:type="dxa"/>
          </w:tcPr>
          <w:p w14:paraId="7F59B448" w14:textId="7C90757B" w:rsidR="00162C59" w:rsidRPr="00020288" w:rsidRDefault="00162C59" w:rsidP="00162C59">
            <w:pPr>
              <w:pStyle w:val="Normalparatextnonumbers"/>
            </w:pPr>
            <w:r w:rsidRPr="00177FA5">
              <w:t>IAASB</w:t>
            </w:r>
          </w:p>
        </w:tc>
        <w:tc>
          <w:tcPr>
            <w:tcW w:w="3874" w:type="dxa"/>
          </w:tcPr>
          <w:p w14:paraId="2F6630D5" w14:textId="4CF7F2F5" w:rsidR="00162C59" w:rsidRPr="00020288" w:rsidRDefault="00162C59" w:rsidP="00162C59">
            <w:pPr>
              <w:pStyle w:val="Normalparatextnonumbers"/>
            </w:pPr>
            <w:r w:rsidRPr="00177FA5">
              <w:t>International Auditing and Assurance Standards Board</w:t>
            </w:r>
          </w:p>
        </w:tc>
      </w:tr>
      <w:tr w:rsidR="00162C59" w:rsidRPr="00020288" w14:paraId="63A8AEB9" w14:textId="77777777" w:rsidTr="002425D9">
        <w:tc>
          <w:tcPr>
            <w:tcW w:w="3776" w:type="dxa"/>
          </w:tcPr>
          <w:p w14:paraId="17008581" w14:textId="50AE6E18" w:rsidR="00162C59" w:rsidRPr="00020288" w:rsidRDefault="00162C59" w:rsidP="00162C59">
            <w:pPr>
              <w:pStyle w:val="Normalparatextnonumbers"/>
            </w:pPr>
            <w:r w:rsidRPr="00177FA5">
              <w:t>ISSB</w:t>
            </w:r>
          </w:p>
        </w:tc>
        <w:tc>
          <w:tcPr>
            <w:tcW w:w="3874" w:type="dxa"/>
          </w:tcPr>
          <w:p w14:paraId="0A0E5A3E" w14:textId="4EC26F60" w:rsidR="00162C59" w:rsidRPr="00020288" w:rsidRDefault="00162C59" w:rsidP="00162C59">
            <w:pPr>
              <w:pStyle w:val="Normalparatextnonumbers"/>
            </w:pPr>
            <w:r w:rsidRPr="00177FA5">
              <w:t>The International Sustainability Standards Board</w:t>
            </w:r>
          </w:p>
        </w:tc>
      </w:tr>
      <w:tr w:rsidR="00162C59" w:rsidRPr="00020288" w14:paraId="69E75827" w14:textId="77777777" w:rsidTr="002425D9">
        <w:tc>
          <w:tcPr>
            <w:tcW w:w="3776" w:type="dxa"/>
          </w:tcPr>
          <w:p w14:paraId="5943E3DF" w14:textId="10022C13" w:rsidR="00162C59" w:rsidRPr="00020288" w:rsidRDefault="009C1DA8" w:rsidP="00162C59">
            <w:pPr>
              <w:pStyle w:val="Normalparatextnonumbers"/>
            </w:pPr>
            <w:r>
              <w:t>NGER</w:t>
            </w:r>
          </w:p>
        </w:tc>
        <w:tc>
          <w:tcPr>
            <w:tcW w:w="3874" w:type="dxa"/>
          </w:tcPr>
          <w:p w14:paraId="1C89B4BC" w14:textId="5BDE1C76" w:rsidR="00162C59" w:rsidRPr="00020288" w:rsidRDefault="009C1DA8" w:rsidP="00162C59">
            <w:pPr>
              <w:pStyle w:val="Normalparatextnonumbers"/>
            </w:pPr>
            <w:r>
              <w:t>National Greenhouse and Energy</w:t>
            </w:r>
            <w:r w:rsidR="00EE4F9D">
              <w:t xml:space="preserve"> Reporting</w:t>
            </w:r>
          </w:p>
        </w:tc>
      </w:tr>
      <w:tr w:rsidR="00162C59" w:rsidRPr="00020288" w14:paraId="39EB75B2" w14:textId="77777777" w:rsidTr="002425D9">
        <w:tc>
          <w:tcPr>
            <w:tcW w:w="3776" w:type="dxa"/>
          </w:tcPr>
          <w:p w14:paraId="6B2DB16C" w14:textId="5BE75145" w:rsidR="00162C59" w:rsidRPr="00020288" w:rsidRDefault="0056131D" w:rsidP="00162C59">
            <w:pPr>
              <w:pStyle w:val="Normalparatextnonumbers"/>
            </w:pPr>
            <w:r>
              <w:t>NGER Act</w:t>
            </w:r>
          </w:p>
        </w:tc>
        <w:tc>
          <w:tcPr>
            <w:tcW w:w="3874" w:type="dxa"/>
          </w:tcPr>
          <w:p w14:paraId="52FC7398" w14:textId="7C713690" w:rsidR="00162C59" w:rsidRPr="00D348E0" w:rsidRDefault="0056131D" w:rsidP="00162C59">
            <w:pPr>
              <w:pStyle w:val="Normalparatextnonumbers"/>
              <w:rPr>
                <w:i/>
              </w:rPr>
            </w:pPr>
            <w:r w:rsidRPr="00D348E0">
              <w:rPr>
                <w:i/>
              </w:rPr>
              <w:t>National Greenhouse and Energy Reporting Act 2007</w:t>
            </w:r>
          </w:p>
        </w:tc>
      </w:tr>
    </w:tbl>
    <w:p w14:paraId="190F0196" w14:textId="77777777" w:rsidR="00873094" w:rsidRPr="00020288" w:rsidRDefault="00873094" w:rsidP="00873094"/>
    <w:p w14:paraId="6889FD6A" w14:textId="77777777" w:rsidR="00873094" w:rsidRPr="00020288" w:rsidRDefault="00873094" w:rsidP="00873094"/>
    <w:p w14:paraId="10CBB41C" w14:textId="77777777" w:rsidR="00873094" w:rsidRPr="00020288" w:rsidRDefault="00873094" w:rsidP="00873094">
      <w:pPr>
        <w:pStyle w:val="Heading1"/>
        <w:rPr>
          <w:rFonts w:hint="eastAsia"/>
        </w:rPr>
        <w:sectPr w:rsidR="00873094" w:rsidRPr="00020288" w:rsidSect="00000BFC">
          <w:headerReference w:type="even" r:id="rId11"/>
          <w:headerReference w:type="default" r:id="rId12"/>
          <w:headerReference w:type="first" r:id="rId13"/>
          <w:footerReference w:type="first" r:id="rId14"/>
          <w:type w:val="oddPage"/>
          <w:pgSz w:w="9979" w:h="14175" w:code="9"/>
          <w:pgMar w:top="567" w:right="1134" w:bottom="567" w:left="1134" w:header="709" w:footer="709" w:gutter="0"/>
          <w:pgNumType w:fmt="lowerRoman"/>
          <w:cols w:space="708"/>
          <w:docGrid w:linePitch="360"/>
        </w:sectPr>
      </w:pPr>
      <w:bookmarkStart w:id="31" w:name="_Toc78548464"/>
      <w:bookmarkStart w:id="32" w:name="_Toc78549735"/>
      <w:bookmarkStart w:id="33" w:name="_Toc78549780"/>
      <w:bookmarkStart w:id="34" w:name="_Toc80097484"/>
      <w:bookmarkStart w:id="35" w:name="_Toc80097778"/>
      <w:bookmarkStart w:id="36" w:name="_Toc80115277"/>
      <w:bookmarkStart w:id="37" w:name="_Toc80172452"/>
      <w:bookmarkStart w:id="38" w:name="_Toc80197116"/>
      <w:bookmarkStart w:id="39" w:name="_Toc81852683"/>
      <w:bookmarkStart w:id="40" w:name="_Toc81852728"/>
    </w:p>
    <w:p w14:paraId="27CB25C0" w14:textId="77777777" w:rsidR="00FC36B3" w:rsidRPr="0073326A" w:rsidRDefault="00FC36B3" w:rsidP="00FC36B3">
      <w:pPr>
        <w:pStyle w:val="Chapterheading"/>
        <w:rPr>
          <w:rFonts w:hint="eastAsia"/>
        </w:rPr>
      </w:pPr>
      <w:bookmarkStart w:id="41" w:name="GeneralOutline"/>
      <w:bookmarkStart w:id="42" w:name="_Toc154060475"/>
      <w:bookmarkStart w:id="43" w:name="_Toc154136139"/>
      <w:bookmarkStart w:id="44" w:name="_Toc78193246"/>
      <w:bookmarkStart w:id="45" w:name="_Toc78193403"/>
      <w:bookmarkStart w:id="46" w:name="_Toc78548476"/>
      <w:bookmarkStart w:id="47" w:name="_Toc78549747"/>
      <w:bookmarkStart w:id="48" w:name="_Toc78549791"/>
      <w:bookmarkEnd w:id="27"/>
      <w:bookmarkEnd w:id="28"/>
      <w:bookmarkEnd w:id="29"/>
      <w:bookmarkEnd w:id="31"/>
      <w:bookmarkEnd w:id="32"/>
      <w:bookmarkEnd w:id="33"/>
      <w:bookmarkEnd w:id="34"/>
      <w:bookmarkEnd w:id="35"/>
      <w:bookmarkEnd w:id="36"/>
      <w:bookmarkEnd w:id="37"/>
      <w:bookmarkEnd w:id="38"/>
      <w:bookmarkEnd w:id="39"/>
      <w:bookmarkEnd w:id="40"/>
      <w:bookmarkEnd w:id="41"/>
      <w:r>
        <w:lastRenderedPageBreak/>
        <w:t>Climate-related financial disclosure</w:t>
      </w:r>
      <w:bookmarkEnd w:id="42"/>
      <w:bookmarkEnd w:id="43"/>
    </w:p>
    <w:p w14:paraId="3773F205" w14:textId="77777777" w:rsidR="00FC36B3" w:rsidRPr="00020288" w:rsidRDefault="00FC36B3" w:rsidP="00FC36B3">
      <w:pPr>
        <w:pStyle w:val="Heading2"/>
        <w:rPr>
          <w:rFonts w:hint="eastAsia"/>
        </w:rPr>
      </w:pPr>
      <w:r w:rsidRPr="00020288">
        <w:t xml:space="preserve">Outline </w:t>
      </w:r>
      <w:r w:rsidRPr="005D0844">
        <w:t>of</w:t>
      </w:r>
      <w:r w:rsidRPr="00020288">
        <w:t xml:space="preserve"> chapter</w:t>
      </w:r>
    </w:p>
    <w:p w14:paraId="7618774A" w14:textId="77777777" w:rsidR="00FC36B3" w:rsidRDefault="00FC36B3" w:rsidP="00FC36B3">
      <w:pPr>
        <w:pStyle w:val="Normalparatextwithnumbers"/>
      </w:pPr>
      <w:r>
        <w:t xml:space="preserve">Schedule # to the Bill requires entities that lodge financial reports under Chapter 2M of the Corporations Act, meet certain minimum size thresholds, and/or have emissions reporting obligations under the NGER scheme, to make disclosures relating to climate in accordance with sustainability standards made by the AASB. The amendments phase in the new obligations over a period of four years.  </w:t>
      </w:r>
    </w:p>
    <w:p w14:paraId="23A54B0B" w14:textId="77777777" w:rsidR="00FC36B3" w:rsidRDefault="00FC36B3" w:rsidP="00FC36B3">
      <w:pPr>
        <w:pStyle w:val="Normalparatextwithnumbers"/>
      </w:pPr>
      <w:r w:rsidRPr="00680A63">
        <w:t>Climate disclosures will be subject to similar assurance requirements to those currently in the Corporations Act</w:t>
      </w:r>
      <w:r>
        <w:t xml:space="preserve"> for financial reports and will require entities to obtain an assurance report from their financial auditor. The extent and level of assurance </w:t>
      </w:r>
      <w:r w:rsidRPr="00680A63">
        <w:t>require</w:t>
      </w:r>
      <w:r>
        <w:t>d</w:t>
      </w:r>
      <w:r w:rsidRPr="00680A63">
        <w:t xml:space="preserve"> will be</w:t>
      </w:r>
      <w:r>
        <w:t xml:space="preserve"> set out in Australian assurance standards for climate disclosures, developed by the AUASB. </w:t>
      </w:r>
    </w:p>
    <w:p w14:paraId="173CB3E6" w14:textId="77777777" w:rsidR="00FC36B3" w:rsidRDefault="00FC36B3" w:rsidP="00FC36B3">
      <w:pPr>
        <w:pStyle w:val="Normalparatextwithnumbers"/>
      </w:pPr>
      <w:r>
        <w:t>These amendments ensure that relevant entities disclose their climate</w:t>
      </w:r>
      <w:r>
        <w:noBreakHyphen/>
        <w:t xml:space="preserve"> related plans, financial </w:t>
      </w:r>
      <w:proofErr w:type="gramStart"/>
      <w:r>
        <w:t>risks</w:t>
      </w:r>
      <w:proofErr w:type="gramEnd"/>
      <w:r>
        <w:t xml:space="preserve"> and opportunities, in accordance with sustainability standards made by the AASB. The new requirements build on the existing financial reporting framework through inclusion of a new ‘sustainability report’ that is required to be prepared for certain entities.</w:t>
      </w:r>
    </w:p>
    <w:p w14:paraId="0ECE3C4D" w14:textId="77777777" w:rsidR="00FC36B3" w:rsidRPr="0040134D" w:rsidRDefault="00FC36B3" w:rsidP="00FC36B3">
      <w:pPr>
        <w:pStyle w:val="Normalparatextwithnumbers"/>
      </w:pPr>
      <w:r>
        <w:t xml:space="preserve">Businesses, investors, </w:t>
      </w:r>
      <w:proofErr w:type="gramStart"/>
      <w:r>
        <w:t>regulators</w:t>
      </w:r>
      <w:proofErr w:type="gramEnd"/>
      <w:r>
        <w:t xml:space="preserve"> and the public will have a clear and common understanding of obligations for entities to disclose climate-related </w:t>
      </w:r>
      <w:r w:rsidRPr="0040134D">
        <w:t>financial risks and opportunities, in line with international standards.</w:t>
      </w:r>
    </w:p>
    <w:p w14:paraId="18EBFCDD" w14:textId="77777777" w:rsidR="00FC36B3" w:rsidRDefault="00FC36B3" w:rsidP="00FC36B3">
      <w:pPr>
        <w:pStyle w:val="Normalparatextwithnumbers"/>
      </w:pPr>
      <w:r>
        <w:t>All legislative references in this Chapter are to the Corporations Act unless otherwise specified.</w:t>
      </w:r>
    </w:p>
    <w:p w14:paraId="3050682D" w14:textId="77777777" w:rsidR="00FC36B3" w:rsidRPr="00020288" w:rsidRDefault="00FC36B3" w:rsidP="00FC36B3">
      <w:pPr>
        <w:pStyle w:val="Heading2"/>
        <w:rPr>
          <w:rFonts w:hint="eastAsia"/>
        </w:rPr>
      </w:pPr>
      <w:r w:rsidRPr="004510DE">
        <w:t>Context of amendments</w:t>
      </w:r>
    </w:p>
    <w:p w14:paraId="17B9618A" w14:textId="035E2720" w:rsidR="00FC36B3" w:rsidRDefault="00FC36B3" w:rsidP="00FC36B3">
      <w:pPr>
        <w:pStyle w:val="Normalparatextwithnumbers"/>
      </w:pPr>
      <w:r>
        <w:t xml:space="preserve">Climate change is recognised internationally as presenting material risks to the global financial system – risks which need to be managed by capital markets, </w:t>
      </w:r>
      <w:proofErr w:type="gramStart"/>
      <w:r>
        <w:t>regulators</w:t>
      </w:r>
      <w:proofErr w:type="gramEnd"/>
      <w:r>
        <w:t xml:space="preserve"> and corporations. These include physical risks of climate change and the transition risks associated with </w:t>
      </w:r>
      <w:r w:rsidR="00AC39DB">
        <w:t>the market</w:t>
      </w:r>
      <w:r>
        <w:t>, regulatory and technological change</w:t>
      </w:r>
      <w:r w:rsidR="00583573">
        <w:t>s</w:t>
      </w:r>
      <w:r>
        <w:t xml:space="preserve"> brought on by efforts to mitigate climate change.</w:t>
      </w:r>
    </w:p>
    <w:p w14:paraId="3DDFA0C8" w14:textId="77777777" w:rsidR="00FC36B3" w:rsidRDefault="00FC36B3" w:rsidP="00FC36B3">
      <w:pPr>
        <w:pStyle w:val="Normalparatextwithnumbers"/>
      </w:pPr>
      <w:r w:rsidRPr="00407051">
        <w:t>Improving climate</w:t>
      </w:r>
      <w:r>
        <w:t xml:space="preserve">-related financial </w:t>
      </w:r>
      <w:r w:rsidRPr="00407051">
        <w:t xml:space="preserve">disclosures will support regulators to assess and manage systemic risks to the financial system </w:t>
      </w:r>
      <w:proofErr w:type="gramStart"/>
      <w:r w:rsidRPr="00407051">
        <w:t>as a result of</w:t>
      </w:r>
      <w:proofErr w:type="gramEnd"/>
      <w:r w:rsidRPr="00407051">
        <w:t xml:space="preserve"> climate change and efforts taken to mitigate its effects.</w:t>
      </w:r>
      <w:r>
        <w:t xml:space="preserve"> </w:t>
      </w:r>
      <w:r w:rsidRPr="00DC04B3">
        <w:t>In-scope entities will be required to disclose information about their climate-related</w:t>
      </w:r>
      <w:r>
        <w:t xml:space="preserve"> financial</w:t>
      </w:r>
      <w:r w:rsidRPr="00DC04B3">
        <w:t xml:space="preserve"> risks and </w:t>
      </w:r>
      <w:r w:rsidRPr="00DC04B3">
        <w:lastRenderedPageBreak/>
        <w:t xml:space="preserve">opportunities in line with </w:t>
      </w:r>
      <w:r>
        <w:t>AASB sustainability standards</w:t>
      </w:r>
      <w:r w:rsidRPr="00DC04B3">
        <w:t xml:space="preserve"> in the annual </w:t>
      </w:r>
      <w:r>
        <w:t xml:space="preserve">financial </w:t>
      </w:r>
      <w:r w:rsidRPr="00DC04B3">
        <w:t>report</w:t>
      </w:r>
      <w:r>
        <w:t>.</w:t>
      </w:r>
    </w:p>
    <w:p w14:paraId="4727F498" w14:textId="77777777" w:rsidR="00FC36B3" w:rsidRDefault="00FC36B3" w:rsidP="00FC36B3">
      <w:pPr>
        <w:pStyle w:val="Normalparatextwithnumbers"/>
      </w:pPr>
      <w:r>
        <w:t>The ISSB has developed a global baseline for sustainability and climate-related financial disclosure reporting standards, which aims to improve consistency and comparability across entities reporting. Climate-related disclosure standards are outlined in IFRS S2 Climate-related Disclosures, which was issued for consultation in 2022. The ISSB released its final standards (S1 and S2) in June 2023, with further ISSB guidance released throughout the second half of 2023.</w:t>
      </w:r>
    </w:p>
    <w:p w14:paraId="62DF4030" w14:textId="77777777" w:rsidR="00FC36B3" w:rsidRDefault="00FC36B3" w:rsidP="00FC36B3">
      <w:pPr>
        <w:pStyle w:val="Normalparatextwithnumbers"/>
      </w:pPr>
      <w:r>
        <w:t xml:space="preserve">The proposed AASB sustainability standards are intended to align with the ISSB standards as much as possible, </w:t>
      </w:r>
      <w:r w:rsidRPr="00C64F9B">
        <w:rPr>
          <w:rStyle w:val="normaltextrun"/>
          <w:shd w:val="clear" w:color="auto" w:fill="FFFFFF"/>
        </w:rPr>
        <w:t>with modifications where necessary to apply these standards in the Australian context. For example, incorporating Australia’s national greenhouse gas emissions estimation methodologies and international climate change commitments</w:t>
      </w:r>
      <w:r w:rsidRPr="00C64F9B" w:rsidDel="008E135F">
        <w:rPr>
          <w:rStyle w:val="normaltextrun"/>
          <w:shd w:val="clear" w:color="auto" w:fill="FFFFFF"/>
        </w:rPr>
        <w:t>.</w:t>
      </w:r>
    </w:p>
    <w:p w14:paraId="29AE4A87" w14:textId="77777777" w:rsidR="00FC36B3" w:rsidRPr="004510DE" w:rsidRDefault="00FC36B3" w:rsidP="00FC36B3">
      <w:pPr>
        <w:pStyle w:val="Heading2"/>
        <w:rPr>
          <w:rFonts w:hint="eastAsia"/>
        </w:rPr>
      </w:pPr>
      <w:r w:rsidRPr="004510DE">
        <w:t>Summary of new law</w:t>
      </w:r>
    </w:p>
    <w:p w14:paraId="1E6DF5C3" w14:textId="77777777" w:rsidR="00FC36B3" w:rsidRDefault="00FC36B3" w:rsidP="00FC36B3">
      <w:pPr>
        <w:pStyle w:val="Normalparatextwithnumbers"/>
      </w:pPr>
      <w:r>
        <w:t xml:space="preserve">The amendments set out new climate-related financial reporting requirements for entities, leveraging the existing financial reporting regime under Chapter 2M of the Corporations Act. Chapter 2M provides for record-keeping, financial </w:t>
      </w:r>
      <w:proofErr w:type="gramStart"/>
      <w:r>
        <w:t>reports</w:t>
      </w:r>
      <w:proofErr w:type="gramEnd"/>
      <w:r>
        <w:t xml:space="preserve"> and audit. Part 2M.3 covers financial reporting including who must prepare annual financial reports and the contents of those annual financial reports.</w:t>
      </w:r>
    </w:p>
    <w:p w14:paraId="7B79EFB6" w14:textId="77777777" w:rsidR="00FC36B3" w:rsidRDefault="00FC36B3" w:rsidP="00FC36B3">
      <w:pPr>
        <w:pStyle w:val="Normalparatextwithnumbers"/>
      </w:pPr>
      <w:r>
        <w:t>The amendments include a new ‘sustainability report’ for a financial year which entities will need to prepare in addition to financial statements, notes to financial statements and a director declaration which form part of an annual financial report.</w:t>
      </w:r>
    </w:p>
    <w:p w14:paraId="0FEE09F6" w14:textId="77777777" w:rsidR="00FC36B3" w:rsidRDefault="00FC36B3" w:rsidP="00FC36B3">
      <w:pPr>
        <w:pStyle w:val="Normalparatextwithnumbers"/>
      </w:pPr>
      <w:r>
        <w:t xml:space="preserve">The sustainability report for a financial year consists of: </w:t>
      </w:r>
    </w:p>
    <w:p w14:paraId="3A00EB20" w14:textId="77777777" w:rsidR="00FC36B3" w:rsidRDefault="00FC36B3" w:rsidP="00FC36B3">
      <w:pPr>
        <w:pStyle w:val="Dotpoint1"/>
        <w:ind w:left="1418" w:hanging="709"/>
      </w:pPr>
      <w:r>
        <w:t xml:space="preserve">the climate statement for the </w:t>
      </w:r>
      <w:proofErr w:type="gramStart"/>
      <w:r>
        <w:t>year;</w:t>
      </w:r>
      <w:proofErr w:type="gramEnd"/>
      <w:r>
        <w:t xml:space="preserve"> </w:t>
      </w:r>
    </w:p>
    <w:p w14:paraId="5048EC69" w14:textId="77777777" w:rsidR="00FC36B3" w:rsidRDefault="00FC36B3" w:rsidP="00FC36B3">
      <w:pPr>
        <w:pStyle w:val="Dotpoint1"/>
        <w:ind w:left="1418" w:hanging="709"/>
      </w:pPr>
      <w:r>
        <w:t xml:space="preserve">notes to the climate </w:t>
      </w:r>
      <w:proofErr w:type="gramStart"/>
      <w:r>
        <w:t>statement;</w:t>
      </w:r>
      <w:proofErr w:type="gramEnd"/>
    </w:p>
    <w:p w14:paraId="18A2646B" w14:textId="77777777" w:rsidR="00FC36B3" w:rsidRDefault="00FC36B3" w:rsidP="00FC36B3">
      <w:pPr>
        <w:pStyle w:val="Dotpoint1"/>
        <w:ind w:left="1418" w:hanging="709"/>
      </w:pPr>
      <w:r>
        <w:t>any statements prescribed by the regulations for the year; and</w:t>
      </w:r>
    </w:p>
    <w:p w14:paraId="28F32268" w14:textId="77777777" w:rsidR="00FC36B3" w:rsidRDefault="00FC36B3" w:rsidP="00FC36B3">
      <w:pPr>
        <w:pStyle w:val="Dotpoint1"/>
        <w:ind w:left="1418" w:hanging="709"/>
      </w:pPr>
      <w:r>
        <w:t>the directors’ declaration about the compliance of the statements with the relevant sustainability standards.</w:t>
      </w:r>
    </w:p>
    <w:p w14:paraId="127BB8D7" w14:textId="77777777" w:rsidR="00FC36B3" w:rsidRDefault="00FC36B3" w:rsidP="00FC36B3">
      <w:pPr>
        <w:pStyle w:val="Normalparatextwithnumbers"/>
      </w:pPr>
      <w:r>
        <w:t>The climate statements are prepared in line with the relevant sustainability standards issued by the AASB.</w:t>
      </w:r>
    </w:p>
    <w:p w14:paraId="2F6EC767" w14:textId="77777777" w:rsidR="00FC36B3" w:rsidRDefault="00FC36B3" w:rsidP="00FC36B3">
      <w:pPr>
        <w:pStyle w:val="Normalparatextwithnumbers"/>
        <w:numPr>
          <w:ilvl w:val="1"/>
          <w:numId w:val="3"/>
        </w:numPr>
      </w:pPr>
      <w:r>
        <w:t>A phased-in approach is used for the obligation to prepare a sustainability report, starting with a relatively limited group of very large entities that expands to apply to progressively smaller large entities.</w:t>
      </w:r>
    </w:p>
    <w:p w14:paraId="47E49634" w14:textId="77777777" w:rsidR="00FC36B3" w:rsidRDefault="00FC36B3" w:rsidP="00FC36B3">
      <w:pPr>
        <w:pStyle w:val="Normalparatextwithnumbers"/>
        <w:numPr>
          <w:ilvl w:val="1"/>
          <w:numId w:val="3"/>
        </w:numPr>
      </w:pPr>
      <w:r>
        <w:t>The size thresholds that determine the year in which entities are required to commence climate reporting are</w:t>
      </w:r>
      <w:r w:rsidDel="00AC7B03">
        <w:t xml:space="preserve"> </w:t>
      </w:r>
      <w:r>
        <w:t xml:space="preserve">based on existing concepts in the Corporations Act and Regulations. That is, </w:t>
      </w:r>
      <w:r w:rsidRPr="00552AEC">
        <w:t xml:space="preserve">consolidated </w:t>
      </w:r>
      <w:r>
        <w:t>gross</w:t>
      </w:r>
      <w:r w:rsidRPr="00552AEC">
        <w:t xml:space="preserve"> assets</w:t>
      </w:r>
      <w:r>
        <w:t>,</w:t>
      </w:r>
      <w:r w:rsidRPr="00552AEC">
        <w:t xml:space="preserve"> </w:t>
      </w:r>
      <w:r>
        <w:t xml:space="preserve">consolidated revenue and employee thresholds which apply to </w:t>
      </w:r>
      <w:r w:rsidRPr="00552AEC">
        <w:t>the company</w:t>
      </w:r>
      <w:r>
        <w:t xml:space="preserve"> or entity</w:t>
      </w:r>
      <w:r w:rsidRPr="00552AEC">
        <w:t xml:space="preserve"> and any entities it controls</w:t>
      </w:r>
      <w:r>
        <w:t xml:space="preserve"> at the end of the financial year.</w:t>
      </w:r>
    </w:p>
    <w:p w14:paraId="2763364A" w14:textId="77777777" w:rsidR="00FC36B3" w:rsidRDefault="00FC36B3" w:rsidP="00FC36B3">
      <w:pPr>
        <w:pStyle w:val="Normalparatextwithnumbers"/>
        <w:numPr>
          <w:ilvl w:val="1"/>
          <w:numId w:val="3"/>
        </w:numPr>
      </w:pPr>
      <w:r>
        <w:t xml:space="preserve">In addition, NGER entities are required to make climate-related financial disclosures based on the publication threshold </w:t>
      </w:r>
      <w:r w:rsidRPr="007F1B78">
        <w:t>which determines whether the Clean Energy Regulator publish</w:t>
      </w:r>
      <w:r>
        <w:t>es</w:t>
      </w:r>
      <w:r w:rsidRPr="007F1B78">
        <w:t xml:space="preserve"> emissions data about reporters</w:t>
      </w:r>
      <w:r>
        <w:t xml:space="preserve">. </w:t>
      </w:r>
    </w:p>
    <w:p w14:paraId="24266FDA" w14:textId="77777777" w:rsidR="00FC36B3" w:rsidRDefault="00FC36B3" w:rsidP="00FC36B3">
      <w:pPr>
        <w:pStyle w:val="Normalparatextwithnumbers"/>
        <w:numPr>
          <w:ilvl w:val="1"/>
          <w:numId w:val="3"/>
        </w:numPr>
      </w:pPr>
      <w:r>
        <w:t>Small and medium entities, below the relevant size thresholds (unless they are NGER controlling corporations) are not required to make climate</w:t>
      </w:r>
      <w:r>
        <w:noBreakHyphen/>
        <w:t xml:space="preserve">related financial disclosures. Neither are entities that are exempt from lodging financial reports under Chapter 2M. </w:t>
      </w:r>
    </w:p>
    <w:p w14:paraId="719DD629" w14:textId="77777777" w:rsidR="00FC36B3" w:rsidRPr="004510DE" w:rsidRDefault="00FC36B3" w:rsidP="00FC36B3">
      <w:pPr>
        <w:pStyle w:val="Normalparatextwithnumbers"/>
        <w:numPr>
          <w:ilvl w:val="1"/>
          <w:numId w:val="3"/>
        </w:numPr>
      </w:pPr>
      <w:r>
        <w:t>A modified liability approach will apply for a transitional period to ensure that reporting entities are allowed time to develop experience and practice to report to the required standards. After this period, the existing liability arrangements will apply.</w:t>
      </w:r>
    </w:p>
    <w:p w14:paraId="4F2DC62D" w14:textId="77777777" w:rsidR="00FC36B3" w:rsidRDefault="00FC36B3" w:rsidP="00FC36B3">
      <w:pPr>
        <w:pStyle w:val="Heading2"/>
        <w:numPr>
          <w:ilvl w:val="1"/>
          <w:numId w:val="2"/>
        </w:numPr>
        <w:tabs>
          <w:tab w:val="num" w:pos="567"/>
        </w:tabs>
        <w:ind w:left="567" w:hanging="567"/>
        <w:rPr>
          <w:rFonts w:hint="eastAsia"/>
        </w:rPr>
      </w:pPr>
      <w:r w:rsidRPr="00020288">
        <w:t>Detailed explanation of new law</w:t>
      </w:r>
    </w:p>
    <w:p w14:paraId="2A1879C0" w14:textId="77777777" w:rsidR="00FC36B3" w:rsidRPr="007F792F" w:rsidRDefault="00FC36B3" w:rsidP="00FC36B3">
      <w:pPr>
        <w:pStyle w:val="Heading3"/>
        <w:rPr>
          <w:rFonts w:hint="eastAsia"/>
        </w:rPr>
      </w:pPr>
      <w:r>
        <w:t>Part 1 – Climate-related financial disclosures</w:t>
      </w:r>
    </w:p>
    <w:p w14:paraId="08038695" w14:textId="77777777" w:rsidR="00FC36B3" w:rsidRDefault="00FC36B3" w:rsidP="00FC36B3">
      <w:pPr>
        <w:pStyle w:val="Heading4"/>
        <w:numPr>
          <w:ilvl w:val="3"/>
          <w:numId w:val="2"/>
        </w:numPr>
      </w:pPr>
      <w:r>
        <w:t>New reporting requirements</w:t>
      </w:r>
    </w:p>
    <w:p w14:paraId="0A4EAEB7" w14:textId="77777777" w:rsidR="00FC36B3" w:rsidRDefault="00FC36B3" w:rsidP="00FC36B3">
      <w:pPr>
        <w:pStyle w:val="Normalparatextwithnumbers"/>
      </w:pPr>
      <w:r>
        <w:t>To support the amendments, the following definitions are included in the Corporations Act:</w:t>
      </w:r>
    </w:p>
    <w:p w14:paraId="079158E2" w14:textId="77777777" w:rsidR="00FC36B3" w:rsidRDefault="00FC36B3" w:rsidP="00FC36B3">
      <w:pPr>
        <w:pStyle w:val="Dotpoint1"/>
        <w:ind w:left="1418" w:hanging="709"/>
      </w:pPr>
      <w:r>
        <w:t>‘</w:t>
      </w:r>
      <w:proofErr w:type="gramStart"/>
      <w:r>
        <w:t>climate</w:t>
      </w:r>
      <w:proofErr w:type="gramEnd"/>
      <w:r>
        <w:t xml:space="preserve"> statements’ refer to annual climate statements under section 296A;</w:t>
      </w:r>
    </w:p>
    <w:p w14:paraId="6E0B84A1" w14:textId="77777777" w:rsidR="00FC36B3" w:rsidRDefault="00FC36B3" w:rsidP="00FC36B3">
      <w:pPr>
        <w:pStyle w:val="Dotpoint1"/>
        <w:ind w:left="1418" w:hanging="709"/>
      </w:pPr>
      <w:r>
        <w:t xml:space="preserve">'greenhouse </w:t>
      </w:r>
      <w:proofErr w:type="gramStart"/>
      <w:r>
        <w:t>gas‘ has</w:t>
      </w:r>
      <w:proofErr w:type="gramEnd"/>
      <w:r>
        <w:t xml:space="preserve"> the same meaning as in the NGER Act;</w:t>
      </w:r>
    </w:p>
    <w:p w14:paraId="4AEC0CF9" w14:textId="77777777" w:rsidR="00FC36B3" w:rsidRDefault="00FC36B3" w:rsidP="00FC36B3">
      <w:pPr>
        <w:pStyle w:val="Dotpoint1"/>
        <w:ind w:left="1418" w:hanging="709"/>
      </w:pPr>
      <w:r>
        <w:t>‘</w:t>
      </w:r>
      <w:proofErr w:type="gramStart"/>
      <w:r>
        <w:t>scope</w:t>
      </w:r>
      <w:proofErr w:type="gramEnd"/>
      <w:r>
        <w:t xml:space="preserve"> 1 emission’ of greenhouse gas has the same meaning as in the NGER Act;</w:t>
      </w:r>
    </w:p>
    <w:p w14:paraId="5CBA894B" w14:textId="77777777" w:rsidR="00FC36B3" w:rsidRDefault="00FC36B3" w:rsidP="00FC36B3">
      <w:pPr>
        <w:pStyle w:val="Dotpoint1"/>
        <w:ind w:left="1418" w:hanging="709"/>
      </w:pPr>
      <w:r>
        <w:t>‘</w:t>
      </w:r>
      <w:proofErr w:type="gramStart"/>
      <w:r>
        <w:t>scope</w:t>
      </w:r>
      <w:proofErr w:type="gramEnd"/>
      <w:r>
        <w:t xml:space="preserve"> 2 emissions’ of greenhouse gas has the same meaning as in the NGER Act;</w:t>
      </w:r>
    </w:p>
    <w:p w14:paraId="7B31DE1B" w14:textId="77777777" w:rsidR="00FC36B3" w:rsidRDefault="00FC36B3" w:rsidP="00FC36B3">
      <w:pPr>
        <w:pStyle w:val="Dotpoint1"/>
        <w:ind w:left="1418" w:hanging="709"/>
      </w:pPr>
      <w:r>
        <w:t>‘</w:t>
      </w:r>
      <w:proofErr w:type="gramStart"/>
      <w:r w:rsidRPr="001C5437">
        <w:t>scope</w:t>
      </w:r>
      <w:proofErr w:type="gramEnd"/>
      <w:r w:rsidRPr="001C5437">
        <w:t xml:space="preserve"> 3 emissions’ has the same meaning as in the Corporate Value Chain (Scope 3) Accounting and Reporting Standard</w:t>
      </w:r>
      <w:r>
        <w:t>, as existing on the commencement of this definition;</w:t>
      </w:r>
    </w:p>
    <w:p w14:paraId="4322A62C" w14:textId="77777777" w:rsidR="00FC36B3" w:rsidRDefault="00FC36B3" w:rsidP="00FC36B3">
      <w:pPr>
        <w:pStyle w:val="Dotpoint1"/>
        <w:ind w:left="1418" w:hanging="709"/>
      </w:pPr>
      <w:r>
        <w:t>‘</w:t>
      </w:r>
      <w:proofErr w:type="gramStart"/>
      <w:r>
        <w:t>sustainability</w:t>
      </w:r>
      <w:proofErr w:type="gramEnd"/>
      <w:r>
        <w:t xml:space="preserve"> records’ includes records that contain and explain the methods, assumptions and evidence to support the sustainability report; and</w:t>
      </w:r>
    </w:p>
    <w:p w14:paraId="234DC346" w14:textId="77777777" w:rsidR="00FC36B3" w:rsidRDefault="00FC36B3" w:rsidP="00FC36B3">
      <w:pPr>
        <w:pStyle w:val="Dotpoint1"/>
        <w:ind w:left="1418" w:hanging="709"/>
      </w:pPr>
      <w:r>
        <w:t>‘</w:t>
      </w:r>
      <w:proofErr w:type="gramStart"/>
      <w:r>
        <w:t>sustainability</w:t>
      </w:r>
      <w:proofErr w:type="gramEnd"/>
      <w:r>
        <w:t xml:space="preserve"> report' refers to an annual sustainability report prepared under Chapter 2M (see section 296A regarding contents of this report).</w:t>
      </w:r>
    </w:p>
    <w:p w14:paraId="79490D5F" w14:textId="37EDA511" w:rsidR="00FC36B3" w:rsidRPr="007600F7" w:rsidRDefault="00FC36B3" w:rsidP="00FC36B3">
      <w:pPr>
        <w:pStyle w:val="Normalparatextwithnumbers"/>
        <w:numPr>
          <w:ilvl w:val="0"/>
          <w:numId w:val="0"/>
        </w:numPr>
        <w:ind w:left="709"/>
        <w:rPr>
          <w:rStyle w:val="References"/>
        </w:rPr>
      </w:pPr>
      <w:r w:rsidRPr="00F2404D">
        <w:rPr>
          <w:rStyle w:val="References"/>
        </w:rPr>
        <w:t>[Schedule #,</w:t>
      </w:r>
      <w:r w:rsidR="00894E6F">
        <w:rPr>
          <w:rStyle w:val="References"/>
        </w:rPr>
        <w:t xml:space="preserve"> </w:t>
      </w:r>
      <w:r w:rsidRPr="00F2404D">
        <w:rPr>
          <w:rStyle w:val="References"/>
        </w:rPr>
        <w:t xml:space="preserve">item </w:t>
      </w:r>
      <w:r w:rsidR="00FD3C34">
        <w:rPr>
          <w:rStyle w:val="References"/>
        </w:rPr>
        <w:t>3</w:t>
      </w:r>
      <w:r>
        <w:rPr>
          <w:rStyle w:val="References"/>
        </w:rPr>
        <w:t xml:space="preserve">, </w:t>
      </w:r>
      <w:r w:rsidRPr="007600F7">
        <w:rPr>
          <w:rStyle w:val="References"/>
        </w:rPr>
        <w:t>section 9]</w:t>
      </w:r>
    </w:p>
    <w:p w14:paraId="0292F784" w14:textId="77777777" w:rsidR="00FC36B3" w:rsidRPr="007F0953" w:rsidRDefault="00FC36B3" w:rsidP="00FC36B3">
      <w:pPr>
        <w:pStyle w:val="Normalparatextwithnumbers"/>
        <w:rPr>
          <w:b/>
          <w:i/>
        </w:rPr>
      </w:pPr>
      <w:r>
        <w:rPr>
          <w:rStyle w:val="References"/>
          <w:b w:val="0"/>
          <w:bCs w:val="0"/>
          <w:i w:val="0"/>
          <w:iCs w:val="0"/>
        </w:rPr>
        <w:t xml:space="preserve">The definition of ‘scope 3 emissions’ is incorporated by reference to the </w:t>
      </w:r>
      <w:r w:rsidRPr="00655735">
        <w:rPr>
          <w:rStyle w:val="References"/>
          <w:b w:val="0"/>
          <w:bCs w:val="0"/>
          <w:i w:val="0"/>
          <w:iCs w:val="0"/>
        </w:rPr>
        <w:t>Corporate Value Chain (Scope 3) Accounting and Reporting Standard</w:t>
      </w:r>
      <w:r>
        <w:rPr>
          <w:rStyle w:val="References"/>
          <w:b w:val="0"/>
          <w:bCs w:val="0"/>
          <w:i w:val="0"/>
          <w:iCs w:val="0"/>
        </w:rPr>
        <w:t xml:space="preserve"> (‘the standard’). This incorporation is by reference to the document at the time the definition commences. The Scope 3 Calculation Guidance (‘the guidance’) accompanies the standard, making it easier to understand. The standard and guidance are freely available and accessible online, with links in the table below. This replicates the approach to scope 3 emissions in the global standard </w:t>
      </w:r>
      <w:r w:rsidRPr="009D2CD6">
        <w:rPr>
          <w:rStyle w:val="References"/>
          <w:b w:val="0"/>
          <w:bCs w:val="0"/>
        </w:rPr>
        <w:t>IFRS S2 Climate-related disclosure</w:t>
      </w:r>
      <w:r>
        <w:rPr>
          <w:rStyle w:val="References"/>
          <w:b w:val="0"/>
          <w:bCs w:val="0"/>
        </w:rPr>
        <w:t xml:space="preserve">, </w:t>
      </w:r>
      <w:r>
        <w:rPr>
          <w:rStyle w:val="References"/>
          <w:b w:val="0"/>
          <w:bCs w:val="0"/>
          <w:i w:val="0"/>
          <w:iCs w:val="0"/>
        </w:rPr>
        <w:t xml:space="preserve">released by the ISSB in June 2023. </w:t>
      </w:r>
    </w:p>
    <w:tbl>
      <w:tblPr>
        <w:tblStyle w:val="TableGrid"/>
        <w:tblW w:w="4675" w:type="pct"/>
        <w:tblInd w:w="607" w:type="dxa"/>
        <w:tblLook w:val="04A0" w:firstRow="1" w:lastRow="0" w:firstColumn="1" w:lastColumn="0" w:noHBand="0" w:noVBand="1"/>
      </w:tblPr>
      <w:tblGrid>
        <w:gridCol w:w="3600"/>
        <w:gridCol w:w="3600"/>
      </w:tblGrid>
      <w:tr w:rsidR="00FC36B3" w14:paraId="0A4605F0" w14:textId="77777777">
        <w:tc>
          <w:tcPr>
            <w:tcW w:w="2500" w:type="pct"/>
          </w:tcPr>
          <w:p w14:paraId="5B2E3C1F" w14:textId="77777777" w:rsidR="00FC36B3" w:rsidRPr="00581624" w:rsidRDefault="00FC36B3" w:rsidP="00FC36B3">
            <w:pPr>
              <w:pStyle w:val="Tableheaderrowtext"/>
              <w:numPr>
                <w:ilvl w:val="3"/>
                <w:numId w:val="2"/>
              </w:numPr>
              <w:rPr>
                <w:rStyle w:val="References"/>
                <w:rFonts w:ascii="Helvetica" w:eastAsiaTheme="minorHAnsi" w:hAnsi="Helvetica" w:cstheme="minorBidi"/>
                <w:szCs w:val="22"/>
                <w:lang w:eastAsia="en-US"/>
              </w:rPr>
            </w:pPr>
            <w:r w:rsidRPr="00581624">
              <w:rPr>
                <w:rStyle w:val="References"/>
                <w:rFonts w:ascii="Helvetica" w:hAnsi="Helvetica"/>
                <w:b/>
                <w:i/>
              </w:rPr>
              <w:t>Document</w:t>
            </w:r>
          </w:p>
        </w:tc>
        <w:tc>
          <w:tcPr>
            <w:tcW w:w="2500" w:type="pct"/>
          </w:tcPr>
          <w:p w14:paraId="17C561CF" w14:textId="77777777" w:rsidR="00FC36B3" w:rsidRPr="007F0953" w:rsidRDefault="00FC36B3" w:rsidP="00FC36B3">
            <w:pPr>
              <w:pStyle w:val="Tableheaderrowtext"/>
              <w:numPr>
                <w:ilvl w:val="3"/>
                <w:numId w:val="2"/>
              </w:numPr>
              <w:rPr>
                <w:rStyle w:val="References"/>
                <w:rFonts w:ascii="Helvetica" w:eastAsiaTheme="minorHAnsi" w:hAnsi="Helvetica" w:cstheme="minorBidi"/>
              </w:rPr>
            </w:pPr>
            <w:r w:rsidRPr="00581624">
              <w:rPr>
                <w:rStyle w:val="References"/>
                <w:rFonts w:ascii="Helvetica" w:hAnsi="Helvetica"/>
                <w:b/>
                <w:i/>
              </w:rPr>
              <w:t>Link</w:t>
            </w:r>
          </w:p>
        </w:tc>
      </w:tr>
      <w:tr w:rsidR="00FC36B3" w14:paraId="16C12BFB" w14:textId="77777777">
        <w:tc>
          <w:tcPr>
            <w:tcW w:w="2500" w:type="pct"/>
          </w:tcPr>
          <w:p w14:paraId="3B5E8375" w14:textId="77777777" w:rsidR="00FC36B3" w:rsidRDefault="00FC36B3">
            <w:pPr>
              <w:pStyle w:val="Tabletext"/>
              <w:rPr>
                <w:rStyle w:val="References"/>
                <w:rFonts w:eastAsiaTheme="minorHAnsi" w:cstheme="minorBidi"/>
                <w:szCs w:val="22"/>
                <w:lang w:eastAsia="en-US"/>
              </w:rPr>
            </w:pPr>
            <w:r w:rsidRPr="00655735">
              <w:rPr>
                <w:rStyle w:val="References"/>
                <w:b w:val="0"/>
                <w:bCs w:val="0"/>
                <w:i w:val="0"/>
                <w:iCs w:val="0"/>
              </w:rPr>
              <w:t>Corporate Value Chain (Scope 3) Accounting and Reporting Standard</w:t>
            </w:r>
          </w:p>
        </w:tc>
        <w:tc>
          <w:tcPr>
            <w:tcW w:w="2500" w:type="pct"/>
          </w:tcPr>
          <w:p w14:paraId="33E5ECFB" w14:textId="77777777" w:rsidR="00FC36B3" w:rsidRPr="008C747D" w:rsidRDefault="007105AC">
            <w:pPr>
              <w:pStyle w:val="Tabletext"/>
              <w:rPr>
                <w:rStyle w:val="References"/>
                <w:rFonts w:eastAsiaTheme="minorHAnsi" w:cstheme="minorBidi"/>
                <w:b w:val="0"/>
                <w:i w:val="0"/>
                <w:szCs w:val="22"/>
                <w:lang w:eastAsia="en-US"/>
              </w:rPr>
            </w:pPr>
            <w:hyperlink r:id="rId15" w:history="1">
              <w:r w:rsidR="00FC36B3" w:rsidRPr="007F0953">
                <w:rPr>
                  <w:rStyle w:val="Hyperlink"/>
                </w:rPr>
                <w:t>https://ghgprotocol.org/corporate-value-chain-scope-3-standard</w:t>
              </w:r>
            </w:hyperlink>
          </w:p>
        </w:tc>
      </w:tr>
      <w:tr w:rsidR="00FC36B3" w14:paraId="57BC77A8" w14:textId="77777777">
        <w:tc>
          <w:tcPr>
            <w:tcW w:w="2500" w:type="pct"/>
          </w:tcPr>
          <w:p w14:paraId="0BC10B03" w14:textId="77777777" w:rsidR="00FC36B3" w:rsidRDefault="00FC36B3">
            <w:pPr>
              <w:pStyle w:val="Tabletext"/>
              <w:rPr>
                <w:rStyle w:val="References"/>
                <w:rFonts w:eastAsiaTheme="minorHAnsi" w:cstheme="minorBidi"/>
                <w:szCs w:val="22"/>
                <w:lang w:eastAsia="en-US"/>
              </w:rPr>
            </w:pPr>
            <w:r w:rsidRPr="00440B6D">
              <w:rPr>
                <w:rStyle w:val="References"/>
                <w:b w:val="0"/>
                <w:bCs w:val="0"/>
                <w:i w:val="0"/>
                <w:iCs w:val="0"/>
              </w:rPr>
              <w:t>Scope 3 Calculation Guidance</w:t>
            </w:r>
          </w:p>
        </w:tc>
        <w:tc>
          <w:tcPr>
            <w:tcW w:w="2500" w:type="pct"/>
          </w:tcPr>
          <w:p w14:paraId="07D028DE" w14:textId="77777777" w:rsidR="00FC36B3" w:rsidRPr="008C747D" w:rsidRDefault="007105AC">
            <w:pPr>
              <w:pStyle w:val="Tabletext"/>
              <w:rPr>
                <w:rStyle w:val="References"/>
                <w:rFonts w:eastAsiaTheme="minorHAnsi" w:cstheme="minorBidi"/>
                <w:b w:val="0"/>
                <w:i w:val="0"/>
                <w:szCs w:val="22"/>
                <w:lang w:eastAsia="en-US"/>
              </w:rPr>
            </w:pPr>
            <w:hyperlink r:id="rId16" w:history="1">
              <w:r w:rsidR="00FC36B3" w:rsidRPr="007F0953">
                <w:rPr>
                  <w:rStyle w:val="Hyperlink"/>
                </w:rPr>
                <w:t>https://ghgprotocol.org/scope-3-calculation-guidance-2</w:t>
              </w:r>
            </w:hyperlink>
          </w:p>
        </w:tc>
      </w:tr>
    </w:tbl>
    <w:p w14:paraId="74474BE8" w14:textId="31D1EA60" w:rsidR="00FC36B3" w:rsidRDefault="00FC36B3" w:rsidP="00FC36B3">
      <w:pPr>
        <w:pStyle w:val="Normalparatextwithnumbers"/>
        <w:rPr>
          <w:rStyle w:val="References"/>
        </w:rPr>
      </w:pPr>
      <w:r>
        <w:t>The amendments ensure that sustainability reports may be considered as part of an AGM. Therefore, the note to subsection 250</w:t>
      </w:r>
      <w:proofErr w:type="gramStart"/>
      <w:r>
        <w:t>N(</w:t>
      </w:r>
      <w:proofErr w:type="gramEnd"/>
      <w:r>
        <w:t xml:space="preserve">3) which explains the requirement for an AGM to be held in addition to other meetings is updated to reflect the introduction of the sustainability report. Similarly, the business of an AGM may include the consideration of a sustainability report as well as the annual financial report </w:t>
      </w:r>
      <w:proofErr w:type="gramStart"/>
      <w:r>
        <w:t>in light of</w:t>
      </w:r>
      <w:proofErr w:type="gramEnd"/>
      <w:r>
        <w:t xml:space="preserve"> the amendments. </w:t>
      </w:r>
      <w:r>
        <w:br/>
      </w:r>
      <w:r w:rsidRPr="007600F7">
        <w:rPr>
          <w:rStyle w:val="References"/>
        </w:rPr>
        <w:t xml:space="preserve">[Schedule </w:t>
      </w:r>
      <w:r>
        <w:rPr>
          <w:rStyle w:val="References"/>
        </w:rPr>
        <w:t>#</w:t>
      </w:r>
      <w:r w:rsidRPr="007600F7">
        <w:rPr>
          <w:rStyle w:val="References"/>
        </w:rPr>
        <w:t>, item</w:t>
      </w:r>
      <w:r>
        <w:rPr>
          <w:rStyle w:val="References"/>
        </w:rPr>
        <w:t xml:space="preserve">s </w:t>
      </w:r>
      <w:r w:rsidR="006D45DA">
        <w:rPr>
          <w:rStyle w:val="References"/>
        </w:rPr>
        <w:t>4</w:t>
      </w:r>
      <w:r>
        <w:rPr>
          <w:rStyle w:val="References"/>
        </w:rPr>
        <w:t xml:space="preserve"> and </w:t>
      </w:r>
      <w:r w:rsidR="006D45DA">
        <w:rPr>
          <w:rStyle w:val="References"/>
        </w:rPr>
        <w:t>5</w:t>
      </w:r>
      <w:r>
        <w:rPr>
          <w:rStyle w:val="References"/>
        </w:rPr>
        <w:t>,</w:t>
      </w:r>
      <w:r w:rsidRPr="007600F7">
        <w:rPr>
          <w:rStyle w:val="References"/>
        </w:rPr>
        <w:t xml:space="preserve"> </w:t>
      </w:r>
      <w:r>
        <w:rPr>
          <w:rStyle w:val="References"/>
        </w:rPr>
        <w:t>note 1 to subsection 250</w:t>
      </w:r>
      <w:proofErr w:type="gramStart"/>
      <w:r>
        <w:rPr>
          <w:rStyle w:val="References"/>
        </w:rPr>
        <w:t>N(</w:t>
      </w:r>
      <w:proofErr w:type="gramEnd"/>
      <w:r>
        <w:rPr>
          <w:rStyle w:val="References"/>
        </w:rPr>
        <w:t>3) and paragraph 250R(1)(a)</w:t>
      </w:r>
      <w:r w:rsidRPr="007600F7">
        <w:rPr>
          <w:rStyle w:val="References"/>
        </w:rPr>
        <w:t xml:space="preserve">] </w:t>
      </w:r>
    </w:p>
    <w:p w14:paraId="6E38085A" w14:textId="7917DA4E" w:rsidR="00FC36B3" w:rsidRPr="00E4762E" w:rsidRDefault="00FC36B3" w:rsidP="00FC36B3">
      <w:pPr>
        <w:pStyle w:val="Normalparatextwithnumbers"/>
        <w:rPr>
          <w:rStyle w:val="References"/>
          <w:b w:val="0"/>
          <w:bCs w:val="0"/>
          <w:i w:val="0"/>
          <w:iCs w:val="0"/>
        </w:rPr>
      </w:pPr>
      <w:r>
        <w:t>Broadly, companies, registered schemes, registrable superannuation entities and disclosing entities that prepare annual financial reports under Chapter 2M must also prepare annual sustainability reports, and keep records, if they meet certain size thresholds</w:t>
      </w:r>
      <w:r w:rsidDel="00F730C8">
        <w:t>.</w:t>
      </w:r>
      <w:r>
        <w:br/>
      </w:r>
      <w:r w:rsidRPr="00E4762E">
        <w:rPr>
          <w:b/>
          <w:bCs/>
          <w:i/>
          <w:iCs/>
        </w:rPr>
        <w:t>[Schedule #,</w:t>
      </w:r>
      <w:r w:rsidR="00894E6F">
        <w:rPr>
          <w:b/>
          <w:bCs/>
          <w:i/>
          <w:iCs/>
        </w:rPr>
        <w:t xml:space="preserve"> </w:t>
      </w:r>
      <w:r w:rsidRPr="00E4762E">
        <w:rPr>
          <w:b/>
          <w:bCs/>
          <w:i/>
          <w:iCs/>
        </w:rPr>
        <w:t xml:space="preserve">items 6 </w:t>
      </w:r>
      <w:r w:rsidRPr="00E4762E" w:rsidDel="00F730C8">
        <w:rPr>
          <w:b/>
          <w:bCs/>
          <w:i/>
          <w:iCs/>
        </w:rPr>
        <w:t xml:space="preserve">to </w:t>
      </w:r>
      <w:r w:rsidR="00DA20C5">
        <w:rPr>
          <w:b/>
          <w:bCs/>
          <w:i/>
          <w:iCs/>
        </w:rPr>
        <w:t>21</w:t>
      </w:r>
      <w:r w:rsidRPr="00E4762E">
        <w:rPr>
          <w:b/>
          <w:bCs/>
          <w:i/>
          <w:iCs/>
        </w:rPr>
        <w:t>, heading to Chapter 2M,</w:t>
      </w:r>
      <w:r w:rsidRPr="00D43E37">
        <w:rPr>
          <w:rStyle w:val="References"/>
        </w:rPr>
        <w:t xml:space="preserve"> subsection 285(1), heading to</w:t>
      </w:r>
      <w:r w:rsidR="00A13F88">
        <w:rPr>
          <w:rStyle w:val="References"/>
        </w:rPr>
        <w:t xml:space="preserve"> table </w:t>
      </w:r>
      <w:r w:rsidR="00753B4E">
        <w:rPr>
          <w:rStyle w:val="References"/>
        </w:rPr>
        <w:t>under</w:t>
      </w:r>
      <w:r w:rsidRPr="00D43E37">
        <w:rPr>
          <w:rStyle w:val="References"/>
        </w:rPr>
        <w:t xml:space="preserve"> subsection 285(1), table items 1A, 4, 5, and 6 of the table under subsection 285(1)</w:t>
      </w:r>
      <w:r>
        <w:rPr>
          <w:rStyle w:val="References"/>
        </w:rPr>
        <w:t xml:space="preserve">, </w:t>
      </w:r>
      <w:r w:rsidR="00AF4093">
        <w:rPr>
          <w:rStyle w:val="References"/>
        </w:rPr>
        <w:t>table item 4 to table under subsection 285A</w:t>
      </w:r>
      <w:r w:rsidR="00753B4E">
        <w:rPr>
          <w:rStyle w:val="References"/>
        </w:rPr>
        <w:t xml:space="preserve">, </w:t>
      </w:r>
      <w:r w:rsidR="00155645">
        <w:rPr>
          <w:rStyle w:val="References"/>
        </w:rPr>
        <w:t xml:space="preserve">section 286A, </w:t>
      </w:r>
      <w:r w:rsidR="005C52B4">
        <w:rPr>
          <w:rStyle w:val="References"/>
        </w:rPr>
        <w:t>subsections 287(1), 287(2) and 28</w:t>
      </w:r>
      <w:r w:rsidR="00C97CE2">
        <w:rPr>
          <w:rStyle w:val="References"/>
        </w:rPr>
        <w:t xml:space="preserve">8(1), heading to section 289, section 289A, </w:t>
      </w:r>
      <w:r w:rsidR="00872AE8">
        <w:rPr>
          <w:rStyle w:val="References"/>
        </w:rPr>
        <w:t xml:space="preserve">subsections 290(1) and (2), </w:t>
      </w:r>
      <w:r>
        <w:rPr>
          <w:rStyle w:val="References"/>
        </w:rPr>
        <w:t>heading to Part 2M.3, heading to Division 1 of Part 2M.3</w:t>
      </w:r>
      <w:r w:rsidRPr="00D43E37">
        <w:rPr>
          <w:rStyle w:val="References"/>
        </w:rPr>
        <w:t>]</w:t>
      </w:r>
    </w:p>
    <w:p w14:paraId="76A5554F" w14:textId="23FF24B7" w:rsidR="00FC36B3" w:rsidRDefault="00FC36B3" w:rsidP="00FC36B3">
      <w:pPr>
        <w:pStyle w:val="Normalparatextwithnumbers"/>
      </w:pPr>
      <w:r>
        <w:t xml:space="preserve">The overview of reporting obligations includes the requirement to prepare a sustainability report and references section 296A which contains details of the contents of sustainability reports. The amendments reflect that the sustainability report includes the climate statement, in addition to the standard disclosures and notes, and directors’ declaration. </w:t>
      </w:r>
      <w:r>
        <w:br/>
      </w:r>
      <w:r w:rsidRPr="007600F7">
        <w:rPr>
          <w:rStyle w:val="References"/>
        </w:rPr>
        <w:t xml:space="preserve"> </w:t>
      </w:r>
    </w:p>
    <w:p w14:paraId="3FC6B834" w14:textId="0E303888" w:rsidR="00FC36B3" w:rsidRDefault="00FC36B3" w:rsidP="00FC36B3">
      <w:pPr>
        <w:pStyle w:val="Normalparatextwithnumbers"/>
      </w:pPr>
      <w:r>
        <w:t>The amendments also update the table summarising reporting obligations for companies limited by guarantee. The update inserts a new item in this table. The item concerns companies limited by guarantee with annual revenue, or if part of a consolidated entity with an annual consolidated revenue, of $1 million or more which meets the sustainability reporting thresholds. The item stipulates that such a company must prepare a financial report and sustainability report, which must be audited. They must also provide a director’s report, which can be less detailed than typically required of other companies. All three reports must be provided to members who choose to receive them. References to the relevant sections are included.</w:t>
      </w:r>
      <w:r>
        <w:br/>
      </w:r>
      <w:r w:rsidRPr="007600F7">
        <w:rPr>
          <w:rStyle w:val="References"/>
        </w:rPr>
        <w:t xml:space="preserve">[Schedule </w:t>
      </w:r>
      <w:r>
        <w:rPr>
          <w:rStyle w:val="References"/>
        </w:rPr>
        <w:t>#</w:t>
      </w:r>
      <w:r w:rsidRPr="007600F7">
        <w:rPr>
          <w:rStyle w:val="References"/>
        </w:rPr>
        <w:t>, item</w:t>
      </w:r>
      <w:r>
        <w:rPr>
          <w:rStyle w:val="References"/>
        </w:rPr>
        <w:t xml:space="preserve"> </w:t>
      </w:r>
      <w:r w:rsidR="00CF58C2">
        <w:rPr>
          <w:rStyle w:val="References"/>
        </w:rPr>
        <w:t>13</w:t>
      </w:r>
      <w:r w:rsidRPr="007600F7">
        <w:rPr>
          <w:rStyle w:val="References"/>
        </w:rPr>
        <w:t>,</w:t>
      </w:r>
      <w:r>
        <w:rPr>
          <w:rStyle w:val="References"/>
        </w:rPr>
        <w:t xml:space="preserve"> table</w:t>
      </w:r>
      <w:r w:rsidRPr="007600F7">
        <w:rPr>
          <w:rStyle w:val="References"/>
        </w:rPr>
        <w:t xml:space="preserve"> </w:t>
      </w:r>
      <w:r>
        <w:rPr>
          <w:rStyle w:val="References"/>
        </w:rPr>
        <w:t>item 4,</w:t>
      </w:r>
      <w:r w:rsidR="00CF58C2">
        <w:rPr>
          <w:rStyle w:val="References"/>
        </w:rPr>
        <w:t xml:space="preserve"> table under</w:t>
      </w:r>
      <w:r>
        <w:rPr>
          <w:rStyle w:val="References"/>
        </w:rPr>
        <w:t xml:space="preserve"> section 285A</w:t>
      </w:r>
      <w:r w:rsidRPr="007600F7">
        <w:rPr>
          <w:rStyle w:val="References"/>
        </w:rPr>
        <w:t xml:space="preserve">] </w:t>
      </w:r>
    </w:p>
    <w:p w14:paraId="45956A26" w14:textId="77777777" w:rsidR="00FC36B3" w:rsidRDefault="00FC36B3" w:rsidP="00FC36B3">
      <w:pPr>
        <w:pStyle w:val="Normalparatextwithnumbers"/>
      </w:pPr>
      <w:r>
        <w:t xml:space="preserve">The policy intention is to </w:t>
      </w:r>
      <w:r w:rsidRPr="007F0953">
        <w:rPr>
          <w:rStyle w:val="normaltextrun"/>
          <w:shd w:val="clear" w:color="auto" w:fill="FFFFFF"/>
        </w:rPr>
        <w:t>improve the quality and comparability of disclosures of material climate-related financial risks and opportunities within the financial reporting framework. This will ensure Australians and investors are provided with greater transparency of an entity’s climate-related plans and strategies. Improved climate disclosures will also support regulators to assess and manage system</w:t>
      </w:r>
      <w:r>
        <w:rPr>
          <w:rStyle w:val="normaltextrun"/>
          <w:shd w:val="clear" w:color="auto" w:fill="FFFFFF"/>
        </w:rPr>
        <w:t>ic</w:t>
      </w:r>
      <w:r w:rsidRPr="007F0953">
        <w:rPr>
          <w:rStyle w:val="normaltextrun"/>
          <w:shd w:val="clear" w:color="auto" w:fill="FFFFFF"/>
        </w:rPr>
        <w:t xml:space="preserve"> climate-related risks to the financial system.</w:t>
      </w:r>
    </w:p>
    <w:p w14:paraId="101603AE" w14:textId="77777777" w:rsidR="00FC36B3" w:rsidRDefault="00FC36B3" w:rsidP="00FC36B3">
      <w:pPr>
        <w:pStyle w:val="Heading5"/>
        <w:numPr>
          <w:ilvl w:val="4"/>
          <w:numId w:val="2"/>
        </w:numPr>
      </w:pPr>
      <w:r>
        <w:t>Record-keeping requirements</w:t>
      </w:r>
    </w:p>
    <w:p w14:paraId="5BBE10F7" w14:textId="017C1DEA" w:rsidR="00FC36B3" w:rsidRPr="004274BF" w:rsidRDefault="00FC36B3">
      <w:pPr>
        <w:pStyle w:val="Normalparatextwithnumbers"/>
        <w:rPr>
          <w:rStyle w:val="References"/>
          <w:b w:val="0"/>
          <w:i w:val="0"/>
        </w:rPr>
      </w:pPr>
      <w:r>
        <w:t xml:space="preserve">An entity required to prepare a sustainability report is also required to keep records that correctly explain and record its preparation of the statements in the report for 7 years. These sustainability records include documents and working papers that explain the methods, </w:t>
      </w:r>
      <w:proofErr w:type="gramStart"/>
      <w:r>
        <w:t>assumptions</w:t>
      </w:r>
      <w:proofErr w:type="gramEnd"/>
      <w:r>
        <w:t xml:space="preserve"> and evidence from which the statements are made up. Consistent with existing rules about record-keeping for financial reports, a failure to maintain records for 7 years is an offence of both fault-based and strict liability, mirroring the offences relating to the obligation to keep financial records.</w:t>
      </w:r>
      <w:r w:rsidDel="00DE1466">
        <w:t xml:space="preserve"> </w:t>
      </w:r>
      <w:r>
        <w:br/>
      </w:r>
      <w:r w:rsidRPr="005179D8">
        <w:rPr>
          <w:rStyle w:val="References"/>
        </w:rPr>
        <w:t>[Schedule #,</w:t>
      </w:r>
      <w:r w:rsidR="00894E6F">
        <w:rPr>
          <w:rStyle w:val="References"/>
        </w:rPr>
        <w:t xml:space="preserve"> </w:t>
      </w:r>
      <w:r w:rsidRPr="005179D8">
        <w:rPr>
          <w:rStyle w:val="References"/>
        </w:rPr>
        <w:t>item</w:t>
      </w:r>
      <w:r>
        <w:rPr>
          <w:rStyle w:val="References"/>
        </w:rPr>
        <w:t>s</w:t>
      </w:r>
      <w:r w:rsidRPr="005179D8">
        <w:rPr>
          <w:rStyle w:val="References"/>
        </w:rPr>
        <w:t xml:space="preserve"> </w:t>
      </w:r>
      <w:r w:rsidR="00902E41">
        <w:rPr>
          <w:rStyle w:val="References"/>
        </w:rPr>
        <w:t>1</w:t>
      </w:r>
      <w:r w:rsidR="007533C6">
        <w:rPr>
          <w:rStyle w:val="References"/>
        </w:rPr>
        <w:t>4</w:t>
      </w:r>
      <w:r w:rsidR="003A5D8E">
        <w:rPr>
          <w:rStyle w:val="References"/>
        </w:rPr>
        <w:t>to 19,</w:t>
      </w:r>
      <w:r w:rsidRPr="005179D8">
        <w:rPr>
          <w:rStyle w:val="References"/>
        </w:rPr>
        <w:t xml:space="preserve"> </w:t>
      </w:r>
      <w:r w:rsidR="007533C6">
        <w:rPr>
          <w:rStyle w:val="References"/>
        </w:rPr>
        <w:t xml:space="preserve">heading to Part 2M.2, </w:t>
      </w:r>
      <w:r w:rsidRPr="005179D8">
        <w:rPr>
          <w:rStyle w:val="References"/>
        </w:rPr>
        <w:t xml:space="preserve">section </w:t>
      </w:r>
      <w:r>
        <w:rPr>
          <w:rStyle w:val="References"/>
        </w:rPr>
        <w:t>286</w:t>
      </w:r>
      <w:r w:rsidRPr="005179D8">
        <w:rPr>
          <w:rStyle w:val="References"/>
        </w:rPr>
        <w:t>A</w:t>
      </w:r>
      <w:r>
        <w:rPr>
          <w:rStyle w:val="References"/>
        </w:rPr>
        <w:t>, subsections 287(1), 287(2)</w:t>
      </w:r>
      <w:r w:rsidR="00F254CA">
        <w:rPr>
          <w:rStyle w:val="References"/>
        </w:rPr>
        <w:t xml:space="preserve"> and</w:t>
      </w:r>
      <w:r>
        <w:rPr>
          <w:rStyle w:val="References"/>
        </w:rPr>
        <w:t xml:space="preserve"> 288(1),</w:t>
      </w:r>
      <w:r w:rsidR="00F254CA">
        <w:rPr>
          <w:rStyle w:val="References"/>
        </w:rPr>
        <w:t xml:space="preserve"> heading to section 289, </w:t>
      </w:r>
      <w:r w:rsidR="003A5D8E">
        <w:rPr>
          <w:rStyle w:val="References"/>
        </w:rPr>
        <w:t>section 289A</w:t>
      </w:r>
      <w:r>
        <w:rPr>
          <w:rStyle w:val="References"/>
        </w:rPr>
        <w:t>,</w:t>
      </w:r>
      <w:r w:rsidR="00E27787">
        <w:rPr>
          <w:rStyle w:val="References"/>
        </w:rPr>
        <w:t xml:space="preserve"> and subsections </w:t>
      </w:r>
      <w:r>
        <w:rPr>
          <w:rStyle w:val="References"/>
        </w:rPr>
        <w:t>290(1) and 290(2)</w:t>
      </w:r>
      <w:r w:rsidRPr="005179D8">
        <w:rPr>
          <w:rStyle w:val="References"/>
        </w:rPr>
        <w:t>]</w:t>
      </w:r>
    </w:p>
    <w:p w14:paraId="34B89CF4" w14:textId="77777777" w:rsidR="00CF58C2" w:rsidRDefault="00FC36B3" w:rsidP="00FC36B3">
      <w:pPr>
        <w:pStyle w:val="Normalparatextwithnumbers"/>
        <w:rPr>
          <w:rStyle w:val="References"/>
          <w:b w:val="0"/>
          <w:bCs w:val="0"/>
          <w:i w:val="0"/>
          <w:iCs w:val="0"/>
        </w:rPr>
      </w:pPr>
      <w:r>
        <w:rPr>
          <w:rStyle w:val="References"/>
          <w:b w:val="0"/>
          <w:bCs w:val="0"/>
          <w:i w:val="0"/>
          <w:iCs w:val="0"/>
        </w:rPr>
        <w:t>Breach of the fault-based offence has a maximum penalty of two years imprisonment, while breach of the strict liability offence has a maximum penalty of 60 penalty units.</w:t>
      </w:r>
    </w:p>
    <w:p w14:paraId="0F42D065" w14:textId="77777777" w:rsidR="00B748A9" w:rsidRDefault="00CF58C2" w:rsidP="00FC36B3">
      <w:pPr>
        <w:pStyle w:val="Normalparatextwithnumbers"/>
        <w:rPr>
          <w:rStyle w:val="References"/>
          <w:b w:val="0"/>
          <w:bCs w:val="0"/>
          <w:i w:val="0"/>
          <w:iCs w:val="0"/>
        </w:rPr>
      </w:pPr>
      <w:r>
        <w:rPr>
          <w:rStyle w:val="References"/>
          <w:b w:val="0"/>
          <w:bCs w:val="0"/>
          <w:i w:val="0"/>
          <w:iCs w:val="0"/>
        </w:rPr>
        <w:t>In support of these amendments, consequential a</w:t>
      </w:r>
      <w:r w:rsidR="002E7FCF">
        <w:rPr>
          <w:rStyle w:val="References"/>
          <w:b w:val="0"/>
          <w:bCs w:val="0"/>
          <w:i w:val="0"/>
          <w:iCs w:val="0"/>
        </w:rPr>
        <w:t xml:space="preserve">mendments are made to the ASIC Act and Corporations Act to extend the meaning of ‘books’ to </w:t>
      </w:r>
      <w:r w:rsidR="00B748A9">
        <w:rPr>
          <w:rStyle w:val="References"/>
          <w:b w:val="0"/>
          <w:bCs w:val="0"/>
          <w:i w:val="0"/>
          <w:iCs w:val="0"/>
        </w:rPr>
        <w:t>cover sustainability reports and records.</w:t>
      </w:r>
    </w:p>
    <w:p w14:paraId="259DBCDB" w14:textId="24587E72" w:rsidR="00FC36B3" w:rsidRPr="00940233" w:rsidRDefault="00B748A9" w:rsidP="00940233">
      <w:pPr>
        <w:pStyle w:val="Normalparatextwithnumbers"/>
        <w:numPr>
          <w:ilvl w:val="0"/>
          <w:numId w:val="0"/>
        </w:numPr>
        <w:ind w:left="709"/>
        <w:rPr>
          <w:rStyle w:val="References"/>
        </w:rPr>
      </w:pPr>
      <w:r w:rsidRPr="00940233">
        <w:rPr>
          <w:rStyle w:val="References"/>
        </w:rPr>
        <w:t xml:space="preserve">[Schedule #, items 1 and 2, </w:t>
      </w:r>
      <w:r w:rsidR="000C542E" w:rsidRPr="00940233">
        <w:rPr>
          <w:rStyle w:val="References"/>
        </w:rPr>
        <w:t>section 5 of the ASIC Act and section 9</w:t>
      </w:r>
      <w:r w:rsidRPr="00940233">
        <w:rPr>
          <w:rStyle w:val="References"/>
        </w:rPr>
        <w:t>]</w:t>
      </w:r>
      <w:r w:rsidR="00FC36B3" w:rsidRPr="00940233">
        <w:rPr>
          <w:rStyle w:val="References"/>
        </w:rPr>
        <w:br/>
      </w:r>
    </w:p>
    <w:p w14:paraId="2F62F154" w14:textId="159E5769" w:rsidR="00FC36B3" w:rsidRPr="00432132" w:rsidRDefault="00FC36B3" w:rsidP="00FC36B3">
      <w:pPr>
        <w:pStyle w:val="Heading5"/>
        <w:numPr>
          <w:ilvl w:val="0"/>
          <w:numId w:val="0"/>
        </w:numPr>
        <w:rPr>
          <w:rStyle w:val="References"/>
        </w:rPr>
      </w:pPr>
      <w:r>
        <w:t xml:space="preserve">Who </w:t>
      </w:r>
      <w:r w:rsidR="00E27787">
        <w:t xml:space="preserve">has to prepare annual sustainability </w:t>
      </w:r>
      <w:proofErr w:type="gramStart"/>
      <w:r w:rsidR="00E27787">
        <w:t>reports</w:t>
      </w:r>
      <w:proofErr w:type="gramEnd"/>
      <w:r>
        <w:t xml:space="preserve"> </w:t>
      </w:r>
    </w:p>
    <w:p w14:paraId="01D10035" w14:textId="77777777" w:rsidR="00FC36B3" w:rsidRDefault="00FC36B3" w:rsidP="00FC36B3">
      <w:pPr>
        <w:pStyle w:val="Normalparatextwithnumbers"/>
      </w:pPr>
      <w:bookmarkStart w:id="49" w:name="_Ref153270253"/>
      <w:r>
        <w:t>Under the amendments, t</w:t>
      </w:r>
      <w:r w:rsidRPr="00853265">
        <w:t xml:space="preserve">he requirement to </w:t>
      </w:r>
      <w:r>
        <w:t xml:space="preserve">prepare a sustainability </w:t>
      </w:r>
      <w:r w:rsidRPr="00853265">
        <w:t>report will be</w:t>
      </w:r>
      <w:r>
        <w:t xml:space="preserve"> progressively</w:t>
      </w:r>
      <w:r w:rsidRPr="00853265">
        <w:t xml:space="preserve"> phased in</w:t>
      </w:r>
      <w:r>
        <w:t xml:space="preserve"> for different cohorts, generally based on the size of the entity. An explanation of this phased-in approach is explained in Part 4 of this Chapter, regarding application provisions. </w:t>
      </w:r>
    </w:p>
    <w:p w14:paraId="4A0198D1" w14:textId="77777777" w:rsidR="00FC36B3" w:rsidRDefault="00FC36B3" w:rsidP="00FC36B3">
      <w:pPr>
        <w:pStyle w:val="Normalparatextwithnumbers"/>
      </w:pPr>
      <w:bookmarkStart w:id="50" w:name="_Ref154060197"/>
      <w:r>
        <w:t>Generally, an entity must prepare a sustainability report for a financial year if that entity reports under Chapter 2M and meets any one of the following for a financial year:</w:t>
      </w:r>
      <w:bookmarkEnd w:id="50"/>
    </w:p>
    <w:p w14:paraId="3A50602C" w14:textId="77777777" w:rsidR="00FC36B3" w:rsidRDefault="00FC36B3" w:rsidP="00FC36B3">
      <w:pPr>
        <w:pStyle w:val="Dotpoint1"/>
        <w:ind w:left="1418" w:hanging="709"/>
      </w:pPr>
      <w:r>
        <w:t>where the entity meets at least two of the following three criteria (unless other amounts are determined under a legislative instrument by the Minister):</w:t>
      </w:r>
    </w:p>
    <w:p w14:paraId="38864516" w14:textId="77777777" w:rsidR="00FC36B3" w:rsidRDefault="00FC36B3" w:rsidP="00FC36B3">
      <w:pPr>
        <w:pStyle w:val="Dotpoint2"/>
      </w:pPr>
      <w:r>
        <w:t xml:space="preserve">the consolidated revenue of the entity (and the entities it controls) is equal to or greater than $50 </w:t>
      </w:r>
      <w:proofErr w:type="gramStart"/>
      <w:r>
        <w:t>million;</w:t>
      </w:r>
      <w:proofErr w:type="gramEnd"/>
    </w:p>
    <w:p w14:paraId="12153350" w14:textId="77777777" w:rsidR="00FC36B3" w:rsidRDefault="00FC36B3" w:rsidP="00FC36B3">
      <w:pPr>
        <w:pStyle w:val="Dotpoint2"/>
      </w:pPr>
      <w:r>
        <w:t xml:space="preserve">the value of the consolidated gross assets at the end of the financial year of the entity (and the entities it controls) is equal to or greater than $25 </w:t>
      </w:r>
      <w:proofErr w:type="gramStart"/>
      <w:r>
        <w:t>million;</w:t>
      </w:r>
      <w:proofErr w:type="gramEnd"/>
    </w:p>
    <w:p w14:paraId="525E4121" w14:textId="77777777" w:rsidR="00FC36B3" w:rsidRDefault="00FC36B3" w:rsidP="00FC36B3">
      <w:pPr>
        <w:pStyle w:val="Dotpoint2"/>
      </w:pPr>
      <w:r>
        <w:t>the entity (and the entities it controls) have at the end of the financial year, 100 or more employees; or</w:t>
      </w:r>
    </w:p>
    <w:p w14:paraId="04F56A41" w14:textId="77777777" w:rsidR="00FC36B3" w:rsidRDefault="00FC36B3" w:rsidP="00FC36B3">
      <w:pPr>
        <w:pStyle w:val="Dotpoint1"/>
        <w:ind w:left="1418" w:hanging="709"/>
      </w:pPr>
      <w:r>
        <w:t>if the entity is a registered corporation under the NGER Act or required to make an application to be registered under subsection 12(1) of the NGER Act; or</w:t>
      </w:r>
    </w:p>
    <w:p w14:paraId="55F9FC3B" w14:textId="77777777" w:rsidR="00FC36B3" w:rsidRDefault="00FC36B3" w:rsidP="00FC36B3">
      <w:pPr>
        <w:pStyle w:val="Dotpoint1"/>
        <w:ind w:left="1418" w:hanging="709"/>
      </w:pPr>
      <w:r>
        <w:t>if the entity is an asset owner where the value of assets at the end of the financial year (including the entities it controls) is equal to or greater than $5 billion (or the amount determined under a legislative instrument by the Minister).</w:t>
      </w:r>
    </w:p>
    <w:p w14:paraId="724E3B3F" w14:textId="77AB0E78" w:rsidR="00FC36B3" w:rsidRPr="005179D8" w:rsidRDefault="00FC36B3" w:rsidP="00FC36B3">
      <w:pPr>
        <w:pStyle w:val="Dotpoint2"/>
        <w:numPr>
          <w:ilvl w:val="0"/>
          <w:numId w:val="0"/>
        </w:numPr>
        <w:ind w:firstLine="709"/>
        <w:rPr>
          <w:rStyle w:val="References"/>
        </w:rPr>
      </w:pPr>
      <w:r w:rsidRPr="005179D8">
        <w:rPr>
          <w:rStyle w:val="References"/>
        </w:rPr>
        <w:t>[Schedule #,</w:t>
      </w:r>
      <w:r w:rsidR="00894E6F">
        <w:rPr>
          <w:rStyle w:val="References"/>
        </w:rPr>
        <w:t xml:space="preserve"> </w:t>
      </w:r>
      <w:r w:rsidRPr="005179D8">
        <w:rPr>
          <w:rStyle w:val="References"/>
        </w:rPr>
        <w:t xml:space="preserve">item </w:t>
      </w:r>
      <w:r w:rsidR="00950363">
        <w:rPr>
          <w:rStyle w:val="References"/>
        </w:rPr>
        <w:t>22</w:t>
      </w:r>
      <w:r w:rsidRPr="005179D8">
        <w:rPr>
          <w:rStyle w:val="References"/>
        </w:rPr>
        <w:t>, subsections 292</w:t>
      </w:r>
      <w:proofErr w:type="gramStart"/>
      <w:r w:rsidRPr="005179D8">
        <w:rPr>
          <w:rStyle w:val="References"/>
        </w:rPr>
        <w:t>A(</w:t>
      </w:r>
      <w:proofErr w:type="gramEnd"/>
      <w:r w:rsidRPr="005179D8">
        <w:rPr>
          <w:rStyle w:val="References"/>
        </w:rPr>
        <w:t>1),</w:t>
      </w:r>
      <w:r>
        <w:rPr>
          <w:rStyle w:val="References"/>
        </w:rPr>
        <w:t xml:space="preserve"> (3), (4),</w:t>
      </w:r>
      <w:r w:rsidRPr="005179D8">
        <w:rPr>
          <w:rStyle w:val="References"/>
        </w:rPr>
        <w:t xml:space="preserve"> (6), (7)</w:t>
      </w:r>
      <w:r>
        <w:rPr>
          <w:rStyle w:val="References"/>
        </w:rPr>
        <w:t xml:space="preserve"> and</w:t>
      </w:r>
      <w:r w:rsidRPr="005179D8">
        <w:rPr>
          <w:rStyle w:val="References"/>
        </w:rPr>
        <w:t xml:space="preserve"> (8)]</w:t>
      </w:r>
    </w:p>
    <w:p w14:paraId="3E43DB98" w14:textId="78571BAF" w:rsidR="00FC36B3" w:rsidRDefault="00FC36B3" w:rsidP="00FC36B3">
      <w:pPr>
        <w:pStyle w:val="Normalparatextwithnumbers"/>
      </w:pPr>
      <w:r>
        <w:t>To avoid doubt, where an entity is not covered by the criteria above (</w:t>
      </w:r>
      <w:proofErr w:type="gramStart"/>
      <w:r>
        <w:t>e.g.</w:t>
      </w:r>
      <w:proofErr w:type="gramEnd"/>
      <w:r w:rsidR="006F7C73">
        <w:t> </w:t>
      </w:r>
      <w:r>
        <w:t xml:space="preserve">not generally required to report under Chapter 2M, or does not meet the above tests), they are not required to prepare a sustainability report for a financial year. </w:t>
      </w:r>
    </w:p>
    <w:p w14:paraId="4C4C2BDD" w14:textId="39DA9B8F" w:rsidR="00FC36B3" w:rsidRDefault="00FC36B3" w:rsidP="00FC36B3">
      <w:pPr>
        <w:pStyle w:val="Normalparatextwithnumbers"/>
      </w:pPr>
      <w:r>
        <w:t>Part 4 of this Chapter explains the application of the law with respect to the phased-in approach for financial reporting years commencing between 1</w:t>
      </w:r>
      <w:r w:rsidR="006F7C73">
        <w:t> </w:t>
      </w:r>
      <w:r>
        <w:t>July</w:t>
      </w:r>
      <w:r w:rsidR="006F7C73">
        <w:t> </w:t>
      </w:r>
      <w:r>
        <w:t>2024 to 30 June 2027 (inclusive).</w:t>
      </w:r>
    </w:p>
    <w:bookmarkEnd w:id="49"/>
    <w:p w14:paraId="213B885E" w14:textId="4A344EB2" w:rsidR="00FC36B3" w:rsidRPr="0014160A" w:rsidRDefault="00FC36B3" w:rsidP="00FC36B3">
      <w:pPr>
        <w:pStyle w:val="Heading6"/>
        <w:rPr>
          <w:rStyle w:val="References"/>
          <w:rFonts w:ascii="Helvitica" w:hAnsi="Helvitica" w:hint="eastAsia"/>
          <w:b w:val="0"/>
          <w:bCs w:val="0"/>
          <w:i/>
          <w:iCs w:val="0"/>
        </w:rPr>
      </w:pPr>
      <w:r w:rsidRPr="0014160A">
        <w:rPr>
          <w:rStyle w:val="References"/>
          <w:rFonts w:ascii="Helvitica" w:hAnsi="Helvitica"/>
          <w:b w:val="0"/>
          <w:bCs w:val="0"/>
          <w:i/>
          <w:iCs w:val="0"/>
        </w:rPr>
        <w:t>General rules</w:t>
      </w:r>
      <w:r w:rsidR="006F7C73">
        <w:rPr>
          <w:rStyle w:val="References"/>
          <w:rFonts w:ascii="Helvitica" w:hAnsi="Helvitica"/>
          <w:b w:val="0"/>
          <w:bCs w:val="0"/>
          <w:i/>
          <w:iCs w:val="0"/>
        </w:rPr>
        <w:t xml:space="preserve"> </w:t>
      </w:r>
    </w:p>
    <w:p w14:paraId="03EB31C7" w14:textId="2122C421" w:rsidR="00FC36B3" w:rsidRPr="003C12A2" w:rsidRDefault="00FC36B3" w:rsidP="00FC36B3">
      <w:pPr>
        <w:pStyle w:val="Normalparatextwithnumbers"/>
        <w:rPr>
          <w:rStyle w:val="References"/>
        </w:rPr>
      </w:pPr>
      <w:r w:rsidRPr="003F0548">
        <w:rPr>
          <w:rStyle w:val="References"/>
          <w:b w:val="0"/>
          <w:bCs w:val="0"/>
          <w:i w:val="0"/>
          <w:iCs w:val="0"/>
        </w:rPr>
        <w:t xml:space="preserve">When counting employees, part-time employees should be </w:t>
      </w:r>
      <w:proofErr w:type="gramStart"/>
      <w:r w:rsidRPr="003F0548">
        <w:rPr>
          <w:rStyle w:val="References"/>
          <w:b w:val="0"/>
          <w:bCs w:val="0"/>
          <w:i w:val="0"/>
          <w:iCs w:val="0"/>
        </w:rPr>
        <w:t>taken into account</w:t>
      </w:r>
      <w:proofErr w:type="gramEnd"/>
      <w:r w:rsidRPr="003F0548">
        <w:rPr>
          <w:rStyle w:val="References"/>
          <w:b w:val="0"/>
          <w:bCs w:val="0"/>
          <w:i w:val="0"/>
          <w:iCs w:val="0"/>
        </w:rPr>
        <w:t xml:space="preserve"> as an appropriate fraction of a full-time equivalent. </w:t>
      </w:r>
      <w:r>
        <w:rPr>
          <w:rStyle w:val="References"/>
        </w:rPr>
        <w:br/>
      </w:r>
      <w:r w:rsidR="006F7C73">
        <w:rPr>
          <w:rStyle w:val="References"/>
        </w:rPr>
        <w:t>[</w:t>
      </w:r>
      <w:r w:rsidRPr="007077D5">
        <w:rPr>
          <w:rStyle w:val="References"/>
        </w:rPr>
        <w:t>Schedule #,</w:t>
      </w:r>
      <w:r w:rsidR="00894E6F">
        <w:rPr>
          <w:rStyle w:val="References"/>
        </w:rPr>
        <w:t xml:space="preserve"> </w:t>
      </w:r>
      <w:r w:rsidRPr="007077D5">
        <w:rPr>
          <w:rStyle w:val="References"/>
        </w:rPr>
        <w:t xml:space="preserve">item </w:t>
      </w:r>
      <w:r w:rsidR="006F7C73">
        <w:rPr>
          <w:rStyle w:val="References"/>
        </w:rPr>
        <w:t>22</w:t>
      </w:r>
      <w:r w:rsidRPr="007077D5">
        <w:rPr>
          <w:rStyle w:val="References"/>
        </w:rPr>
        <w:t>, subsection 292</w:t>
      </w:r>
      <w:proofErr w:type="gramStart"/>
      <w:r w:rsidRPr="007077D5">
        <w:rPr>
          <w:rStyle w:val="References"/>
        </w:rPr>
        <w:t>A(</w:t>
      </w:r>
      <w:proofErr w:type="gramEnd"/>
      <w:r>
        <w:rPr>
          <w:rStyle w:val="References"/>
        </w:rPr>
        <w:t>5</w:t>
      </w:r>
      <w:r w:rsidRPr="007077D5" w:rsidDel="003F0548">
        <w:rPr>
          <w:rStyle w:val="References"/>
        </w:rPr>
        <w:t>)</w:t>
      </w:r>
      <w:r w:rsidRPr="007077D5">
        <w:rPr>
          <w:rStyle w:val="References"/>
        </w:rPr>
        <w:t>]</w:t>
      </w:r>
    </w:p>
    <w:p w14:paraId="70E15889" w14:textId="1377EAF5" w:rsidR="00FC36B3" w:rsidRDefault="00FC36B3" w:rsidP="00FC36B3">
      <w:pPr>
        <w:pStyle w:val="Normalparatextwithnumbers"/>
        <w:rPr>
          <w:rStyle w:val="References"/>
          <w:i w:val="0"/>
          <w:iCs w:val="0"/>
        </w:rPr>
      </w:pPr>
      <w:r>
        <w:t>To determine whether an entity controls another entity in relation to sustainability reports,</w:t>
      </w:r>
      <w:r w:rsidR="00DE686F">
        <w:t xml:space="preserve"> reference is made to</w:t>
      </w:r>
      <w:r>
        <w:t xml:space="preserve"> the accounting standards made for financial statements, even if these standards do not apply to the entity. </w:t>
      </w:r>
      <w:r>
        <w:br/>
      </w:r>
      <w:r w:rsidRPr="007600F7">
        <w:rPr>
          <w:rStyle w:val="References"/>
        </w:rPr>
        <w:t xml:space="preserve">[Schedule </w:t>
      </w:r>
      <w:r>
        <w:rPr>
          <w:rStyle w:val="References"/>
        </w:rPr>
        <w:t>#</w:t>
      </w:r>
      <w:r w:rsidRPr="007600F7">
        <w:rPr>
          <w:rStyle w:val="References"/>
        </w:rPr>
        <w:t>,</w:t>
      </w:r>
      <w:r w:rsidR="00894E6F">
        <w:rPr>
          <w:rStyle w:val="References"/>
        </w:rPr>
        <w:t xml:space="preserve"> </w:t>
      </w:r>
      <w:r w:rsidRPr="007600F7">
        <w:rPr>
          <w:rStyle w:val="References"/>
        </w:rPr>
        <w:t>item</w:t>
      </w:r>
      <w:r>
        <w:rPr>
          <w:rStyle w:val="References"/>
        </w:rPr>
        <w:t xml:space="preserve"> </w:t>
      </w:r>
      <w:r w:rsidR="007B1C76">
        <w:rPr>
          <w:rStyle w:val="References"/>
        </w:rPr>
        <w:t>22</w:t>
      </w:r>
      <w:r w:rsidRPr="007600F7">
        <w:rPr>
          <w:rStyle w:val="References"/>
        </w:rPr>
        <w:t xml:space="preserve">, </w:t>
      </w:r>
      <w:r>
        <w:rPr>
          <w:rStyle w:val="References"/>
        </w:rPr>
        <w:t xml:space="preserve">paragraph 292A(9)(a)] </w:t>
      </w:r>
    </w:p>
    <w:p w14:paraId="100E7749" w14:textId="4D0B08AD" w:rsidR="00FC36B3" w:rsidRDefault="00FC36B3" w:rsidP="00FC36B3">
      <w:pPr>
        <w:pStyle w:val="Normalparatextwithnumbers"/>
      </w:pPr>
      <w:bookmarkStart w:id="51" w:name="_Ref153270264"/>
      <w:r>
        <w:t xml:space="preserve">Calculating consolidated revenue and the value of consolidated gross assets for the purpose of determining if an entity must provide an annual sustainability disclosure report must be done in accordance with the accounting standard in force at the relevant time. This </w:t>
      </w:r>
      <w:r w:rsidR="00BA02E7">
        <w:t xml:space="preserve">applies </w:t>
      </w:r>
      <w:r>
        <w:t xml:space="preserve">even if the standard does not otherwise apply to the financial year or some of the entities concerned. </w:t>
      </w:r>
      <w:r>
        <w:br/>
      </w:r>
      <w:r w:rsidRPr="007600F7">
        <w:rPr>
          <w:rStyle w:val="References"/>
        </w:rPr>
        <w:t xml:space="preserve">[Schedule </w:t>
      </w:r>
      <w:r>
        <w:rPr>
          <w:rStyle w:val="References"/>
        </w:rPr>
        <w:t>#</w:t>
      </w:r>
      <w:r w:rsidRPr="007600F7">
        <w:rPr>
          <w:rStyle w:val="References"/>
        </w:rPr>
        <w:t>,</w:t>
      </w:r>
      <w:r w:rsidR="00894E6F">
        <w:rPr>
          <w:rStyle w:val="References"/>
        </w:rPr>
        <w:t xml:space="preserve"> </w:t>
      </w:r>
      <w:r w:rsidRPr="007600F7">
        <w:rPr>
          <w:rStyle w:val="References"/>
        </w:rPr>
        <w:t>item</w:t>
      </w:r>
      <w:r>
        <w:rPr>
          <w:rStyle w:val="References"/>
        </w:rPr>
        <w:t xml:space="preserve"> </w:t>
      </w:r>
      <w:r w:rsidR="00BA02E7">
        <w:rPr>
          <w:rStyle w:val="References"/>
        </w:rPr>
        <w:t>22</w:t>
      </w:r>
      <w:r w:rsidRPr="007600F7">
        <w:rPr>
          <w:rStyle w:val="References"/>
        </w:rPr>
        <w:t>,</w:t>
      </w:r>
      <w:r>
        <w:rPr>
          <w:rStyle w:val="References"/>
        </w:rPr>
        <w:t xml:space="preserve"> </w:t>
      </w:r>
      <w:bookmarkEnd w:id="51"/>
      <w:r>
        <w:rPr>
          <w:rStyle w:val="References"/>
        </w:rPr>
        <w:t>paragraph 292A(9)(b))</w:t>
      </w:r>
      <w:r w:rsidRPr="007600F7">
        <w:rPr>
          <w:rStyle w:val="References"/>
        </w:rPr>
        <w:t xml:space="preserve">] </w:t>
      </w:r>
    </w:p>
    <w:p w14:paraId="1602D435" w14:textId="77777777" w:rsidR="00FC36B3" w:rsidRDefault="00FC36B3" w:rsidP="00FC36B3">
      <w:pPr>
        <w:pStyle w:val="Heading6"/>
        <w:rPr>
          <w:rFonts w:hint="eastAsia"/>
        </w:rPr>
      </w:pPr>
      <w:r>
        <w:t>Consolidated reporting for sustainability reports</w:t>
      </w:r>
    </w:p>
    <w:p w14:paraId="0593C0EF" w14:textId="6CCF96DD" w:rsidR="00FC36B3" w:rsidRDefault="00FC36B3" w:rsidP="00FC36B3">
      <w:pPr>
        <w:pStyle w:val="Normalparatextwithnumbers"/>
      </w:pPr>
      <w:r>
        <w:t>If the entity is required to prepare financial statements on a consolidated basis, it may choose to prepare a sustainability report on a consolidated basis (as the group head). This provision is intended to streamline general reporting requirements and treat the two reporting requirements (sustainability and financial) in a consistent manner. Where this occurs, each individual entity that is otherwise required to prepare a sustainability report would not need to, if the group head’s sustainability report covers those individual entities in the consolidated sustainability report.</w:t>
      </w:r>
      <w:r>
        <w:br/>
      </w:r>
      <w:r w:rsidRPr="006C342E">
        <w:rPr>
          <w:rStyle w:val="References"/>
        </w:rPr>
        <w:t>[Schedule #,</w:t>
      </w:r>
      <w:r w:rsidR="00894E6F">
        <w:rPr>
          <w:rStyle w:val="References"/>
        </w:rPr>
        <w:t xml:space="preserve"> </w:t>
      </w:r>
      <w:r w:rsidRPr="006C342E">
        <w:rPr>
          <w:rStyle w:val="References"/>
        </w:rPr>
        <w:t xml:space="preserve">item </w:t>
      </w:r>
      <w:r w:rsidR="00740368">
        <w:rPr>
          <w:rStyle w:val="References"/>
        </w:rPr>
        <w:t>22</w:t>
      </w:r>
      <w:r w:rsidRPr="006C342E">
        <w:rPr>
          <w:rStyle w:val="References"/>
        </w:rPr>
        <w:t>, subsection 292</w:t>
      </w:r>
      <w:proofErr w:type="gramStart"/>
      <w:r w:rsidRPr="006C342E">
        <w:rPr>
          <w:rStyle w:val="References"/>
        </w:rPr>
        <w:t>A(</w:t>
      </w:r>
      <w:proofErr w:type="gramEnd"/>
      <w:r>
        <w:rPr>
          <w:rStyle w:val="References"/>
        </w:rPr>
        <w:t>2</w:t>
      </w:r>
      <w:r w:rsidRPr="006C342E">
        <w:rPr>
          <w:rStyle w:val="References"/>
        </w:rPr>
        <w:t>)]</w:t>
      </w:r>
    </w:p>
    <w:p w14:paraId="105D55D6" w14:textId="77777777" w:rsidR="00FC36B3" w:rsidRDefault="00FC36B3" w:rsidP="00FC36B3">
      <w:pPr>
        <w:pStyle w:val="Normalparatextwithnumbers"/>
      </w:pPr>
      <w:r>
        <w:t>Determining if one entity controls another must be in accordance with the accounting standards for financial statements in relation to consolidated entities. This reduces unnecessary duplication and inefficiency in reporting and reflects the fact that other entities within the same corporate group may be better placed to consolidate information.</w:t>
      </w:r>
    </w:p>
    <w:p w14:paraId="67B2B161" w14:textId="77777777" w:rsidR="00FC36B3" w:rsidRDefault="00FC36B3" w:rsidP="00FC36B3">
      <w:pPr>
        <w:pStyle w:val="Normalparatextwithnumbers"/>
      </w:pPr>
      <w:r>
        <w:t>Whether an entity may choose to prepare a sustainability report on a consolidated basis is dependent on whether the entity prepares a financial statement on a consolidated basis.</w:t>
      </w:r>
      <w:r w:rsidRPr="00AA681C">
        <w:rPr>
          <w:rStyle w:val="References"/>
        </w:rPr>
        <w:t xml:space="preserve"> </w:t>
      </w:r>
    </w:p>
    <w:p w14:paraId="4D4BD0BF" w14:textId="77777777" w:rsidR="00FC36B3" w:rsidRDefault="00FC36B3" w:rsidP="00FC36B3">
      <w:pPr>
        <w:pStyle w:val="Heading5"/>
        <w:numPr>
          <w:ilvl w:val="0"/>
          <w:numId w:val="0"/>
        </w:numPr>
      </w:pPr>
      <w:r>
        <w:t xml:space="preserve">The new sustainability </w:t>
      </w:r>
      <w:proofErr w:type="gramStart"/>
      <w:r>
        <w:t>report</w:t>
      </w:r>
      <w:proofErr w:type="gramEnd"/>
    </w:p>
    <w:p w14:paraId="7094088C" w14:textId="77777777" w:rsidR="00FC36B3" w:rsidRDefault="00FC36B3" w:rsidP="00FC36B3">
      <w:pPr>
        <w:pStyle w:val="Normalparatextwithnumbers"/>
      </w:pPr>
      <w:r>
        <w:t xml:space="preserve">An annual sustainability report for a financial year consists of: </w:t>
      </w:r>
    </w:p>
    <w:p w14:paraId="7A18E8E7" w14:textId="77777777" w:rsidR="00FC36B3" w:rsidRDefault="00FC36B3" w:rsidP="00FC36B3">
      <w:pPr>
        <w:pStyle w:val="Dotpoint1"/>
        <w:ind w:left="1418" w:hanging="709"/>
      </w:pPr>
      <w:r>
        <w:t xml:space="preserve">the climate </w:t>
      </w:r>
      <w:proofErr w:type="gramStart"/>
      <w:r>
        <w:t>statement;</w:t>
      </w:r>
      <w:proofErr w:type="gramEnd"/>
      <w:r>
        <w:t xml:space="preserve"> </w:t>
      </w:r>
    </w:p>
    <w:p w14:paraId="28ABE479" w14:textId="77777777" w:rsidR="00FC36B3" w:rsidRDefault="00FC36B3" w:rsidP="00FC36B3">
      <w:pPr>
        <w:pStyle w:val="Dotpoint1"/>
        <w:ind w:left="1418" w:hanging="709"/>
      </w:pPr>
      <w:r>
        <w:t>notes to the climate statement (if any</w:t>
      </w:r>
      <w:proofErr w:type="gramStart"/>
      <w:r>
        <w:t>);</w:t>
      </w:r>
      <w:proofErr w:type="gramEnd"/>
    </w:p>
    <w:p w14:paraId="6568C7DA" w14:textId="77777777" w:rsidR="00FC36B3" w:rsidRDefault="00FC36B3" w:rsidP="00FC36B3">
      <w:pPr>
        <w:pStyle w:val="Dotpoint1"/>
        <w:ind w:left="1418" w:hanging="709"/>
      </w:pPr>
      <w:r>
        <w:t>any statements required a legislative instrument by the Minister relating to matters concerning environmental sustainability; and</w:t>
      </w:r>
    </w:p>
    <w:p w14:paraId="7FC7E47C" w14:textId="77777777" w:rsidR="00FC36B3" w:rsidRDefault="00FC36B3" w:rsidP="00FC36B3">
      <w:pPr>
        <w:pStyle w:val="Dotpoint1"/>
        <w:ind w:left="1418" w:hanging="709"/>
      </w:pPr>
      <w:r>
        <w:t>the directors’ declaration about the statements and notes.</w:t>
      </w:r>
    </w:p>
    <w:p w14:paraId="329577A3" w14:textId="148D9405" w:rsidR="00FC36B3" w:rsidRPr="00D43E37" w:rsidRDefault="00FC36B3" w:rsidP="00FC36B3">
      <w:pPr>
        <w:pStyle w:val="Normalparatextwithnumbers"/>
        <w:numPr>
          <w:ilvl w:val="0"/>
          <w:numId w:val="0"/>
        </w:numPr>
        <w:ind w:left="709"/>
        <w:rPr>
          <w:rStyle w:val="References"/>
        </w:rPr>
      </w:pPr>
      <w:r w:rsidRPr="00D43E37">
        <w:rPr>
          <w:rStyle w:val="References"/>
        </w:rPr>
        <w:t>[Schedule #,</w:t>
      </w:r>
      <w:r w:rsidR="00894E6F">
        <w:rPr>
          <w:rStyle w:val="References"/>
        </w:rPr>
        <w:t xml:space="preserve"> </w:t>
      </w:r>
      <w:r w:rsidRPr="00D43E37">
        <w:rPr>
          <w:rStyle w:val="References"/>
        </w:rPr>
        <w:t>item 2</w:t>
      </w:r>
      <w:r w:rsidR="005713BB">
        <w:rPr>
          <w:rStyle w:val="References"/>
        </w:rPr>
        <w:t>3</w:t>
      </w:r>
      <w:r w:rsidRPr="00D43E37">
        <w:rPr>
          <w:rStyle w:val="References"/>
        </w:rPr>
        <w:t>, subsection</w:t>
      </w:r>
      <w:r>
        <w:rPr>
          <w:rStyle w:val="References"/>
        </w:rPr>
        <w:t>s</w:t>
      </w:r>
      <w:r w:rsidRPr="00D43E37">
        <w:rPr>
          <w:rStyle w:val="References"/>
        </w:rPr>
        <w:t xml:space="preserve"> 296</w:t>
      </w:r>
      <w:proofErr w:type="gramStart"/>
      <w:r w:rsidRPr="00D43E37">
        <w:rPr>
          <w:rStyle w:val="References"/>
        </w:rPr>
        <w:t>A(</w:t>
      </w:r>
      <w:proofErr w:type="gramEnd"/>
      <w:r w:rsidRPr="00D43E37">
        <w:rPr>
          <w:rStyle w:val="References"/>
        </w:rPr>
        <w:t>1)</w:t>
      </w:r>
      <w:r>
        <w:rPr>
          <w:rStyle w:val="References"/>
        </w:rPr>
        <w:t xml:space="preserve"> and (3)</w:t>
      </w:r>
      <w:r w:rsidRPr="00D43E37">
        <w:rPr>
          <w:rStyle w:val="References"/>
        </w:rPr>
        <w:t>]</w:t>
      </w:r>
    </w:p>
    <w:p w14:paraId="2B1B752B" w14:textId="77777777" w:rsidR="00FC36B3" w:rsidRDefault="00FC36B3" w:rsidP="00FC36B3">
      <w:pPr>
        <w:pStyle w:val="Heading6"/>
        <w:rPr>
          <w:rFonts w:hint="eastAsia"/>
        </w:rPr>
      </w:pPr>
      <w:r>
        <w:t>Climate statements</w:t>
      </w:r>
    </w:p>
    <w:p w14:paraId="576ABB00" w14:textId="0711E08A" w:rsidR="00FC36B3" w:rsidRPr="00396257" w:rsidRDefault="00FC36B3" w:rsidP="00FC36B3">
      <w:pPr>
        <w:pStyle w:val="Normalparatextwithnumbers"/>
      </w:pPr>
      <w:r>
        <w:t xml:space="preserve">The climate statement of a sustainability report must be prepared in a manner consistent with the relevant sustainability standards. </w:t>
      </w:r>
      <w:r>
        <w:br/>
      </w:r>
      <w:r w:rsidRPr="008914C0">
        <w:rPr>
          <w:rStyle w:val="References"/>
        </w:rPr>
        <w:t>[Schedule #,</w:t>
      </w:r>
      <w:r w:rsidR="00894E6F">
        <w:rPr>
          <w:rStyle w:val="References"/>
        </w:rPr>
        <w:t xml:space="preserve"> </w:t>
      </w:r>
      <w:r w:rsidRPr="008914C0">
        <w:rPr>
          <w:rStyle w:val="References"/>
        </w:rPr>
        <w:t>item 2</w:t>
      </w:r>
      <w:r w:rsidR="000806D6">
        <w:rPr>
          <w:rStyle w:val="References"/>
        </w:rPr>
        <w:t>3</w:t>
      </w:r>
      <w:r w:rsidRPr="008914C0">
        <w:rPr>
          <w:rStyle w:val="References"/>
        </w:rPr>
        <w:t>, subsection 296</w:t>
      </w:r>
      <w:proofErr w:type="gramStart"/>
      <w:r w:rsidRPr="008914C0">
        <w:rPr>
          <w:rStyle w:val="References"/>
        </w:rPr>
        <w:t>A(</w:t>
      </w:r>
      <w:proofErr w:type="gramEnd"/>
      <w:r w:rsidRPr="008914C0">
        <w:rPr>
          <w:rStyle w:val="References"/>
        </w:rPr>
        <w:t>2)]</w:t>
      </w:r>
    </w:p>
    <w:p w14:paraId="3494DAAC" w14:textId="77777777" w:rsidR="00FC36B3" w:rsidRDefault="00FC36B3" w:rsidP="00FC36B3">
      <w:pPr>
        <w:pStyle w:val="Normalparatextwithnumbers"/>
        <w:rPr>
          <w:rStyle w:val="References"/>
        </w:rPr>
      </w:pPr>
      <w:r>
        <w:t>The climate statement must include the following disclosures for the financial year, which is expected to be covered by the sustainability standards that relate to climate:</w:t>
      </w:r>
    </w:p>
    <w:p w14:paraId="4D95D2FF" w14:textId="77777777" w:rsidR="00FC36B3" w:rsidRDefault="00FC36B3" w:rsidP="00FC36B3">
      <w:pPr>
        <w:pStyle w:val="Dotpoint1"/>
        <w:ind w:left="1418" w:hanging="709"/>
      </w:pPr>
      <w:r>
        <w:t>material climate-related financial risks and opportunities</w:t>
      </w:r>
      <w:r w:rsidRPr="00903231">
        <w:t xml:space="preserve"> </w:t>
      </w:r>
      <w:r>
        <w:t xml:space="preserve">the entity </w:t>
      </w:r>
      <w:proofErr w:type="gramStart"/>
      <w:r>
        <w:t>faces;</w:t>
      </w:r>
      <w:proofErr w:type="gramEnd"/>
    </w:p>
    <w:p w14:paraId="07CC6AAA" w14:textId="53DFB2C6" w:rsidR="00FC36B3" w:rsidRDefault="00FC36B3" w:rsidP="00FC36B3">
      <w:pPr>
        <w:pStyle w:val="Dotpoint1"/>
        <w:ind w:left="1418" w:hanging="709"/>
      </w:pPr>
      <w:r>
        <w:t>any metrics and targets of the entity related to climate, including scope</w:t>
      </w:r>
      <w:r w:rsidR="000806D6">
        <w:t> </w:t>
      </w:r>
      <w:r>
        <w:t>1, 2 and 3 emissions of greenhouse gas; and</w:t>
      </w:r>
    </w:p>
    <w:p w14:paraId="4824B00F" w14:textId="77777777" w:rsidR="00FC36B3" w:rsidRDefault="00FC36B3" w:rsidP="00FC36B3">
      <w:pPr>
        <w:pStyle w:val="Dotpoint1"/>
        <w:ind w:left="1418" w:hanging="709"/>
      </w:pPr>
      <w:r>
        <w:t>any governance or risk management processes, controls and procedures of the entity related to these matters.</w:t>
      </w:r>
    </w:p>
    <w:p w14:paraId="4283010C" w14:textId="1761D602" w:rsidR="00FC36B3" w:rsidRDefault="00FC36B3" w:rsidP="00FC36B3">
      <w:pPr>
        <w:pStyle w:val="Normalparatextwithnumbers"/>
        <w:numPr>
          <w:ilvl w:val="0"/>
          <w:numId w:val="0"/>
        </w:numPr>
        <w:ind w:left="709"/>
        <w:rPr>
          <w:rStyle w:val="References"/>
        </w:rPr>
      </w:pPr>
      <w:r w:rsidRPr="00DF3CDE">
        <w:rPr>
          <w:rStyle w:val="References"/>
        </w:rPr>
        <w:t>[Schedule #,</w:t>
      </w:r>
      <w:r w:rsidR="00894E6F">
        <w:rPr>
          <w:rStyle w:val="References"/>
        </w:rPr>
        <w:t xml:space="preserve"> </w:t>
      </w:r>
      <w:r w:rsidRPr="00DF3CDE">
        <w:rPr>
          <w:rStyle w:val="References"/>
        </w:rPr>
        <w:t>item 2</w:t>
      </w:r>
      <w:r w:rsidR="003D0D2F">
        <w:rPr>
          <w:rStyle w:val="References"/>
        </w:rPr>
        <w:t>3</w:t>
      </w:r>
      <w:r w:rsidRPr="00DF3CDE">
        <w:rPr>
          <w:rStyle w:val="References"/>
        </w:rPr>
        <w:t>, section 296D]</w:t>
      </w:r>
    </w:p>
    <w:p w14:paraId="5342B13F" w14:textId="07F0EF3A" w:rsidR="000219D2" w:rsidRPr="00940233" w:rsidRDefault="00550A18" w:rsidP="000219D2">
      <w:pPr>
        <w:pStyle w:val="Normalparatextwithnumbers"/>
        <w:rPr>
          <w:rStyle w:val="References"/>
        </w:rPr>
      </w:pPr>
      <w:r>
        <w:rPr>
          <w:rStyle w:val="References"/>
          <w:b w:val="0"/>
          <w:bCs w:val="0"/>
          <w:i w:val="0"/>
          <w:iCs w:val="0"/>
        </w:rPr>
        <w:t xml:space="preserve">Whether something is a material risk </w:t>
      </w:r>
      <w:r w:rsidR="00FA0BE5">
        <w:rPr>
          <w:rStyle w:val="References"/>
          <w:b w:val="0"/>
          <w:bCs w:val="0"/>
          <w:i w:val="0"/>
          <w:iCs w:val="0"/>
        </w:rPr>
        <w:t xml:space="preserve">or opportunity </w:t>
      </w:r>
      <w:r w:rsidR="00D83FA6">
        <w:rPr>
          <w:rStyle w:val="References"/>
          <w:b w:val="0"/>
          <w:bCs w:val="0"/>
          <w:i w:val="0"/>
          <w:iCs w:val="0"/>
        </w:rPr>
        <w:t xml:space="preserve">is determined in accordance with the </w:t>
      </w:r>
      <w:r w:rsidR="00FC2028">
        <w:rPr>
          <w:rStyle w:val="References"/>
          <w:b w:val="0"/>
          <w:bCs w:val="0"/>
          <w:i w:val="0"/>
          <w:iCs w:val="0"/>
        </w:rPr>
        <w:t>sustainability standards</w:t>
      </w:r>
      <w:r w:rsidR="00E179A9">
        <w:rPr>
          <w:rStyle w:val="References"/>
          <w:b w:val="0"/>
          <w:bCs w:val="0"/>
          <w:i w:val="0"/>
          <w:iCs w:val="0"/>
        </w:rPr>
        <w:t>.</w:t>
      </w:r>
      <w:r w:rsidR="008A7765">
        <w:rPr>
          <w:rStyle w:val="References"/>
          <w:b w:val="0"/>
          <w:bCs w:val="0"/>
          <w:i w:val="0"/>
          <w:iCs w:val="0"/>
        </w:rPr>
        <w:br/>
      </w:r>
      <w:r w:rsidR="008A7765" w:rsidRPr="00940233">
        <w:rPr>
          <w:rStyle w:val="References"/>
        </w:rPr>
        <w:t>[Schedule #,</w:t>
      </w:r>
      <w:r w:rsidR="00894E6F">
        <w:rPr>
          <w:rStyle w:val="References"/>
        </w:rPr>
        <w:t xml:space="preserve"> </w:t>
      </w:r>
      <w:r w:rsidR="004944AB" w:rsidRPr="00940233">
        <w:rPr>
          <w:rStyle w:val="References"/>
        </w:rPr>
        <w:t xml:space="preserve">item 20, subsection </w:t>
      </w:r>
      <w:r w:rsidR="00927F7F" w:rsidRPr="00940233">
        <w:rPr>
          <w:rStyle w:val="References"/>
        </w:rPr>
        <w:t>296</w:t>
      </w:r>
      <w:proofErr w:type="gramStart"/>
      <w:r w:rsidR="00927F7F" w:rsidRPr="00940233">
        <w:rPr>
          <w:rStyle w:val="References"/>
        </w:rPr>
        <w:t>D(</w:t>
      </w:r>
      <w:proofErr w:type="gramEnd"/>
      <w:r w:rsidR="00927F7F" w:rsidRPr="00940233">
        <w:rPr>
          <w:rStyle w:val="References"/>
        </w:rPr>
        <w:t>2)</w:t>
      </w:r>
      <w:r w:rsidR="008A7765" w:rsidRPr="00940233">
        <w:rPr>
          <w:rStyle w:val="References"/>
        </w:rPr>
        <w:t>]</w:t>
      </w:r>
    </w:p>
    <w:p w14:paraId="53AA8820" w14:textId="0BAE6F6C" w:rsidR="00E179A9" w:rsidRPr="00DF3CDE" w:rsidRDefault="00C651C0" w:rsidP="00940233">
      <w:pPr>
        <w:pStyle w:val="Normalparatextwithnumbers"/>
        <w:rPr>
          <w:rStyle w:val="References"/>
        </w:rPr>
      </w:pPr>
      <w:r>
        <w:rPr>
          <w:rStyle w:val="References"/>
          <w:b w:val="0"/>
          <w:bCs w:val="0"/>
          <w:i w:val="0"/>
          <w:iCs w:val="0"/>
        </w:rPr>
        <w:t xml:space="preserve">Disclosure of the quantity of scope 3 emissions </w:t>
      </w:r>
      <w:r w:rsidR="00474DBB">
        <w:rPr>
          <w:rStyle w:val="References"/>
          <w:b w:val="0"/>
          <w:bCs w:val="0"/>
          <w:i w:val="0"/>
          <w:iCs w:val="0"/>
        </w:rPr>
        <w:t xml:space="preserve">do not apply to the first </w:t>
      </w:r>
      <w:r w:rsidR="00033CDA">
        <w:rPr>
          <w:rStyle w:val="References"/>
          <w:b w:val="0"/>
          <w:bCs w:val="0"/>
          <w:i w:val="0"/>
          <w:iCs w:val="0"/>
        </w:rPr>
        <w:t xml:space="preserve">year an entity is required to prepare </w:t>
      </w:r>
      <w:r w:rsidR="008A7765">
        <w:rPr>
          <w:rStyle w:val="References"/>
          <w:b w:val="0"/>
          <w:bCs w:val="0"/>
          <w:i w:val="0"/>
          <w:iCs w:val="0"/>
        </w:rPr>
        <w:t>climate statements.</w:t>
      </w:r>
      <w:r w:rsidR="00927F7F">
        <w:rPr>
          <w:rStyle w:val="References"/>
          <w:b w:val="0"/>
          <w:bCs w:val="0"/>
          <w:i w:val="0"/>
          <w:iCs w:val="0"/>
        </w:rPr>
        <w:br/>
      </w:r>
      <w:r w:rsidR="00927F7F" w:rsidRPr="00940233">
        <w:rPr>
          <w:rStyle w:val="References"/>
        </w:rPr>
        <w:t>[Schedule #,</w:t>
      </w:r>
      <w:r w:rsidR="00894E6F">
        <w:rPr>
          <w:rStyle w:val="References"/>
        </w:rPr>
        <w:t xml:space="preserve"> </w:t>
      </w:r>
      <w:r w:rsidR="00927F7F" w:rsidRPr="00940233">
        <w:rPr>
          <w:rStyle w:val="References"/>
        </w:rPr>
        <w:t xml:space="preserve">item 20, </w:t>
      </w:r>
      <w:r w:rsidR="00AF3474" w:rsidRPr="00940233">
        <w:rPr>
          <w:rStyle w:val="References"/>
        </w:rPr>
        <w:t xml:space="preserve">subsection </w:t>
      </w:r>
      <w:r w:rsidR="0009338A" w:rsidRPr="00940233">
        <w:rPr>
          <w:rStyle w:val="References"/>
        </w:rPr>
        <w:t>296</w:t>
      </w:r>
      <w:proofErr w:type="gramStart"/>
      <w:r w:rsidR="0009338A" w:rsidRPr="00940233">
        <w:rPr>
          <w:rStyle w:val="References"/>
        </w:rPr>
        <w:t>D(</w:t>
      </w:r>
      <w:proofErr w:type="gramEnd"/>
      <w:r w:rsidR="0009338A" w:rsidRPr="00940233">
        <w:rPr>
          <w:rStyle w:val="References"/>
        </w:rPr>
        <w:t>3)</w:t>
      </w:r>
      <w:r w:rsidR="00927F7F" w:rsidRPr="00940233">
        <w:rPr>
          <w:rStyle w:val="References"/>
        </w:rPr>
        <w:t>]</w:t>
      </w:r>
    </w:p>
    <w:p w14:paraId="36CBFBC8" w14:textId="77777777" w:rsidR="00FC36B3" w:rsidRPr="00D43E37" w:rsidRDefault="00FC36B3" w:rsidP="00FC36B3">
      <w:pPr>
        <w:pStyle w:val="Heading6"/>
        <w:rPr>
          <w:rStyle w:val="References"/>
          <w:i/>
        </w:rPr>
      </w:pPr>
      <w:r>
        <w:t>Other statements relating to matters concerning environmental sustainability</w:t>
      </w:r>
    </w:p>
    <w:p w14:paraId="4A86FA01" w14:textId="22009000" w:rsidR="00FC36B3" w:rsidRDefault="00FC36B3" w:rsidP="00FC36B3">
      <w:pPr>
        <w:pStyle w:val="Normalparatextwithnumbers"/>
      </w:pPr>
      <w:r>
        <w:t xml:space="preserve">As part of sustainability reporting, the Minister may make rules to require other statements relating to environmental sustainability-related financial matters to be included as part of the sustainability report. These rules may also prescribe for statements to be prepared on a consolidated basis. </w:t>
      </w:r>
      <w:r>
        <w:br/>
      </w:r>
      <w:r w:rsidRPr="00AC28A2">
        <w:rPr>
          <w:rStyle w:val="References"/>
        </w:rPr>
        <w:t>[Schedule #,</w:t>
      </w:r>
      <w:r w:rsidR="00894E6F">
        <w:rPr>
          <w:rStyle w:val="References"/>
        </w:rPr>
        <w:t xml:space="preserve"> </w:t>
      </w:r>
      <w:r w:rsidRPr="00AC28A2">
        <w:rPr>
          <w:rStyle w:val="References"/>
        </w:rPr>
        <w:t>item 2</w:t>
      </w:r>
      <w:r w:rsidR="006C0602">
        <w:rPr>
          <w:rStyle w:val="References"/>
        </w:rPr>
        <w:t>3</w:t>
      </w:r>
      <w:r w:rsidRPr="00AC28A2">
        <w:rPr>
          <w:rStyle w:val="References"/>
        </w:rPr>
        <w:t>, subsection 296</w:t>
      </w:r>
      <w:proofErr w:type="gramStart"/>
      <w:r w:rsidRPr="00AC28A2">
        <w:rPr>
          <w:rStyle w:val="References"/>
        </w:rPr>
        <w:t>A(</w:t>
      </w:r>
      <w:proofErr w:type="gramEnd"/>
      <w:r>
        <w:rPr>
          <w:rStyle w:val="References"/>
        </w:rPr>
        <w:t>3</w:t>
      </w:r>
      <w:r w:rsidRPr="00AC28A2">
        <w:rPr>
          <w:rStyle w:val="References"/>
        </w:rPr>
        <w:t>)]</w:t>
      </w:r>
    </w:p>
    <w:p w14:paraId="3731C3BE" w14:textId="77777777" w:rsidR="00FC36B3" w:rsidRPr="0071063A" w:rsidRDefault="00FC36B3" w:rsidP="00FC36B3">
      <w:pPr>
        <w:pStyle w:val="Heading6"/>
        <w:rPr>
          <w:rFonts w:hint="eastAsia"/>
        </w:rPr>
      </w:pPr>
      <w:r w:rsidRPr="0071063A">
        <w:t>Notes to climate statements</w:t>
      </w:r>
    </w:p>
    <w:p w14:paraId="0B2F1F87" w14:textId="77777777" w:rsidR="00FC36B3" w:rsidRPr="00DF3CDE" w:rsidRDefault="00FC36B3" w:rsidP="00FC36B3">
      <w:pPr>
        <w:pStyle w:val="Normalparatextwithnumbers"/>
        <w:rPr>
          <w:i/>
          <w:iCs/>
        </w:rPr>
      </w:pPr>
      <w:r w:rsidRPr="00DF3CDE">
        <w:t>The notes</w:t>
      </w:r>
      <w:r>
        <w:t xml:space="preserve"> to a climate statement must include </w:t>
      </w:r>
      <w:proofErr w:type="gramStart"/>
      <w:r>
        <w:t>all of</w:t>
      </w:r>
      <w:proofErr w:type="gramEnd"/>
      <w:r>
        <w:t xml:space="preserve"> the following:</w:t>
      </w:r>
    </w:p>
    <w:p w14:paraId="29D926CE" w14:textId="77777777" w:rsidR="00FC36B3" w:rsidRDefault="00FC36B3" w:rsidP="00FC36B3">
      <w:pPr>
        <w:pStyle w:val="Dotpoint1"/>
        <w:ind w:left="1418" w:hanging="709"/>
      </w:pPr>
      <w:r>
        <w:t xml:space="preserve">any disclosures required by a legislative instrument of the Minister regarding the preparation of, and contents of the climate statement, and other matters concerning environmental </w:t>
      </w:r>
      <w:proofErr w:type="gramStart"/>
      <w:r>
        <w:t>sustainability;</w:t>
      </w:r>
      <w:proofErr w:type="gramEnd"/>
    </w:p>
    <w:p w14:paraId="0AB27F7C" w14:textId="77777777" w:rsidR="00FC36B3" w:rsidRDefault="00FC36B3" w:rsidP="00FC36B3">
      <w:pPr>
        <w:pStyle w:val="Dotpoint1"/>
        <w:ind w:left="1418" w:hanging="709"/>
      </w:pPr>
      <w:r>
        <w:t>any notes required by the sustainability standards in relation to the preparation of, and contents of the climate statement, and other matters concerning environmental sustainability; and</w:t>
      </w:r>
    </w:p>
    <w:p w14:paraId="7CD178EE" w14:textId="77777777" w:rsidR="00FC36B3" w:rsidRPr="00C9227C" w:rsidRDefault="00FC36B3" w:rsidP="00FC36B3">
      <w:pPr>
        <w:pStyle w:val="Dotpoint1"/>
        <w:ind w:left="1418" w:hanging="709"/>
      </w:pPr>
      <w:r>
        <w:t>any notes containing other information necessary to ensure that the statement and notes together meet the requirements under new section 296D.</w:t>
      </w:r>
    </w:p>
    <w:p w14:paraId="0B194E35" w14:textId="5DFB11E5" w:rsidR="00FC36B3" w:rsidRPr="00DF3CDE" w:rsidRDefault="00FC36B3" w:rsidP="00FC36B3">
      <w:pPr>
        <w:pStyle w:val="Normalparatextwithnumbers"/>
        <w:numPr>
          <w:ilvl w:val="0"/>
          <w:numId w:val="0"/>
        </w:numPr>
        <w:ind w:left="709"/>
        <w:rPr>
          <w:rStyle w:val="References"/>
        </w:rPr>
      </w:pPr>
      <w:r w:rsidRPr="00DF3CDE">
        <w:rPr>
          <w:rStyle w:val="References"/>
        </w:rPr>
        <w:t>[</w:t>
      </w:r>
      <w:r>
        <w:rPr>
          <w:rStyle w:val="References"/>
        </w:rPr>
        <w:t>Schedule #,</w:t>
      </w:r>
      <w:r w:rsidR="00894E6F">
        <w:rPr>
          <w:rStyle w:val="References"/>
        </w:rPr>
        <w:t xml:space="preserve"> </w:t>
      </w:r>
      <w:r>
        <w:rPr>
          <w:rStyle w:val="References"/>
        </w:rPr>
        <w:t>item 2</w:t>
      </w:r>
      <w:r w:rsidR="000806D6">
        <w:rPr>
          <w:rStyle w:val="References"/>
        </w:rPr>
        <w:t>3</w:t>
      </w:r>
      <w:r>
        <w:rPr>
          <w:rStyle w:val="References"/>
        </w:rPr>
        <w:t>, subsections 296</w:t>
      </w:r>
      <w:proofErr w:type="gramStart"/>
      <w:r>
        <w:rPr>
          <w:rStyle w:val="References"/>
        </w:rPr>
        <w:t>A(</w:t>
      </w:r>
      <w:proofErr w:type="gramEnd"/>
      <w:r>
        <w:rPr>
          <w:rStyle w:val="References"/>
        </w:rPr>
        <w:t>4) and (5)</w:t>
      </w:r>
      <w:r w:rsidRPr="00DF3CDE">
        <w:rPr>
          <w:rStyle w:val="References"/>
        </w:rPr>
        <w:t>]</w:t>
      </w:r>
    </w:p>
    <w:p w14:paraId="64D9F196" w14:textId="77777777" w:rsidR="00FC36B3" w:rsidRDefault="00FC36B3" w:rsidP="00FC36B3">
      <w:pPr>
        <w:pStyle w:val="Heading6"/>
        <w:rPr>
          <w:rFonts w:hint="eastAsia"/>
        </w:rPr>
      </w:pPr>
      <w:r>
        <w:t>Where there are no material climate-related financial risks or opportunities for smaller entities for a financial year</w:t>
      </w:r>
    </w:p>
    <w:p w14:paraId="1815F963" w14:textId="77777777" w:rsidR="00FC36B3" w:rsidRDefault="00FC36B3" w:rsidP="00FC36B3">
      <w:pPr>
        <w:pStyle w:val="Normalparatextwithnumbers"/>
      </w:pPr>
      <w:r>
        <w:t xml:space="preserve">It is intended that extensive climate statements would not be required for smaller entities who do not have material risks or opportunities for the financial year. If an entity required to prepare a climate statement does not have material climate risks or opportunities for the financial year, the entity’s climate statement will only include a statement to that effect, made in accordance with the sustainability standards that relate to climate. This rule applies only if the following do </w:t>
      </w:r>
      <w:r w:rsidRPr="00F872E5">
        <w:rPr>
          <w:u w:val="single"/>
        </w:rPr>
        <w:t>not</w:t>
      </w:r>
      <w:r>
        <w:t xml:space="preserve"> apply to the entity:</w:t>
      </w:r>
    </w:p>
    <w:p w14:paraId="1E0D020A" w14:textId="77777777" w:rsidR="00FC36B3" w:rsidRDefault="00FC36B3" w:rsidP="00FC36B3">
      <w:pPr>
        <w:pStyle w:val="Dotpoint1"/>
        <w:ind w:left="1418" w:hanging="709"/>
      </w:pPr>
      <w:r>
        <w:t>where the entity meets at least two of the following three criteria:</w:t>
      </w:r>
    </w:p>
    <w:p w14:paraId="74140083" w14:textId="77777777" w:rsidR="00FC36B3" w:rsidRDefault="00FC36B3" w:rsidP="00FC36B3">
      <w:pPr>
        <w:pStyle w:val="Dotpoint2"/>
      </w:pPr>
      <w:r>
        <w:t xml:space="preserve">the consolidated revenue of the entity (and the entities it controls) is equal to or greater than $200 </w:t>
      </w:r>
      <w:proofErr w:type="gramStart"/>
      <w:r>
        <w:t>million;</w:t>
      </w:r>
      <w:proofErr w:type="gramEnd"/>
    </w:p>
    <w:p w14:paraId="3E649B59" w14:textId="77777777" w:rsidR="00FC36B3" w:rsidRDefault="00FC36B3" w:rsidP="00FC36B3">
      <w:pPr>
        <w:pStyle w:val="Dotpoint2"/>
      </w:pPr>
      <w:r>
        <w:t xml:space="preserve">the value of the consolidated gross assets at the end of the financial year of the entity (and the entities it controls) is equal to or greater than $500 </w:t>
      </w:r>
      <w:proofErr w:type="gramStart"/>
      <w:r>
        <w:t>million;</w:t>
      </w:r>
      <w:proofErr w:type="gramEnd"/>
    </w:p>
    <w:p w14:paraId="34A8859E" w14:textId="77777777" w:rsidR="00FC36B3" w:rsidRDefault="00FC36B3" w:rsidP="00FC36B3">
      <w:pPr>
        <w:pStyle w:val="Dotpoint2"/>
      </w:pPr>
      <w:r>
        <w:t>the entity (and the entities it controls) have at the end of the financial year, 250 or more employees; or</w:t>
      </w:r>
    </w:p>
    <w:p w14:paraId="401AC189" w14:textId="77777777" w:rsidR="00FC36B3" w:rsidRDefault="00FC36B3" w:rsidP="00FC36B3">
      <w:pPr>
        <w:pStyle w:val="Dotpoint1"/>
        <w:ind w:left="1418" w:hanging="709"/>
      </w:pPr>
      <w:r>
        <w:t>if the entity is a registered corporation under the NGER Act or required to make an application to be registered under subsection 12(1) of the NGER Act; or</w:t>
      </w:r>
    </w:p>
    <w:p w14:paraId="5D7F7504" w14:textId="77777777" w:rsidR="00FC36B3" w:rsidRDefault="00FC36B3" w:rsidP="00FC36B3">
      <w:pPr>
        <w:pStyle w:val="Dotpoint1"/>
        <w:ind w:left="1418" w:hanging="709"/>
      </w:pPr>
      <w:r>
        <w:t>if the entity is an asset owner where the value of assets at the end of the financial year (including the entities it controls) is equal to or greater than $5 billion.</w:t>
      </w:r>
    </w:p>
    <w:p w14:paraId="7DB908E5" w14:textId="54816B90" w:rsidR="00FC36B3" w:rsidRPr="005179D8" w:rsidRDefault="00FC36B3" w:rsidP="00FC36B3">
      <w:pPr>
        <w:pStyle w:val="Dotpoint2"/>
        <w:numPr>
          <w:ilvl w:val="0"/>
          <w:numId w:val="0"/>
        </w:numPr>
        <w:ind w:firstLine="709"/>
        <w:rPr>
          <w:rStyle w:val="References"/>
        </w:rPr>
      </w:pPr>
      <w:r w:rsidRPr="005179D8">
        <w:rPr>
          <w:rStyle w:val="References"/>
        </w:rPr>
        <w:t>[Schedule #,</w:t>
      </w:r>
      <w:r w:rsidR="00894E6F">
        <w:rPr>
          <w:rStyle w:val="References"/>
        </w:rPr>
        <w:t xml:space="preserve"> </w:t>
      </w:r>
      <w:r w:rsidRPr="005179D8">
        <w:rPr>
          <w:rStyle w:val="References"/>
        </w:rPr>
        <w:t xml:space="preserve">item </w:t>
      </w:r>
      <w:r>
        <w:rPr>
          <w:rStyle w:val="References"/>
        </w:rPr>
        <w:t>2</w:t>
      </w:r>
      <w:r w:rsidR="00ED1AA1">
        <w:rPr>
          <w:rStyle w:val="References"/>
        </w:rPr>
        <w:t>3</w:t>
      </w:r>
      <w:r w:rsidRPr="005179D8">
        <w:rPr>
          <w:rStyle w:val="References"/>
        </w:rPr>
        <w:t>, subsections 29</w:t>
      </w:r>
      <w:r>
        <w:rPr>
          <w:rStyle w:val="References"/>
        </w:rPr>
        <w:t>6</w:t>
      </w:r>
      <w:proofErr w:type="gramStart"/>
      <w:r>
        <w:rPr>
          <w:rStyle w:val="References"/>
        </w:rPr>
        <w:t>B</w:t>
      </w:r>
      <w:r w:rsidRPr="005179D8">
        <w:rPr>
          <w:rStyle w:val="References"/>
        </w:rPr>
        <w:t>(</w:t>
      </w:r>
      <w:proofErr w:type="gramEnd"/>
      <w:r w:rsidRPr="005179D8">
        <w:rPr>
          <w:rStyle w:val="References"/>
        </w:rPr>
        <w:t>1),</w:t>
      </w:r>
      <w:r>
        <w:rPr>
          <w:rStyle w:val="References"/>
        </w:rPr>
        <w:t xml:space="preserve"> (2), (4) and</w:t>
      </w:r>
      <w:r w:rsidRPr="005179D8">
        <w:rPr>
          <w:rStyle w:val="References"/>
        </w:rPr>
        <w:t xml:space="preserve"> (</w:t>
      </w:r>
      <w:r>
        <w:rPr>
          <w:rStyle w:val="References"/>
        </w:rPr>
        <w:t>5</w:t>
      </w:r>
      <w:r w:rsidRPr="005179D8">
        <w:rPr>
          <w:rStyle w:val="References"/>
        </w:rPr>
        <w:t>)]</w:t>
      </w:r>
    </w:p>
    <w:p w14:paraId="3E972F5B" w14:textId="77777777" w:rsidR="00FC36B3" w:rsidRDefault="00FC36B3" w:rsidP="00FC36B3">
      <w:pPr>
        <w:pStyle w:val="Normalparatextwithnumbers"/>
      </w:pPr>
      <w:r>
        <w:t>For clarity, if an entity is required to prepare a sustainability report and does meet those above thresholds, the entity cannot rely on new subsection 296</w:t>
      </w:r>
      <w:proofErr w:type="gramStart"/>
      <w:r>
        <w:t>B(</w:t>
      </w:r>
      <w:proofErr w:type="gramEnd"/>
      <w:r>
        <w:t>1) to only prepare a climate statement to the effect that they have no material climate-related risks or opportunities for the financial year.</w:t>
      </w:r>
    </w:p>
    <w:p w14:paraId="49007AC5" w14:textId="77777777" w:rsidR="00FC36B3" w:rsidRPr="0014160A" w:rsidRDefault="00FC36B3" w:rsidP="00FC36B3">
      <w:pPr>
        <w:pStyle w:val="Heading8"/>
        <w:rPr>
          <w:rStyle w:val="References"/>
          <w:rFonts w:ascii="Helvitica" w:eastAsiaTheme="minorHAnsi" w:hAnsi="Helvitica" w:cstheme="minorBidi"/>
          <w:b w:val="0"/>
        </w:rPr>
      </w:pPr>
      <w:r w:rsidRPr="0014160A">
        <w:rPr>
          <w:rStyle w:val="References"/>
          <w:rFonts w:ascii="Helvitica" w:hAnsi="Helvitica"/>
          <w:b w:val="0"/>
          <w:bCs w:val="0"/>
          <w:i w:val="0"/>
          <w:iCs w:val="0"/>
        </w:rPr>
        <w:t>General rules</w:t>
      </w:r>
    </w:p>
    <w:p w14:paraId="3272A0B3" w14:textId="31303E14" w:rsidR="00FC36B3" w:rsidRPr="003C12A2" w:rsidRDefault="00FC36B3" w:rsidP="00FC36B3">
      <w:pPr>
        <w:pStyle w:val="Normalparatextwithnumbers"/>
        <w:rPr>
          <w:rStyle w:val="References"/>
        </w:rPr>
      </w:pPr>
      <w:r w:rsidRPr="003F0548">
        <w:rPr>
          <w:rStyle w:val="References"/>
          <w:b w:val="0"/>
          <w:bCs w:val="0"/>
          <w:i w:val="0"/>
          <w:iCs w:val="0"/>
        </w:rPr>
        <w:t xml:space="preserve">When counting employees, part-time employees should be </w:t>
      </w:r>
      <w:proofErr w:type="gramStart"/>
      <w:r w:rsidRPr="003F0548">
        <w:rPr>
          <w:rStyle w:val="References"/>
          <w:b w:val="0"/>
          <w:bCs w:val="0"/>
          <w:i w:val="0"/>
          <w:iCs w:val="0"/>
        </w:rPr>
        <w:t>taken into account</w:t>
      </w:r>
      <w:proofErr w:type="gramEnd"/>
      <w:r w:rsidRPr="003F0548">
        <w:rPr>
          <w:rStyle w:val="References"/>
          <w:b w:val="0"/>
          <w:bCs w:val="0"/>
          <w:i w:val="0"/>
          <w:iCs w:val="0"/>
        </w:rPr>
        <w:t xml:space="preserve"> as an appropriate fraction of a full-time equivalent. </w:t>
      </w:r>
      <w:r>
        <w:rPr>
          <w:rStyle w:val="References"/>
        </w:rPr>
        <w:br/>
      </w:r>
      <w:r w:rsidRPr="007077D5">
        <w:rPr>
          <w:rStyle w:val="References"/>
        </w:rPr>
        <w:t>Schedule #,</w:t>
      </w:r>
      <w:r w:rsidR="00894E6F">
        <w:rPr>
          <w:rStyle w:val="References"/>
        </w:rPr>
        <w:t xml:space="preserve"> </w:t>
      </w:r>
      <w:r w:rsidRPr="007077D5">
        <w:rPr>
          <w:rStyle w:val="References"/>
        </w:rPr>
        <w:t xml:space="preserve">item </w:t>
      </w:r>
      <w:r>
        <w:rPr>
          <w:rStyle w:val="References"/>
        </w:rPr>
        <w:t>2</w:t>
      </w:r>
      <w:r w:rsidR="00A27A1A">
        <w:rPr>
          <w:rStyle w:val="References"/>
        </w:rPr>
        <w:t>3</w:t>
      </w:r>
      <w:r w:rsidRPr="007077D5">
        <w:rPr>
          <w:rStyle w:val="References"/>
        </w:rPr>
        <w:t>, subsection 292</w:t>
      </w:r>
      <w:proofErr w:type="gramStart"/>
      <w:r>
        <w:rPr>
          <w:rStyle w:val="References"/>
        </w:rPr>
        <w:t>B</w:t>
      </w:r>
      <w:r w:rsidRPr="007077D5">
        <w:rPr>
          <w:rStyle w:val="References"/>
        </w:rPr>
        <w:t>(</w:t>
      </w:r>
      <w:proofErr w:type="gramEnd"/>
      <w:r>
        <w:rPr>
          <w:rStyle w:val="References"/>
        </w:rPr>
        <w:t>3</w:t>
      </w:r>
      <w:r w:rsidRPr="007077D5" w:rsidDel="003F0548">
        <w:rPr>
          <w:rStyle w:val="References"/>
        </w:rPr>
        <w:t>)</w:t>
      </w:r>
      <w:r w:rsidRPr="007077D5">
        <w:rPr>
          <w:rStyle w:val="References"/>
        </w:rPr>
        <w:t>]</w:t>
      </w:r>
    </w:p>
    <w:p w14:paraId="728BB14A" w14:textId="430316D5" w:rsidR="00FC36B3" w:rsidRDefault="00FC36B3" w:rsidP="00FC36B3">
      <w:pPr>
        <w:pStyle w:val="Normalparatextwithnumbers"/>
        <w:rPr>
          <w:rStyle w:val="References"/>
          <w:i w:val="0"/>
          <w:iCs w:val="0"/>
        </w:rPr>
      </w:pPr>
      <w:r>
        <w:t xml:space="preserve">To determine whether an entity controls another entity in relation to sustainability reports, </w:t>
      </w:r>
      <w:r w:rsidR="008E518D">
        <w:t xml:space="preserve">reference is made to </w:t>
      </w:r>
      <w:r>
        <w:t xml:space="preserve">the accounting standards made for financial statements, even if these standards do not apply to the entity. </w:t>
      </w:r>
      <w:r>
        <w:br/>
      </w:r>
      <w:r w:rsidRPr="007600F7">
        <w:rPr>
          <w:rStyle w:val="References"/>
        </w:rPr>
        <w:t xml:space="preserve">[Schedule </w:t>
      </w:r>
      <w:r>
        <w:rPr>
          <w:rStyle w:val="References"/>
        </w:rPr>
        <w:t>#</w:t>
      </w:r>
      <w:r w:rsidRPr="007600F7">
        <w:rPr>
          <w:rStyle w:val="References"/>
        </w:rPr>
        <w:t>,</w:t>
      </w:r>
      <w:r w:rsidR="00894E6F">
        <w:rPr>
          <w:rStyle w:val="References"/>
        </w:rPr>
        <w:t xml:space="preserve"> </w:t>
      </w:r>
      <w:r w:rsidRPr="007600F7">
        <w:rPr>
          <w:rStyle w:val="References"/>
        </w:rPr>
        <w:t>item</w:t>
      </w:r>
      <w:r>
        <w:rPr>
          <w:rStyle w:val="References"/>
        </w:rPr>
        <w:t xml:space="preserve"> 2</w:t>
      </w:r>
      <w:r w:rsidR="00A27A1A">
        <w:rPr>
          <w:rStyle w:val="References"/>
        </w:rPr>
        <w:t>3</w:t>
      </w:r>
      <w:r w:rsidRPr="007600F7">
        <w:rPr>
          <w:rStyle w:val="References"/>
        </w:rPr>
        <w:t xml:space="preserve">, </w:t>
      </w:r>
      <w:r>
        <w:rPr>
          <w:rStyle w:val="References"/>
        </w:rPr>
        <w:t xml:space="preserve">paragraph 292A(7)(a)] </w:t>
      </w:r>
    </w:p>
    <w:p w14:paraId="741D61E9" w14:textId="30F7C7C1" w:rsidR="00FC36B3" w:rsidRDefault="00FC36B3" w:rsidP="00FC36B3">
      <w:pPr>
        <w:pStyle w:val="Normalparatextwithnumbers"/>
      </w:pPr>
      <w:r>
        <w:t xml:space="preserve">Calculating consolidated revenue and the value of consolidated gross assets for the purpose of determining if an entity must provide an annual sustainability disclosure report must be done in accordance with the accounting standard in force at the relevant time. This is even if the standard does not otherwise apply to the financial year or some of the entities concerned. </w:t>
      </w:r>
      <w:r>
        <w:br/>
      </w:r>
      <w:r w:rsidRPr="007600F7">
        <w:rPr>
          <w:rStyle w:val="References"/>
        </w:rPr>
        <w:t xml:space="preserve">[Schedule </w:t>
      </w:r>
      <w:r>
        <w:rPr>
          <w:rStyle w:val="References"/>
        </w:rPr>
        <w:t>#</w:t>
      </w:r>
      <w:r w:rsidRPr="007600F7">
        <w:rPr>
          <w:rStyle w:val="References"/>
        </w:rPr>
        <w:t>,</w:t>
      </w:r>
      <w:r w:rsidR="00894E6F">
        <w:rPr>
          <w:rStyle w:val="References"/>
        </w:rPr>
        <w:t xml:space="preserve"> </w:t>
      </w:r>
      <w:r w:rsidRPr="007600F7">
        <w:rPr>
          <w:rStyle w:val="References"/>
        </w:rPr>
        <w:t>item</w:t>
      </w:r>
      <w:r>
        <w:rPr>
          <w:rStyle w:val="References"/>
        </w:rPr>
        <w:t xml:space="preserve"> 2</w:t>
      </w:r>
      <w:r w:rsidR="00A27A1A">
        <w:rPr>
          <w:rStyle w:val="References"/>
        </w:rPr>
        <w:t>3</w:t>
      </w:r>
      <w:r w:rsidRPr="007600F7">
        <w:rPr>
          <w:rStyle w:val="References"/>
        </w:rPr>
        <w:t>,</w:t>
      </w:r>
      <w:r>
        <w:rPr>
          <w:rStyle w:val="References"/>
        </w:rPr>
        <w:t xml:space="preserve"> paragraph 292A(7)(b))</w:t>
      </w:r>
      <w:r w:rsidRPr="007600F7">
        <w:rPr>
          <w:rStyle w:val="References"/>
        </w:rPr>
        <w:t xml:space="preserve">] </w:t>
      </w:r>
    </w:p>
    <w:p w14:paraId="26421591" w14:textId="77777777" w:rsidR="00FC36B3" w:rsidRDefault="00FC36B3" w:rsidP="00FC36B3">
      <w:pPr>
        <w:pStyle w:val="Heading6"/>
        <w:rPr>
          <w:rFonts w:hint="eastAsia"/>
        </w:rPr>
      </w:pPr>
      <w:r>
        <w:t>Notes to the statements</w:t>
      </w:r>
    </w:p>
    <w:p w14:paraId="50422122" w14:textId="77777777" w:rsidR="00FC36B3" w:rsidRDefault="00FC36B3" w:rsidP="00FC36B3">
      <w:pPr>
        <w:pStyle w:val="Normalparatextwithnumbers"/>
      </w:pPr>
      <w:r>
        <w:t>Further, the notes to statements under the sustainability report also generally mirror the provisions dealing with annual financial reporting under section 295. In particular, the notes to these statements must include:</w:t>
      </w:r>
    </w:p>
    <w:p w14:paraId="13FDFDCE" w14:textId="77777777" w:rsidR="00FC36B3" w:rsidRDefault="00FC36B3" w:rsidP="00FC36B3">
      <w:pPr>
        <w:pStyle w:val="Dotpoint1"/>
        <w:ind w:left="1418" w:hanging="709"/>
      </w:pPr>
      <w:r>
        <w:t xml:space="preserve">disclosures required by a legislative instrument; and </w:t>
      </w:r>
    </w:p>
    <w:p w14:paraId="11FE8342" w14:textId="77777777" w:rsidR="00FC36B3" w:rsidRDefault="00FC36B3" w:rsidP="00FC36B3">
      <w:pPr>
        <w:pStyle w:val="Dotpoint1"/>
        <w:ind w:left="1418" w:hanging="709"/>
      </w:pPr>
      <w:r>
        <w:t>notes required by the sustainability standards, if any.</w:t>
      </w:r>
    </w:p>
    <w:p w14:paraId="6BFE3006" w14:textId="01B690D2" w:rsidR="00FC36B3" w:rsidRPr="00D43E37" w:rsidRDefault="00FC36B3" w:rsidP="00FC36B3">
      <w:pPr>
        <w:pStyle w:val="Normalparatextwithnumbers"/>
        <w:numPr>
          <w:ilvl w:val="0"/>
          <w:numId w:val="0"/>
        </w:numPr>
        <w:ind w:left="709"/>
        <w:rPr>
          <w:rStyle w:val="References"/>
        </w:rPr>
      </w:pPr>
      <w:r w:rsidRPr="00D43E37">
        <w:rPr>
          <w:rStyle w:val="References"/>
        </w:rPr>
        <w:t>[Schedule #,</w:t>
      </w:r>
      <w:r w:rsidR="00894E6F">
        <w:rPr>
          <w:rStyle w:val="References"/>
        </w:rPr>
        <w:t xml:space="preserve"> </w:t>
      </w:r>
      <w:r w:rsidRPr="00D43E37">
        <w:rPr>
          <w:rStyle w:val="References"/>
        </w:rPr>
        <w:t>item 2</w:t>
      </w:r>
      <w:r w:rsidR="000A3837">
        <w:rPr>
          <w:rStyle w:val="References"/>
        </w:rPr>
        <w:t>3</w:t>
      </w:r>
      <w:r w:rsidRPr="00D43E37">
        <w:rPr>
          <w:rStyle w:val="References"/>
        </w:rPr>
        <w:t>, subsection 296</w:t>
      </w:r>
      <w:proofErr w:type="gramStart"/>
      <w:r w:rsidRPr="00D43E37">
        <w:rPr>
          <w:rStyle w:val="References"/>
        </w:rPr>
        <w:t>A(</w:t>
      </w:r>
      <w:proofErr w:type="gramEnd"/>
      <w:r w:rsidRPr="00D43E37">
        <w:rPr>
          <w:rStyle w:val="References"/>
        </w:rPr>
        <w:t>3)]</w:t>
      </w:r>
    </w:p>
    <w:p w14:paraId="1185471A" w14:textId="77777777" w:rsidR="00FC36B3" w:rsidRPr="007351DF" w:rsidRDefault="00FC36B3" w:rsidP="00FC36B3">
      <w:pPr>
        <w:pStyle w:val="Heading6"/>
        <w:rPr>
          <w:rFonts w:hint="eastAsia"/>
        </w:rPr>
      </w:pPr>
      <w:r>
        <w:t>Directors’ declaration</w:t>
      </w:r>
    </w:p>
    <w:p w14:paraId="410559BB" w14:textId="7A56C4E0" w:rsidR="00FC36B3" w:rsidRPr="006E4356" w:rsidRDefault="00FC36B3" w:rsidP="00FC36B3">
      <w:pPr>
        <w:pStyle w:val="Normalparatextwithnumbers"/>
        <w:rPr>
          <w:rStyle w:val="References"/>
        </w:rPr>
      </w:pPr>
      <w:r w:rsidRPr="00E431B8">
        <w:t>The directors</w:t>
      </w:r>
      <w:r>
        <w:t>’</w:t>
      </w:r>
      <w:r w:rsidRPr="00E431B8">
        <w:t xml:space="preserve"> declaration is a declaration by the directors of their opinion on whether the statements are in accordance with </w:t>
      </w:r>
      <w:r>
        <w:t>the Corporations </w:t>
      </w:r>
      <w:r w:rsidRPr="00E431B8">
        <w:t xml:space="preserve">Act, including </w:t>
      </w:r>
      <w:r>
        <w:t xml:space="preserve">in </w:t>
      </w:r>
      <w:r w:rsidRPr="00E431B8">
        <w:t xml:space="preserve">compliance </w:t>
      </w:r>
      <w:r>
        <w:t>with the relevant</w:t>
      </w:r>
      <w:r w:rsidRPr="00E431B8">
        <w:t xml:space="preserve"> sustainability standards</w:t>
      </w:r>
      <w:r>
        <w:t xml:space="preserve"> (</w:t>
      </w:r>
      <w:proofErr w:type="gramStart"/>
      <w:r>
        <w:t>i.</w:t>
      </w:r>
      <w:r w:rsidDel="00C970C4">
        <w:t>e.</w:t>
      </w:r>
      <w:proofErr w:type="gramEnd"/>
      <w:r>
        <w:t> whether the climate statement is in compliance with the sustainability standards that relate to climate)</w:t>
      </w:r>
      <w:r w:rsidRPr="00E431B8">
        <w:t xml:space="preserve">. </w:t>
      </w:r>
      <w:r>
        <w:t>These declarations must be made with a resolution of the directors, dated, and signed.</w:t>
      </w:r>
      <w:r w:rsidRPr="004800D8">
        <w:rPr>
          <w:rStyle w:val="References"/>
        </w:rPr>
        <w:t xml:space="preserve"> </w:t>
      </w:r>
      <w:r>
        <w:rPr>
          <w:rStyle w:val="References"/>
        </w:rPr>
        <w:br/>
      </w:r>
      <w:r w:rsidRPr="00D43E37">
        <w:rPr>
          <w:rStyle w:val="References"/>
        </w:rPr>
        <w:t>[Schedule #,</w:t>
      </w:r>
      <w:r w:rsidR="00894E6F">
        <w:rPr>
          <w:rStyle w:val="References"/>
        </w:rPr>
        <w:t xml:space="preserve"> </w:t>
      </w:r>
      <w:r w:rsidRPr="00D43E37">
        <w:rPr>
          <w:rStyle w:val="References"/>
        </w:rPr>
        <w:t>item 2</w:t>
      </w:r>
      <w:r w:rsidR="000A3837">
        <w:rPr>
          <w:rStyle w:val="References"/>
        </w:rPr>
        <w:t>3</w:t>
      </w:r>
      <w:r w:rsidRPr="00D43E37">
        <w:rPr>
          <w:rStyle w:val="References"/>
        </w:rPr>
        <w:t>, subsections 296</w:t>
      </w:r>
      <w:proofErr w:type="gramStart"/>
      <w:r w:rsidRPr="00D43E37">
        <w:rPr>
          <w:rStyle w:val="References"/>
        </w:rPr>
        <w:t>A(</w:t>
      </w:r>
      <w:proofErr w:type="gramEnd"/>
      <w:r>
        <w:rPr>
          <w:rStyle w:val="References"/>
        </w:rPr>
        <w:t>6</w:t>
      </w:r>
      <w:r w:rsidRPr="00D43E37">
        <w:rPr>
          <w:rStyle w:val="References"/>
        </w:rPr>
        <w:t>) and (</w:t>
      </w:r>
      <w:r>
        <w:rPr>
          <w:rStyle w:val="References"/>
        </w:rPr>
        <w:t>7</w:t>
      </w:r>
      <w:r w:rsidRPr="00D43E37">
        <w:rPr>
          <w:rStyle w:val="References"/>
        </w:rPr>
        <w:t>)]</w:t>
      </w:r>
    </w:p>
    <w:p w14:paraId="05503800" w14:textId="52C44352" w:rsidR="00FC36B3" w:rsidRDefault="00FC36B3" w:rsidP="00FC36B3">
      <w:pPr>
        <w:pStyle w:val="Normalparatextwithnumbers"/>
      </w:pPr>
      <w:r>
        <w:t>The climate statements in the sustainability report must comply with the sustainability standards and any other further requirements in a legislative instrument.</w:t>
      </w:r>
      <w:r w:rsidRPr="00AC136D">
        <w:t xml:space="preserve"> </w:t>
      </w:r>
      <w:r>
        <w:rPr>
          <w:rStyle w:val="References"/>
        </w:rPr>
        <w:br/>
      </w:r>
      <w:r w:rsidRPr="000F27E6">
        <w:rPr>
          <w:rStyle w:val="References"/>
        </w:rPr>
        <w:t>[Schedule #,</w:t>
      </w:r>
      <w:r w:rsidR="00894E6F">
        <w:rPr>
          <w:rStyle w:val="References"/>
        </w:rPr>
        <w:t xml:space="preserve"> </w:t>
      </w:r>
      <w:r w:rsidRPr="000F27E6">
        <w:rPr>
          <w:rStyle w:val="References"/>
        </w:rPr>
        <w:t>item 2</w:t>
      </w:r>
      <w:r w:rsidR="000A3837">
        <w:rPr>
          <w:rStyle w:val="References"/>
        </w:rPr>
        <w:t>3</w:t>
      </w:r>
      <w:r w:rsidRPr="000F27E6">
        <w:rPr>
          <w:rStyle w:val="References"/>
        </w:rPr>
        <w:t xml:space="preserve">, section </w:t>
      </w:r>
      <w:r>
        <w:rPr>
          <w:rStyle w:val="References"/>
        </w:rPr>
        <w:t>296C</w:t>
      </w:r>
      <w:r w:rsidRPr="000F27E6">
        <w:rPr>
          <w:rStyle w:val="References"/>
        </w:rPr>
        <w:t>]</w:t>
      </w:r>
    </w:p>
    <w:p w14:paraId="7180FC0A" w14:textId="7FD5C0DF" w:rsidR="00FC36B3" w:rsidRPr="00D43E37" w:rsidRDefault="00FC36B3" w:rsidP="00FC36B3">
      <w:pPr>
        <w:pStyle w:val="Normalparatextwithnumbers"/>
        <w:rPr>
          <w:rStyle w:val="References"/>
        </w:rPr>
      </w:pPr>
      <w:r>
        <w:t xml:space="preserve">Alongside the requirements to provide the financial report, directors’ </w:t>
      </w:r>
      <w:proofErr w:type="gramStart"/>
      <w:r>
        <w:t>report</w:t>
      </w:r>
      <w:proofErr w:type="gramEnd"/>
      <w:r>
        <w:t xml:space="preserve"> and auditor’s report for a financial year to members, the reporting entity must also provide the sustainability disclosure report to members. Where a concise report is provided to members, </w:t>
      </w:r>
      <w:r w:rsidDel="002272AA">
        <w:t xml:space="preserve">concise </w:t>
      </w:r>
      <w:r>
        <w:t>report must contain the full sustainability report.</w:t>
      </w:r>
      <w:r>
        <w:rPr>
          <w:rStyle w:val="References"/>
        </w:rPr>
        <w:br/>
      </w:r>
      <w:r w:rsidRPr="00D43E37">
        <w:rPr>
          <w:rStyle w:val="References"/>
        </w:rPr>
        <w:t>[Schedule #,</w:t>
      </w:r>
      <w:r w:rsidR="00894E6F">
        <w:rPr>
          <w:rStyle w:val="References"/>
        </w:rPr>
        <w:t xml:space="preserve"> </w:t>
      </w:r>
      <w:r w:rsidRPr="00D43E37">
        <w:rPr>
          <w:rStyle w:val="References"/>
        </w:rPr>
        <w:t>items 2</w:t>
      </w:r>
      <w:r w:rsidR="00B23846">
        <w:rPr>
          <w:rStyle w:val="References"/>
        </w:rPr>
        <w:t>4</w:t>
      </w:r>
      <w:r w:rsidRPr="00D43E37">
        <w:rPr>
          <w:rStyle w:val="References"/>
        </w:rPr>
        <w:t xml:space="preserve"> to </w:t>
      </w:r>
      <w:r w:rsidR="00762372">
        <w:rPr>
          <w:rStyle w:val="References"/>
        </w:rPr>
        <w:t>30</w:t>
      </w:r>
      <w:r w:rsidRPr="00D43E37">
        <w:rPr>
          <w:rStyle w:val="References"/>
        </w:rPr>
        <w:t>, headings to Division 4 of Part 2.3M and section 314, subparagraph 314(</w:t>
      </w:r>
      <w:r>
        <w:rPr>
          <w:rStyle w:val="References"/>
        </w:rPr>
        <w:t>1</w:t>
      </w:r>
      <w:r w:rsidRPr="00D43E37">
        <w:rPr>
          <w:rStyle w:val="References"/>
        </w:rPr>
        <w:t>)(</w:t>
      </w:r>
      <w:proofErr w:type="gramStart"/>
      <w:r w:rsidRPr="00D43E37">
        <w:rPr>
          <w:rStyle w:val="References"/>
        </w:rPr>
        <w:t>a)(</w:t>
      </w:r>
      <w:proofErr w:type="spellStart"/>
      <w:proofErr w:type="gramEnd"/>
      <w:r w:rsidRPr="00D43E37">
        <w:rPr>
          <w:rStyle w:val="References"/>
        </w:rPr>
        <w:t>ia</w:t>
      </w:r>
      <w:proofErr w:type="spellEnd"/>
      <w:r w:rsidRPr="00D43E37">
        <w:rPr>
          <w:rStyle w:val="References"/>
        </w:rPr>
        <w:t>), paragraph</w:t>
      </w:r>
      <w:r>
        <w:rPr>
          <w:rStyle w:val="References"/>
        </w:rPr>
        <w:t>s 314(2)(a</w:t>
      </w:r>
      <w:r w:rsidR="00762372">
        <w:rPr>
          <w:rStyle w:val="References"/>
        </w:rPr>
        <w:t>a</w:t>
      </w:r>
      <w:r>
        <w:rPr>
          <w:rStyle w:val="References"/>
        </w:rPr>
        <w:t>)</w:t>
      </w:r>
      <w:r w:rsidR="00EF1C51">
        <w:rPr>
          <w:rStyle w:val="References"/>
        </w:rPr>
        <w:t xml:space="preserve"> and </w:t>
      </w:r>
      <w:r w:rsidRPr="00D43E37">
        <w:rPr>
          <w:rStyle w:val="References"/>
        </w:rPr>
        <w:t xml:space="preserve">314AA(1)(aa), </w:t>
      </w:r>
      <w:r>
        <w:rPr>
          <w:rStyle w:val="References"/>
        </w:rPr>
        <w:t xml:space="preserve">and </w:t>
      </w:r>
      <w:r w:rsidRPr="00D43E37">
        <w:rPr>
          <w:rStyle w:val="References"/>
        </w:rPr>
        <w:t>subsection</w:t>
      </w:r>
      <w:r>
        <w:rPr>
          <w:rStyle w:val="References"/>
        </w:rPr>
        <w:t>s</w:t>
      </w:r>
      <w:r w:rsidRPr="00D43E37">
        <w:rPr>
          <w:rStyle w:val="References"/>
        </w:rPr>
        <w:t xml:space="preserve"> 3</w:t>
      </w:r>
      <w:r>
        <w:rPr>
          <w:rStyle w:val="References"/>
        </w:rPr>
        <w:t>1</w:t>
      </w:r>
      <w:r w:rsidRPr="00D43E37">
        <w:rPr>
          <w:rStyle w:val="References"/>
        </w:rPr>
        <w:t>6(1) and (3)]</w:t>
      </w:r>
    </w:p>
    <w:p w14:paraId="7C51F3A1" w14:textId="31A0608D" w:rsidR="00FC36B3" w:rsidRDefault="00FC36B3" w:rsidP="00FC36B3">
      <w:pPr>
        <w:pStyle w:val="Normalparatextwithnumbers"/>
      </w:pPr>
      <w:r>
        <w:t xml:space="preserve">The amendments update the annual reporting requirements to members of a company limited by guarantee by specifying when a sustainability report must be shared with each voting member and the specific time frames. These are consistent with the existing timing obligations for the sharing of </w:t>
      </w:r>
      <w:r w:rsidRPr="00087609">
        <w:t>financial reports, directors’ reports</w:t>
      </w:r>
      <w:r>
        <w:t>,</w:t>
      </w:r>
      <w:r w:rsidRPr="00087609">
        <w:t xml:space="preserve"> and auditor’s reports</w:t>
      </w:r>
      <w:r>
        <w:t xml:space="preserve"> (earlier of 21 days after the AGM or 4 months after the end of the financial year). Minor amendments are made to the numbering of these obligations in the Act accordingly.</w:t>
      </w:r>
      <w:r>
        <w:br/>
      </w:r>
      <w:r w:rsidRPr="00E431B8">
        <w:rPr>
          <w:rStyle w:val="References"/>
        </w:rPr>
        <w:t xml:space="preserve">[Schedule </w:t>
      </w:r>
      <w:r>
        <w:rPr>
          <w:rStyle w:val="References"/>
        </w:rPr>
        <w:t>#</w:t>
      </w:r>
      <w:r w:rsidRPr="00E431B8">
        <w:rPr>
          <w:rStyle w:val="References"/>
        </w:rPr>
        <w:t>,</w:t>
      </w:r>
      <w:r w:rsidR="00894E6F">
        <w:rPr>
          <w:rStyle w:val="References"/>
        </w:rPr>
        <w:t xml:space="preserve"> </w:t>
      </w:r>
      <w:r w:rsidRPr="00E431B8">
        <w:rPr>
          <w:rStyle w:val="References"/>
        </w:rPr>
        <w:t>item</w:t>
      </w:r>
      <w:r>
        <w:rPr>
          <w:rStyle w:val="References"/>
        </w:rPr>
        <w:t xml:space="preserve">s </w:t>
      </w:r>
      <w:r w:rsidR="001B393C">
        <w:rPr>
          <w:rStyle w:val="References"/>
        </w:rPr>
        <w:t>31</w:t>
      </w:r>
      <w:r>
        <w:rPr>
          <w:rStyle w:val="References"/>
        </w:rPr>
        <w:t xml:space="preserve"> and </w:t>
      </w:r>
      <w:r w:rsidR="008763A8">
        <w:rPr>
          <w:rStyle w:val="References"/>
        </w:rPr>
        <w:t>32</w:t>
      </w:r>
      <w:r w:rsidRPr="00E431B8">
        <w:rPr>
          <w:rStyle w:val="References"/>
        </w:rPr>
        <w:t xml:space="preserve">, </w:t>
      </w:r>
      <w:r>
        <w:rPr>
          <w:rStyle w:val="References"/>
        </w:rPr>
        <w:t>subsections 316</w:t>
      </w:r>
      <w:proofErr w:type="gramStart"/>
      <w:r>
        <w:rPr>
          <w:rStyle w:val="References"/>
        </w:rPr>
        <w:t>A(</w:t>
      </w:r>
      <w:proofErr w:type="gramEnd"/>
      <w:r>
        <w:rPr>
          <w:rStyle w:val="References"/>
        </w:rPr>
        <w:t>3) and</w:t>
      </w:r>
      <w:r w:rsidR="008763A8">
        <w:rPr>
          <w:rStyle w:val="References"/>
        </w:rPr>
        <w:t> </w:t>
      </w:r>
      <w:r>
        <w:rPr>
          <w:rStyle w:val="References"/>
        </w:rPr>
        <w:t>316A(5)</w:t>
      </w:r>
      <w:r w:rsidRPr="00E431B8">
        <w:rPr>
          <w:rStyle w:val="References"/>
        </w:rPr>
        <w:t xml:space="preserve">] </w:t>
      </w:r>
    </w:p>
    <w:p w14:paraId="6EFC6C2F" w14:textId="20AD50D7" w:rsidR="00FC36B3" w:rsidRDefault="00FC36B3" w:rsidP="00FC36B3">
      <w:pPr>
        <w:pStyle w:val="Normalparatextwithnumbers"/>
      </w:pPr>
      <w:r>
        <w:t>An entity must make its sustainability disclosure report publicly available on its website the day after the report is lodged with ASIC if it is required to prepare such a report and not required to disclose this report to its members.</w:t>
      </w:r>
      <w:r>
        <w:br/>
      </w:r>
      <w:r w:rsidRPr="00E431B8">
        <w:rPr>
          <w:rStyle w:val="References"/>
        </w:rPr>
        <w:t xml:space="preserve">[Schedule </w:t>
      </w:r>
      <w:r>
        <w:rPr>
          <w:rStyle w:val="References"/>
        </w:rPr>
        <w:t>#</w:t>
      </w:r>
      <w:r w:rsidRPr="00E431B8">
        <w:rPr>
          <w:rStyle w:val="References"/>
        </w:rPr>
        <w:t>,</w:t>
      </w:r>
      <w:r w:rsidR="00894E6F">
        <w:rPr>
          <w:rStyle w:val="References"/>
        </w:rPr>
        <w:t xml:space="preserve"> </w:t>
      </w:r>
      <w:r w:rsidRPr="00E431B8">
        <w:rPr>
          <w:rStyle w:val="References"/>
        </w:rPr>
        <w:t>item</w:t>
      </w:r>
      <w:r>
        <w:rPr>
          <w:rStyle w:val="References"/>
        </w:rPr>
        <w:t xml:space="preserve"> </w:t>
      </w:r>
      <w:r w:rsidR="008763A8">
        <w:rPr>
          <w:rStyle w:val="References"/>
        </w:rPr>
        <w:t>33</w:t>
      </w:r>
      <w:r w:rsidRPr="00E431B8">
        <w:rPr>
          <w:rStyle w:val="References"/>
        </w:rPr>
        <w:t xml:space="preserve">, </w:t>
      </w:r>
      <w:r>
        <w:rPr>
          <w:rStyle w:val="References"/>
        </w:rPr>
        <w:t>section 316B</w:t>
      </w:r>
      <w:r w:rsidRPr="00E431B8">
        <w:rPr>
          <w:rStyle w:val="References"/>
        </w:rPr>
        <w:t xml:space="preserve">] </w:t>
      </w:r>
    </w:p>
    <w:p w14:paraId="64CF3B49" w14:textId="125D25EC" w:rsidR="00FC36B3" w:rsidRPr="00D43E37" w:rsidRDefault="00FC36B3" w:rsidP="00FC36B3">
      <w:pPr>
        <w:pStyle w:val="Normalparatextwithnumbers"/>
        <w:rPr>
          <w:rStyle w:val="References"/>
        </w:rPr>
      </w:pPr>
      <w:r>
        <w:t>Similar to financial reports, directors’ reports and auditor’s reports, the directors of a public company that is required to hold an AGM must also lay the sustainability disclosure report before the AGM.</w:t>
      </w:r>
      <w:r>
        <w:rPr>
          <w:rStyle w:val="References"/>
        </w:rPr>
        <w:br/>
      </w:r>
      <w:r w:rsidRPr="00D43E37">
        <w:rPr>
          <w:rStyle w:val="References"/>
        </w:rPr>
        <w:t>[Schedule #,</w:t>
      </w:r>
      <w:r w:rsidR="00894E6F">
        <w:rPr>
          <w:rStyle w:val="References"/>
        </w:rPr>
        <w:t xml:space="preserve"> </w:t>
      </w:r>
      <w:r w:rsidRPr="00D43E37">
        <w:rPr>
          <w:rStyle w:val="References"/>
        </w:rPr>
        <w:t xml:space="preserve">item </w:t>
      </w:r>
      <w:r w:rsidR="00B41936">
        <w:rPr>
          <w:rStyle w:val="References"/>
        </w:rPr>
        <w:t>34</w:t>
      </w:r>
      <w:r w:rsidRPr="00D43E37">
        <w:rPr>
          <w:rStyle w:val="References"/>
        </w:rPr>
        <w:t>, paragraph 317(</w:t>
      </w:r>
      <w:proofErr w:type="gramStart"/>
      <w:r w:rsidRPr="00D43E37">
        <w:rPr>
          <w:rStyle w:val="References"/>
        </w:rPr>
        <w:t>1)(</w:t>
      </w:r>
      <w:proofErr w:type="gramEnd"/>
      <w:r w:rsidRPr="00D43E37">
        <w:rPr>
          <w:rStyle w:val="References"/>
        </w:rPr>
        <w:t>aa)]</w:t>
      </w:r>
    </w:p>
    <w:p w14:paraId="7D22553A" w14:textId="5DEFAFC7" w:rsidR="00FC36B3" w:rsidRPr="00D43E37" w:rsidRDefault="00FC36B3" w:rsidP="00FC36B3">
      <w:pPr>
        <w:pStyle w:val="Normalparatextwithnumbers"/>
        <w:rPr>
          <w:rStyle w:val="References"/>
        </w:rPr>
      </w:pPr>
      <w:proofErr w:type="gramStart"/>
      <w:r>
        <w:t>Similar to</w:t>
      </w:r>
      <w:proofErr w:type="gramEnd"/>
      <w:r>
        <w:t xml:space="preserve"> financial reports, directors’ reports and auditor’s reports, a company or disclosing entity that was a borrower in relation to debentures at the end of a financial year must give a copy of the sustainability disclosure report to the trustee for debenture holders. A debenture holder may ask the company or disclosing entity that issued debentures for copies of a sustainability report if one was required to be prepared. </w:t>
      </w:r>
      <w:r>
        <w:br/>
      </w:r>
      <w:r w:rsidRPr="00D43E37">
        <w:rPr>
          <w:rStyle w:val="References"/>
        </w:rPr>
        <w:t>[Schedule #,</w:t>
      </w:r>
      <w:r w:rsidR="00894E6F">
        <w:rPr>
          <w:rStyle w:val="References"/>
        </w:rPr>
        <w:t xml:space="preserve"> </w:t>
      </w:r>
      <w:r w:rsidRPr="00D43E37">
        <w:rPr>
          <w:rStyle w:val="References"/>
        </w:rPr>
        <w:t>item</w:t>
      </w:r>
      <w:r>
        <w:rPr>
          <w:rStyle w:val="References"/>
        </w:rPr>
        <w:t>s</w:t>
      </w:r>
      <w:r w:rsidRPr="00D43E37">
        <w:rPr>
          <w:rStyle w:val="References"/>
        </w:rPr>
        <w:t xml:space="preserve"> </w:t>
      </w:r>
      <w:r w:rsidR="00943460">
        <w:rPr>
          <w:rStyle w:val="References"/>
        </w:rPr>
        <w:t>35</w:t>
      </w:r>
      <w:r>
        <w:rPr>
          <w:rStyle w:val="References"/>
        </w:rPr>
        <w:t xml:space="preserve"> and </w:t>
      </w:r>
      <w:r w:rsidR="00943460">
        <w:rPr>
          <w:rStyle w:val="References"/>
        </w:rPr>
        <w:t>36</w:t>
      </w:r>
      <w:r w:rsidRPr="00D43E37">
        <w:rPr>
          <w:rStyle w:val="References"/>
        </w:rPr>
        <w:t>, subsection 318(1)</w:t>
      </w:r>
      <w:r>
        <w:rPr>
          <w:rStyle w:val="References"/>
        </w:rPr>
        <w:t xml:space="preserve"> and paragraph 318(2)(b)</w:t>
      </w:r>
      <w:r w:rsidRPr="00D43E37">
        <w:rPr>
          <w:rStyle w:val="References"/>
        </w:rPr>
        <w:t>]</w:t>
      </w:r>
    </w:p>
    <w:p w14:paraId="292C9FFC" w14:textId="6AA3C335" w:rsidR="00FC36B3" w:rsidRPr="003C12A2" w:rsidRDefault="00FC36B3" w:rsidP="00FC36B3">
      <w:pPr>
        <w:pStyle w:val="Normalparatextwithnumbers"/>
        <w:rPr>
          <w:rStyle w:val="References"/>
          <w:b w:val="0"/>
          <w:i w:val="0"/>
        </w:rPr>
      </w:pPr>
      <w:r>
        <w:t xml:space="preserve">Consequential amendments are also made regarding </w:t>
      </w:r>
      <w:proofErr w:type="spellStart"/>
      <w:r>
        <w:t>relodgment</w:t>
      </w:r>
      <w:proofErr w:type="spellEnd"/>
      <w:r>
        <w:t xml:space="preserve"> if sustainability disclosure reports are amended after </w:t>
      </w:r>
      <w:proofErr w:type="spellStart"/>
      <w:r>
        <w:t>lodgment</w:t>
      </w:r>
      <w:proofErr w:type="spellEnd"/>
      <w:r>
        <w:t xml:space="preserve">, in a manner consistent with the </w:t>
      </w:r>
      <w:proofErr w:type="spellStart"/>
      <w:r>
        <w:t>relodgment</w:t>
      </w:r>
      <w:proofErr w:type="spellEnd"/>
      <w:r>
        <w:t xml:space="preserve"> of financial reports and director’s reports.</w:t>
      </w:r>
      <w:r>
        <w:rPr>
          <w:rStyle w:val="References"/>
        </w:rPr>
        <w:br/>
      </w:r>
      <w:r w:rsidRPr="00D43E37">
        <w:rPr>
          <w:rStyle w:val="References"/>
        </w:rPr>
        <w:t>[Schedule #,</w:t>
      </w:r>
      <w:r w:rsidR="00894E6F">
        <w:rPr>
          <w:rStyle w:val="References"/>
        </w:rPr>
        <w:t xml:space="preserve"> </w:t>
      </w:r>
      <w:r w:rsidRPr="00D43E37">
        <w:rPr>
          <w:rStyle w:val="References"/>
        </w:rPr>
        <w:t xml:space="preserve">items </w:t>
      </w:r>
      <w:r w:rsidR="00A82415">
        <w:rPr>
          <w:rStyle w:val="References"/>
        </w:rPr>
        <w:t>37</w:t>
      </w:r>
      <w:r w:rsidRPr="00D43E37">
        <w:rPr>
          <w:rStyle w:val="References"/>
        </w:rPr>
        <w:t xml:space="preserve"> to 34, headings to section 322 and subsection</w:t>
      </w:r>
      <w:r w:rsidR="00A82415">
        <w:rPr>
          <w:rStyle w:val="References"/>
        </w:rPr>
        <w:t> </w:t>
      </w:r>
      <w:r w:rsidRPr="00D43E37">
        <w:rPr>
          <w:rStyle w:val="References"/>
        </w:rPr>
        <w:t>322(1), subsection 322(1), heading to subsection 322(2A), and paragraph</w:t>
      </w:r>
      <w:r>
        <w:rPr>
          <w:rStyle w:val="References"/>
        </w:rPr>
        <w:t> </w:t>
      </w:r>
      <w:r w:rsidRPr="00D43E37">
        <w:rPr>
          <w:rStyle w:val="References"/>
        </w:rPr>
        <w:t>322(2</w:t>
      </w:r>
      <w:proofErr w:type="gramStart"/>
      <w:r w:rsidRPr="00D43E37">
        <w:rPr>
          <w:rStyle w:val="References"/>
        </w:rPr>
        <w:t>A)(</w:t>
      </w:r>
      <w:proofErr w:type="gramEnd"/>
      <w:r w:rsidRPr="00D43E37">
        <w:rPr>
          <w:rStyle w:val="References"/>
        </w:rPr>
        <w:t>a)]</w:t>
      </w:r>
    </w:p>
    <w:p w14:paraId="30026196" w14:textId="77777777" w:rsidR="00FC36B3" w:rsidRDefault="00FC36B3" w:rsidP="00FC36B3">
      <w:pPr>
        <w:pStyle w:val="Normalparatextwithnumbers"/>
      </w:pPr>
      <w:r>
        <w:t xml:space="preserve">Specific provisions about consolidated financial statements are updated to incorporate climate statements. Directors and officers of controlled entities must give the controlled entity all information requested that is necessary to prepare the consolidated financial statements or to prepare consolidated climate statements. </w:t>
      </w:r>
      <w:r w:rsidRPr="00AE4C49">
        <w:rPr>
          <w:rStyle w:val="References"/>
        </w:rPr>
        <w:t xml:space="preserve"> </w:t>
      </w:r>
    </w:p>
    <w:p w14:paraId="66668591" w14:textId="77777777" w:rsidR="00FC36B3" w:rsidRDefault="00FC36B3" w:rsidP="00FC36B3">
      <w:pPr>
        <w:pStyle w:val="Normalparatextwithnumbers"/>
      </w:pPr>
      <w:r>
        <w:t xml:space="preserve">Controlled entities must allow the auditor for the controlling company, scheme or entity access to its books and give the auditor any information, </w:t>
      </w:r>
      <w:proofErr w:type="gramStart"/>
      <w:r>
        <w:t>explanation</w:t>
      </w:r>
      <w:proofErr w:type="gramEnd"/>
      <w:r>
        <w:t xml:space="preserve"> or assistance necessary if it must prepare an annual report including consolidated financial statements or climate statements. </w:t>
      </w:r>
    </w:p>
    <w:p w14:paraId="061EEFDC" w14:textId="6C9B4A95" w:rsidR="00FC36B3" w:rsidRPr="00980B9C" w:rsidRDefault="00FC36B3" w:rsidP="00FC36B3">
      <w:pPr>
        <w:pStyle w:val="Normalparatextwithnumbers"/>
      </w:pPr>
      <w:r>
        <w:t xml:space="preserve">The requirement of directors and officers of controlled entities to give information, the auditor’s power to obtain information from the controlled entity and the controlled entity’s obligation to assist the auditor applies to the preparation of sustainability disclosure reports if the entity’s reports are being prepared or audited. </w:t>
      </w:r>
      <w:r>
        <w:br/>
      </w:r>
      <w:r w:rsidRPr="000547E5">
        <w:rPr>
          <w:rStyle w:val="References"/>
        </w:rPr>
        <w:t xml:space="preserve">[Schedule </w:t>
      </w:r>
      <w:r>
        <w:rPr>
          <w:rStyle w:val="References"/>
        </w:rPr>
        <w:t>#</w:t>
      </w:r>
      <w:r w:rsidRPr="000547E5">
        <w:rPr>
          <w:rStyle w:val="References"/>
        </w:rPr>
        <w:t xml:space="preserve">, </w:t>
      </w:r>
      <w:r>
        <w:rPr>
          <w:rStyle w:val="References"/>
        </w:rPr>
        <w:t>Part</w:t>
      </w:r>
      <w:r w:rsidR="003F186B">
        <w:rPr>
          <w:rStyle w:val="References"/>
        </w:rPr>
        <w:t xml:space="preserve"> 1</w:t>
      </w:r>
      <w:r>
        <w:t xml:space="preserve">, </w:t>
      </w:r>
      <w:r w:rsidRPr="000547E5">
        <w:rPr>
          <w:rStyle w:val="References"/>
        </w:rPr>
        <w:t>item</w:t>
      </w:r>
      <w:r>
        <w:rPr>
          <w:rStyle w:val="References"/>
        </w:rPr>
        <w:t xml:space="preserve">s </w:t>
      </w:r>
      <w:r w:rsidR="003F186B">
        <w:rPr>
          <w:rStyle w:val="References"/>
        </w:rPr>
        <w:t>42</w:t>
      </w:r>
      <w:r w:rsidR="00990A6B">
        <w:rPr>
          <w:rStyle w:val="References"/>
        </w:rPr>
        <w:t xml:space="preserve"> to 47</w:t>
      </w:r>
      <w:r>
        <w:rPr>
          <w:rStyle w:val="References"/>
        </w:rPr>
        <w:t xml:space="preserve">, </w:t>
      </w:r>
      <w:r w:rsidR="00230630">
        <w:rPr>
          <w:rStyle w:val="References"/>
        </w:rPr>
        <w:t xml:space="preserve">heading to </w:t>
      </w:r>
      <w:r>
        <w:rPr>
          <w:rStyle w:val="References"/>
        </w:rPr>
        <w:t>Division 6 of Part 2M.3</w:t>
      </w:r>
      <w:r w:rsidR="00990A6B">
        <w:rPr>
          <w:rStyle w:val="References"/>
        </w:rPr>
        <w:t>,</w:t>
      </w:r>
      <w:r w:rsidR="003D7D58">
        <w:rPr>
          <w:rStyle w:val="References"/>
        </w:rPr>
        <w:t xml:space="preserve"> subsections 323(1) and </w:t>
      </w:r>
      <w:r>
        <w:rPr>
          <w:rStyle w:val="References"/>
        </w:rPr>
        <w:t>323</w:t>
      </w:r>
      <w:proofErr w:type="gramStart"/>
      <w:r>
        <w:rPr>
          <w:rStyle w:val="References"/>
        </w:rPr>
        <w:t>B(</w:t>
      </w:r>
      <w:proofErr w:type="gramEnd"/>
      <w:r>
        <w:rPr>
          <w:rStyle w:val="References"/>
        </w:rPr>
        <w:t>1)</w:t>
      </w:r>
      <w:r w:rsidR="003D7D58">
        <w:rPr>
          <w:rStyle w:val="References"/>
        </w:rPr>
        <w:t>,</w:t>
      </w:r>
      <w:r>
        <w:rPr>
          <w:rStyle w:val="References"/>
        </w:rPr>
        <w:t xml:space="preserve"> and section 323C</w:t>
      </w:r>
      <w:r w:rsidRPr="000547E5">
        <w:rPr>
          <w:rStyle w:val="References"/>
        </w:rPr>
        <w:t xml:space="preserve">] </w:t>
      </w:r>
    </w:p>
    <w:p w14:paraId="6BE478C7" w14:textId="77777777" w:rsidR="00FC36B3" w:rsidRDefault="00FC36B3" w:rsidP="00FC36B3">
      <w:pPr>
        <w:pStyle w:val="Heading4"/>
        <w:numPr>
          <w:ilvl w:val="3"/>
          <w:numId w:val="2"/>
        </w:numPr>
      </w:pPr>
      <w:r>
        <w:t xml:space="preserve">Product disclosure </w:t>
      </w:r>
    </w:p>
    <w:p w14:paraId="36FA4A6D" w14:textId="12179E56" w:rsidR="00FC36B3" w:rsidRDefault="00FC36B3" w:rsidP="00FC36B3">
      <w:pPr>
        <w:pStyle w:val="Normalparatextwithnumbers"/>
      </w:pPr>
      <w:r>
        <w:t>The prospectus for continuously quoted securities or a product disclosure statement relating to a managed investment scheme that is an ED security must inform people of their right to obtain a copy of the most recently lodged sustainability disclosure report if the body has lodged a sustainability report with ASIC. The contents of an offer information statement for the issue of a body’s securities must include a copy of the most recent sustainability report prepared.</w:t>
      </w:r>
      <w:r>
        <w:br/>
      </w:r>
      <w:r w:rsidRPr="00E431B8">
        <w:rPr>
          <w:rStyle w:val="References"/>
        </w:rPr>
        <w:t xml:space="preserve">[Schedule </w:t>
      </w:r>
      <w:r>
        <w:rPr>
          <w:rStyle w:val="References"/>
        </w:rPr>
        <w:t>#</w:t>
      </w:r>
      <w:r w:rsidRPr="00E431B8">
        <w:rPr>
          <w:rStyle w:val="References"/>
        </w:rPr>
        <w:t>,</w:t>
      </w:r>
      <w:r w:rsidR="00894E6F">
        <w:rPr>
          <w:rStyle w:val="References"/>
        </w:rPr>
        <w:t xml:space="preserve"> </w:t>
      </w:r>
      <w:r w:rsidRPr="00E431B8">
        <w:rPr>
          <w:rStyle w:val="References"/>
        </w:rPr>
        <w:t>item</w:t>
      </w:r>
      <w:r>
        <w:rPr>
          <w:rStyle w:val="References"/>
        </w:rPr>
        <w:t xml:space="preserve">s </w:t>
      </w:r>
      <w:r w:rsidR="003D7D58">
        <w:rPr>
          <w:rStyle w:val="References"/>
        </w:rPr>
        <w:t>48</w:t>
      </w:r>
      <w:r>
        <w:rPr>
          <w:rStyle w:val="References"/>
        </w:rPr>
        <w:t xml:space="preserve">, </w:t>
      </w:r>
      <w:r w:rsidR="0055382D">
        <w:rPr>
          <w:rStyle w:val="References"/>
        </w:rPr>
        <w:t>49</w:t>
      </w:r>
      <w:r>
        <w:rPr>
          <w:rStyle w:val="References"/>
        </w:rPr>
        <w:t xml:space="preserve"> and </w:t>
      </w:r>
      <w:r w:rsidR="009F757E">
        <w:rPr>
          <w:rStyle w:val="References"/>
        </w:rPr>
        <w:t>51</w:t>
      </w:r>
      <w:r>
        <w:rPr>
          <w:rStyle w:val="References"/>
        </w:rPr>
        <w:t>, subparagraphs</w:t>
      </w:r>
      <w:r w:rsidR="009F757E">
        <w:rPr>
          <w:rStyle w:val="References"/>
        </w:rPr>
        <w:t> </w:t>
      </w:r>
      <w:r>
        <w:rPr>
          <w:rStyle w:val="References"/>
        </w:rPr>
        <w:t>713(4)(</w:t>
      </w:r>
      <w:proofErr w:type="gramStart"/>
      <w:r>
        <w:rPr>
          <w:rStyle w:val="References"/>
        </w:rPr>
        <w:t>a)(</w:t>
      </w:r>
      <w:proofErr w:type="spellStart"/>
      <w:proofErr w:type="gramEnd"/>
      <w:r>
        <w:rPr>
          <w:rStyle w:val="References"/>
        </w:rPr>
        <w:t>ia</w:t>
      </w:r>
      <w:proofErr w:type="spellEnd"/>
      <w:r>
        <w:rPr>
          <w:rStyle w:val="References"/>
        </w:rPr>
        <w:t>) 715(1)(</w:t>
      </w:r>
      <w:proofErr w:type="spellStart"/>
      <w:r>
        <w:rPr>
          <w:rStyle w:val="References"/>
        </w:rPr>
        <w:t>ia</w:t>
      </w:r>
      <w:proofErr w:type="spellEnd"/>
      <w:r>
        <w:rPr>
          <w:rStyle w:val="References"/>
        </w:rPr>
        <w:t>) and 1013</w:t>
      </w:r>
      <w:r w:rsidR="009F757E">
        <w:rPr>
          <w:rStyle w:val="References"/>
        </w:rPr>
        <w:t>I</w:t>
      </w:r>
      <w:r>
        <w:rPr>
          <w:rStyle w:val="References"/>
        </w:rPr>
        <w:t>(3)(a)(</w:t>
      </w:r>
      <w:proofErr w:type="spellStart"/>
      <w:r>
        <w:rPr>
          <w:rStyle w:val="References"/>
        </w:rPr>
        <w:t>ia</w:t>
      </w:r>
      <w:proofErr w:type="spellEnd"/>
      <w:r>
        <w:rPr>
          <w:rStyle w:val="References"/>
        </w:rPr>
        <w:t>)</w:t>
      </w:r>
      <w:r w:rsidRPr="00E431B8">
        <w:rPr>
          <w:rStyle w:val="References"/>
        </w:rPr>
        <w:t xml:space="preserve">] </w:t>
      </w:r>
    </w:p>
    <w:p w14:paraId="3B06133C" w14:textId="1A52B7C0" w:rsidR="00FC36B3" w:rsidRPr="00E431B8" w:rsidRDefault="00FC36B3" w:rsidP="00FC36B3">
      <w:pPr>
        <w:pStyle w:val="Normalparatextwithnumbers"/>
        <w:rPr>
          <w:rStyle w:val="References"/>
          <w:b w:val="0"/>
          <w:bCs w:val="0"/>
          <w:i w:val="0"/>
          <w:iCs w:val="0"/>
        </w:rPr>
      </w:pPr>
      <w:r>
        <w:t>However, for continuously quoted securities that are not securities of a notified foreign fund passport, the information is not required to be included in the Product Disclosure Statement if the issuer of the product has lodged a sustainability report with ASIC that contains the information.</w:t>
      </w:r>
      <w:r>
        <w:br/>
      </w:r>
      <w:r w:rsidRPr="00E431B8">
        <w:rPr>
          <w:rStyle w:val="References"/>
        </w:rPr>
        <w:t xml:space="preserve">[Schedule </w:t>
      </w:r>
      <w:r>
        <w:rPr>
          <w:rStyle w:val="References"/>
        </w:rPr>
        <w:t>#,</w:t>
      </w:r>
      <w:r w:rsidR="00894E6F">
        <w:rPr>
          <w:rStyle w:val="References"/>
        </w:rPr>
        <w:t xml:space="preserve"> </w:t>
      </w:r>
      <w:r w:rsidRPr="00E431B8">
        <w:rPr>
          <w:rStyle w:val="References"/>
        </w:rPr>
        <w:t>item</w:t>
      </w:r>
      <w:r>
        <w:rPr>
          <w:rStyle w:val="References"/>
        </w:rPr>
        <w:t xml:space="preserve"> </w:t>
      </w:r>
      <w:r w:rsidR="009F757E">
        <w:rPr>
          <w:rStyle w:val="References"/>
        </w:rPr>
        <w:t>50</w:t>
      </w:r>
      <w:r>
        <w:rPr>
          <w:rStyle w:val="References"/>
        </w:rPr>
        <w:t>, subparagraph 1013FA(2)(</w:t>
      </w:r>
      <w:proofErr w:type="gramStart"/>
      <w:r>
        <w:rPr>
          <w:rStyle w:val="References"/>
        </w:rPr>
        <w:t>a)(</w:t>
      </w:r>
      <w:proofErr w:type="spellStart"/>
      <w:proofErr w:type="gramEnd"/>
      <w:r>
        <w:rPr>
          <w:rStyle w:val="References"/>
        </w:rPr>
        <w:t>ia</w:t>
      </w:r>
      <w:proofErr w:type="spellEnd"/>
      <w:r>
        <w:rPr>
          <w:rStyle w:val="References"/>
        </w:rPr>
        <w:t>)]</w:t>
      </w:r>
    </w:p>
    <w:p w14:paraId="731CC441" w14:textId="39B04B7B" w:rsidR="00FC36B3" w:rsidRPr="00E431B8" w:rsidRDefault="00FC36B3" w:rsidP="00FC36B3">
      <w:pPr>
        <w:pStyle w:val="Normalparatextwithnumbers"/>
        <w:rPr>
          <w:rStyle w:val="References"/>
          <w:b w:val="0"/>
          <w:bCs w:val="0"/>
          <w:i w:val="0"/>
          <w:iCs w:val="0"/>
        </w:rPr>
      </w:pPr>
      <w:r>
        <w:t>Issuers for superannuation products relating to a registrable superannuation entity must give a concerned person a copy of the sustainability disclosure report the entity has prepared for the financial year if the concerned person made the request in writing. The term ‘concerned person’ is defined in subsection 1017</w:t>
      </w:r>
      <w:proofErr w:type="gramStart"/>
      <w:r>
        <w:t>C(</w:t>
      </w:r>
      <w:proofErr w:type="gramEnd"/>
      <w:r>
        <w:t xml:space="preserve">9). This requirement already applies to the financial report, directors’ report, and auditor’s report on the financial report, of the entity for a specified financial year.  </w:t>
      </w:r>
      <w:r>
        <w:br/>
      </w:r>
      <w:r w:rsidRPr="00E431B8">
        <w:rPr>
          <w:rStyle w:val="References"/>
        </w:rPr>
        <w:t xml:space="preserve">[Schedule </w:t>
      </w:r>
      <w:r>
        <w:rPr>
          <w:rStyle w:val="References"/>
        </w:rPr>
        <w:t>#</w:t>
      </w:r>
      <w:r w:rsidRPr="00E431B8">
        <w:rPr>
          <w:rStyle w:val="References"/>
        </w:rPr>
        <w:t>,</w:t>
      </w:r>
      <w:r w:rsidR="00894E6F">
        <w:rPr>
          <w:rStyle w:val="References"/>
        </w:rPr>
        <w:t xml:space="preserve"> </w:t>
      </w:r>
      <w:r>
        <w:rPr>
          <w:rStyle w:val="References"/>
        </w:rPr>
        <w:t xml:space="preserve">item </w:t>
      </w:r>
      <w:r w:rsidR="004401F6">
        <w:rPr>
          <w:rStyle w:val="References"/>
        </w:rPr>
        <w:t>52</w:t>
      </w:r>
      <w:r>
        <w:rPr>
          <w:rStyle w:val="References"/>
        </w:rPr>
        <w:t>, paragraph 1017C(3</w:t>
      </w:r>
      <w:proofErr w:type="gramStart"/>
      <w:r>
        <w:rPr>
          <w:rStyle w:val="References"/>
        </w:rPr>
        <w:t>AA)(</w:t>
      </w:r>
      <w:proofErr w:type="gramEnd"/>
      <w:r>
        <w:rPr>
          <w:rStyle w:val="References"/>
        </w:rPr>
        <w:t>a)(aa)</w:t>
      </w:r>
      <w:r w:rsidRPr="00E431B8">
        <w:rPr>
          <w:rStyle w:val="References"/>
        </w:rPr>
        <w:t xml:space="preserve">] </w:t>
      </w:r>
    </w:p>
    <w:p w14:paraId="31A1DB30" w14:textId="3DB474C1" w:rsidR="00FC36B3" w:rsidRPr="009F2C89" w:rsidRDefault="00B905D5" w:rsidP="00FC36B3">
      <w:pPr>
        <w:pStyle w:val="Normalparatextwithnumbers"/>
        <w:rPr>
          <w:rStyle w:val="References"/>
          <w:b w:val="0"/>
          <w:bCs w:val="0"/>
          <w:i w:val="0"/>
          <w:iCs w:val="0"/>
        </w:rPr>
      </w:pPr>
      <w:r>
        <w:rPr>
          <w:rStyle w:val="References"/>
          <w:b w:val="0"/>
          <w:bCs w:val="0"/>
          <w:i w:val="0"/>
          <w:iCs w:val="0"/>
        </w:rPr>
        <w:t xml:space="preserve">Consequential amendments </w:t>
      </w:r>
      <w:r w:rsidR="00FC36B3">
        <w:rPr>
          <w:rStyle w:val="References"/>
          <w:b w:val="0"/>
          <w:bCs w:val="0"/>
          <w:i w:val="0"/>
          <w:iCs w:val="0"/>
        </w:rPr>
        <w:t xml:space="preserve">relating to corporate finance and financial reporting for CCIVs are updated </w:t>
      </w:r>
      <w:r>
        <w:rPr>
          <w:rStyle w:val="References"/>
          <w:b w:val="0"/>
          <w:bCs w:val="0"/>
          <w:i w:val="0"/>
          <w:iCs w:val="0"/>
        </w:rPr>
        <w:t xml:space="preserve">to support the new </w:t>
      </w:r>
      <w:r w:rsidR="00FC36B3">
        <w:rPr>
          <w:rStyle w:val="References"/>
          <w:b w:val="0"/>
          <w:bCs w:val="0"/>
          <w:i w:val="0"/>
          <w:iCs w:val="0"/>
        </w:rPr>
        <w:t xml:space="preserve">sustainability reporting requirements. </w:t>
      </w:r>
      <w:r w:rsidR="00FC36B3">
        <w:rPr>
          <w:rStyle w:val="References"/>
          <w:b w:val="0"/>
          <w:bCs w:val="0"/>
          <w:i w:val="0"/>
          <w:iCs w:val="0"/>
        </w:rPr>
        <w:br/>
      </w:r>
      <w:r w:rsidR="00FC36B3" w:rsidRPr="00E431B8">
        <w:rPr>
          <w:rStyle w:val="References"/>
        </w:rPr>
        <w:t xml:space="preserve">[Schedule </w:t>
      </w:r>
      <w:r w:rsidR="00FC36B3">
        <w:rPr>
          <w:rStyle w:val="References"/>
        </w:rPr>
        <w:t>#</w:t>
      </w:r>
      <w:r w:rsidR="00FC36B3" w:rsidRPr="009F2C89">
        <w:rPr>
          <w:rStyle w:val="References"/>
        </w:rPr>
        <w:t>,</w:t>
      </w:r>
      <w:r w:rsidR="00894E6F">
        <w:rPr>
          <w:rStyle w:val="References"/>
        </w:rPr>
        <w:t xml:space="preserve"> </w:t>
      </w:r>
      <w:r w:rsidR="00FC36B3">
        <w:rPr>
          <w:rStyle w:val="References"/>
        </w:rPr>
        <w:t xml:space="preserve">items </w:t>
      </w:r>
      <w:r w:rsidR="00095955">
        <w:rPr>
          <w:rStyle w:val="References"/>
        </w:rPr>
        <w:t>53</w:t>
      </w:r>
      <w:r w:rsidR="00FC36B3">
        <w:rPr>
          <w:rStyle w:val="References"/>
        </w:rPr>
        <w:t xml:space="preserve">, </w:t>
      </w:r>
      <w:r w:rsidR="00095955">
        <w:rPr>
          <w:rStyle w:val="References"/>
        </w:rPr>
        <w:t>54</w:t>
      </w:r>
      <w:r w:rsidR="00FC36B3">
        <w:rPr>
          <w:rStyle w:val="References"/>
        </w:rPr>
        <w:t xml:space="preserve">, </w:t>
      </w:r>
      <w:r w:rsidR="00C53E53">
        <w:rPr>
          <w:rStyle w:val="References"/>
        </w:rPr>
        <w:t>56</w:t>
      </w:r>
      <w:r w:rsidR="00FC36B3">
        <w:rPr>
          <w:rStyle w:val="References"/>
        </w:rPr>
        <w:t xml:space="preserve">, </w:t>
      </w:r>
      <w:r w:rsidR="00C53E53">
        <w:rPr>
          <w:rStyle w:val="References"/>
        </w:rPr>
        <w:t xml:space="preserve">headings to </w:t>
      </w:r>
      <w:r w:rsidR="00FC36B3">
        <w:rPr>
          <w:rStyle w:val="References"/>
        </w:rPr>
        <w:t>Part</w:t>
      </w:r>
      <w:r w:rsidR="00C53E53">
        <w:rPr>
          <w:rStyle w:val="References"/>
        </w:rPr>
        <w:t> </w:t>
      </w:r>
      <w:r w:rsidR="00FC36B3">
        <w:rPr>
          <w:rStyle w:val="References"/>
        </w:rPr>
        <w:t>8.4B, Division 4 of Part 8B.4,</w:t>
      </w:r>
      <w:r w:rsidR="00D81BFB">
        <w:rPr>
          <w:rStyle w:val="References"/>
        </w:rPr>
        <w:t xml:space="preserve"> and</w:t>
      </w:r>
      <w:r w:rsidR="00FC36B3">
        <w:rPr>
          <w:rStyle w:val="References"/>
        </w:rPr>
        <w:t xml:space="preserve"> Subdivision C of Division 4 of Part 8B.4</w:t>
      </w:r>
      <w:r w:rsidR="00FC36B3" w:rsidRPr="009F2C89">
        <w:rPr>
          <w:rStyle w:val="References"/>
        </w:rPr>
        <w:t xml:space="preserve">] </w:t>
      </w:r>
    </w:p>
    <w:p w14:paraId="296297BB" w14:textId="451A37C8" w:rsidR="00FC36B3" w:rsidRDefault="00D81BFB" w:rsidP="00FC36B3">
      <w:pPr>
        <w:pStyle w:val="Normalparatextwithnumbers"/>
        <w:rPr>
          <w:rStyle w:val="References"/>
          <w:b w:val="0"/>
          <w:bCs w:val="0"/>
          <w:i w:val="0"/>
          <w:iCs w:val="0"/>
        </w:rPr>
      </w:pPr>
      <w:r>
        <w:rPr>
          <w:rStyle w:val="References"/>
          <w:b w:val="0"/>
          <w:bCs w:val="0"/>
          <w:i w:val="0"/>
          <w:iCs w:val="0"/>
        </w:rPr>
        <w:t>F</w:t>
      </w:r>
      <w:r w:rsidR="00FC36B3">
        <w:rPr>
          <w:rStyle w:val="References"/>
          <w:b w:val="0"/>
          <w:bCs w:val="0"/>
          <w:i w:val="0"/>
          <w:iCs w:val="0"/>
        </w:rPr>
        <w:t>inancial reporting in Part</w:t>
      </w:r>
      <w:r>
        <w:rPr>
          <w:rStyle w:val="References"/>
          <w:b w:val="0"/>
          <w:bCs w:val="0"/>
          <w:i w:val="0"/>
          <w:iCs w:val="0"/>
        </w:rPr>
        <w:t> </w:t>
      </w:r>
      <w:r w:rsidR="00FC36B3">
        <w:rPr>
          <w:rStyle w:val="References"/>
          <w:b w:val="0"/>
          <w:bCs w:val="0"/>
          <w:i w:val="0"/>
          <w:iCs w:val="0"/>
        </w:rPr>
        <w:t xml:space="preserve">2M.3 </w:t>
      </w:r>
      <w:r>
        <w:rPr>
          <w:rStyle w:val="References"/>
          <w:b w:val="0"/>
          <w:bCs w:val="0"/>
          <w:i w:val="0"/>
          <w:iCs w:val="0"/>
        </w:rPr>
        <w:t xml:space="preserve">that </w:t>
      </w:r>
      <w:r w:rsidR="00FC36B3">
        <w:rPr>
          <w:rStyle w:val="References"/>
          <w:b w:val="0"/>
          <w:bCs w:val="0"/>
          <w:i w:val="0"/>
          <w:iCs w:val="0"/>
        </w:rPr>
        <w:t xml:space="preserve">apply to CCIVs are </w:t>
      </w:r>
      <w:r>
        <w:rPr>
          <w:rStyle w:val="References"/>
          <w:b w:val="0"/>
          <w:bCs w:val="0"/>
          <w:i w:val="0"/>
          <w:iCs w:val="0"/>
        </w:rPr>
        <w:t xml:space="preserve">also </w:t>
      </w:r>
      <w:r w:rsidR="00FC36B3">
        <w:rPr>
          <w:rStyle w:val="References"/>
          <w:b w:val="0"/>
          <w:bCs w:val="0"/>
          <w:i w:val="0"/>
          <w:iCs w:val="0"/>
        </w:rPr>
        <w:t>updated to include sustainability reports. This means if a CCIV meets the thresholds for sustainability reports (see above in paragraph </w:t>
      </w:r>
      <w:r w:rsidR="00551460">
        <w:rPr>
          <w:rStyle w:val="References"/>
          <w:b w:val="0"/>
          <w:bCs w:val="0"/>
          <w:i w:val="0"/>
          <w:iCs w:val="0"/>
        </w:rPr>
        <w:t>1.30</w:t>
      </w:r>
      <w:r w:rsidR="00FC36B3">
        <w:rPr>
          <w:rStyle w:val="References"/>
          <w:b w:val="0"/>
          <w:bCs w:val="0"/>
          <w:i w:val="0"/>
          <w:iCs w:val="0"/>
        </w:rPr>
        <w:t xml:space="preserve"> of this explanatory memorandum). The remaining provisions relating to financial reporting requirements of Division 1 of Part</w:t>
      </w:r>
      <w:r>
        <w:rPr>
          <w:rStyle w:val="References"/>
          <w:b w:val="0"/>
          <w:bCs w:val="0"/>
          <w:i w:val="0"/>
          <w:iCs w:val="0"/>
        </w:rPr>
        <w:t> </w:t>
      </w:r>
      <w:r w:rsidR="00FC36B3">
        <w:rPr>
          <w:rStyle w:val="References"/>
          <w:b w:val="0"/>
          <w:bCs w:val="0"/>
          <w:i w:val="0"/>
          <w:iCs w:val="0"/>
        </w:rPr>
        <w:t>2M.3 also apply to CCIVs in relation to sustainability reports and the documents of which a sustainability report consists in the Act.</w:t>
      </w:r>
      <w:r w:rsidR="00FC36B3" w:rsidRPr="002D1460">
        <w:rPr>
          <w:rStyle w:val="References"/>
          <w:b w:val="0"/>
          <w:bCs w:val="0"/>
          <w:i w:val="0"/>
          <w:iCs w:val="0"/>
        </w:rPr>
        <w:br/>
      </w:r>
      <w:r w:rsidR="00FC36B3" w:rsidRPr="009F2C89">
        <w:rPr>
          <w:rStyle w:val="References"/>
        </w:rPr>
        <w:t xml:space="preserve">[Schedule </w:t>
      </w:r>
      <w:r w:rsidR="00FC36B3">
        <w:rPr>
          <w:rStyle w:val="References"/>
        </w:rPr>
        <w:t>#</w:t>
      </w:r>
      <w:r w:rsidR="00FC36B3" w:rsidRPr="009F2C89">
        <w:rPr>
          <w:rStyle w:val="References"/>
        </w:rPr>
        <w:t>,</w:t>
      </w:r>
      <w:r w:rsidR="00894E6F">
        <w:rPr>
          <w:rStyle w:val="References"/>
        </w:rPr>
        <w:t xml:space="preserve"> </w:t>
      </w:r>
      <w:r w:rsidR="00FC36B3">
        <w:rPr>
          <w:rStyle w:val="References"/>
        </w:rPr>
        <w:t xml:space="preserve">items </w:t>
      </w:r>
      <w:r w:rsidR="008A0323">
        <w:rPr>
          <w:rStyle w:val="References"/>
        </w:rPr>
        <w:t>55</w:t>
      </w:r>
      <w:r w:rsidR="00FC36B3">
        <w:rPr>
          <w:rStyle w:val="References"/>
        </w:rPr>
        <w:t xml:space="preserve">, </w:t>
      </w:r>
      <w:r w:rsidR="008A0323">
        <w:rPr>
          <w:rStyle w:val="References"/>
        </w:rPr>
        <w:t>57</w:t>
      </w:r>
      <w:r w:rsidR="00FC36B3">
        <w:rPr>
          <w:rStyle w:val="References"/>
        </w:rPr>
        <w:t xml:space="preserve">, </w:t>
      </w:r>
      <w:r w:rsidR="008A0323">
        <w:rPr>
          <w:rStyle w:val="References"/>
        </w:rPr>
        <w:t>58</w:t>
      </w:r>
      <w:r w:rsidR="00FC36B3">
        <w:rPr>
          <w:rStyle w:val="References"/>
        </w:rPr>
        <w:t xml:space="preserve"> and </w:t>
      </w:r>
      <w:r w:rsidR="008A0323">
        <w:rPr>
          <w:rStyle w:val="References"/>
        </w:rPr>
        <w:t>59</w:t>
      </w:r>
      <w:r w:rsidR="00FC36B3">
        <w:rPr>
          <w:rStyle w:val="References"/>
        </w:rPr>
        <w:t>, subsection</w:t>
      </w:r>
      <w:r w:rsidR="008A0323">
        <w:rPr>
          <w:rStyle w:val="References"/>
        </w:rPr>
        <w:t> </w:t>
      </w:r>
      <w:r w:rsidR="00FC36B3">
        <w:rPr>
          <w:rStyle w:val="References"/>
        </w:rPr>
        <w:t>1232</w:t>
      </w:r>
      <w:proofErr w:type="gramStart"/>
      <w:r w:rsidR="00FC36B3">
        <w:rPr>
          <w:rStyle w:val="References"/>
        </w:rPr>
        <w:t>C(</w:t>
      </w:r>
      <w:proofErr w:type="gramEnd"/>
      <w:r w:rsidR="00FC36B3">
        <w:rPr>
          <w:rStyle w:val="References"/>
        </w:rPr>
        <w:t>1) and paragraphs 1232C(1)(aa)</w:t>
      </w:r>
      <w:r w:rsidR="00782C2F">
        <w:rPr>
          <w:rStyle w:val="References"/>
        </w:rPr>
        <w:t>,</w:t>
      </w:r>
      <w:r w:rsidR="00FC36B3">
        <w:rPr>
          <w:rStyle w:val="References"/>
        </w:rPr>
        <w:t>1232C(2)(a) and</w:t>
      </w:r>
      <w:r w:rsidR="00782C2F">
        <w:rPr>
          <w:rStyle w:val="References"/>
        </w:rPr>
        <w:t> 1232</w:t>
      </w:r>
      <w:r w:rsidR="00FC36B3">
        <w:rPr>
          <w:rStyle w:val="References"/>
        </w:rPr>
        <w:t>(c)</w:t>
      </w:r>
      <w:r w:rsidR="00FC36B3" w:rsidRPr="009F2C89">
        <w:rPr>
          <w:rStyle w:val="References"/>
        </w:rPr>
        <w:t xml:space="preserve">] </w:t>
      </w:r>
      <w:r w:rsidR="00FC36B3" w:rsidRPr="002D1460">
        <w:rPr>
          <w:rStyle w:val="References"/>
          <w:b w:val="0"/>
          <w:bCs w:val="0"/>
          <w:i w:val="0"/>
          <w:iCs w:val="0"/>
        </w:rPr>
        <w:t xml:space="preserve"> </w:t>
      </w:r>
    </w:p>
    <w:p w14:paraId="4663ABDD" w14:textId="302B650C" w:rsidR="00FC36B3" w:rsidRPr="00746DB9" w:rsidRDefault="00FC36B3" w:rsidP="00FC36B3">
      <w:pPr>
        <w:pStyle w:val="Normalparatextwithnumbers"/>
        <w:rPr>
          <w:rStyle w:val="References"/>
          <w:b w:val="0"/>
          <w:i w:val="0"/>
        </w:rPr>
      </w:pPr>
      <w:r>
        <w:rPr>
          <w:rStyle w:val="References"/>
          <w:b w:val="0"/>
          <w:bCs w:val="0"/>
          <w:i w:val="0"/>
          <w:iCs w:val="0"/>
        </w:rPr>
        <w:t xml:space="preserve">A sustainability disclosure report for a sub-fund must comply with further requirements prescribed by regulations made for the purposes of annual financial reports and directors reports for sub-funds in CCIVs. </w:t>
      </w:r>
      <w:r>
        <w:rPr>
          <w:rStyle w:val="References"/>
          <w:b w:val="0"/>
          <w:bCs w:val="0"/>
          <w:i w:val="0"/>
          <w:iCs w:val="0"/>
        </w:rPr>
        <w:br/>
      </w:r>
      <w:r w:rsidRPr="009F2C89">
        <w:rPr>
          <w:rStyle w:val="References"/>
        </w:rPr>
        <w:t xml:space="preserve">[Schedule </w:t>
      </w:r>
      <w:r>
        <w:rPr>
          <w:rStyle w:val="References"/>
        </w:rPr>
        <w:t>#</w:t>
      </w:r>
      <w:r w:rsidRPr="009F2C89">
        <w:rPr>
          <w:rStyle w:val="References"/>
        </w:rPr>
        <w:t>,</w:t>
      </w:r>
      <w:r w:rsidR="00894E6F">
        <w:rPr>
          <w:rStyle w:val="References"/>
        </w:rPr>
        <w:t xml:space="preserve"> </w:t>
      </w:r>
      <w:r w:rsidRPr="009F2C89">
        <w:rPr>
          <w:rStyle w:val="References"/>
        </w:rPr>
        <w:t>item</w:t>
      </w:r>
      <w:r>
        <w:rPr>
          <w:rStyle w:val="References"/>
        </w:rPr>
        <w:t xml:space="preserve"> </w:t>
      </w:r>
      <w:r w:rsidR="00782C2F">
        <w:rPr>
          <w:rStyle w:val="References"/>
        </w:rPr>
        <w:t>60</w:t>
      </w:r>
      <w:r w:rsidRPr="009F2C89">
        <w:rPr>
          <w:rStyle w:val="References"/>
        </w:rPr>
        <w:t xml:space="preserve">, </w:t>
      </w:r>
      <w:r>
        <w:rPr>
          <w:rStyle w:val="References"/>
        </w:rPr>
        <w:t>subsection 1232</w:t>
      </w:r>
      <w:proofErr w:type="gramStart"/>
      <w:r>
        <w:rPr>
          <w:rStyle w:val="References"/>
        </w:rPr>
        <w:t>D(</w:t>
      </w:r>
      <w:proofErr w:type="gramEnd"/>
      <w:r>
        <w:rPr>
          <w:rStyle w:val="References"/>
        </w:rPr>
        <w:t>4)</w:t>
      </w:r>
      <w:r w:rsidRPr="009F2C89">
        <w:rPr>
          <w:rStyle w:val="References"/>
        </w:rPr>
        <w:t xml:space="preserve">] </w:t>
      </w:r>
    </w:p>
    <w:p w14:paraId="78C50956" w14:textId="7D413C2E" w:rsidR="00FC36B3" w:rsidRPr="00617D3C" w:rsidRDefault="00FC36B3" w:rsidP="00FC36B3">
      <w:pPr>
        <w:pStyle w:val="Normalparatextwithnumbers"/>
        <w:rPr>
          <w:rStyle w:val="References"/>
          <w:b w:val="0"/>
          <w:bCs w:val="0"/>
          <w:i w:val="0"/>
          <w:iCs w:val="0"/>
        </w:rPr>
      </w:pPr>
      <w:r>
        <w:rPr>
          <w:rStyle w:val="References"/>
          <w:b w:val="0"/>
          <w:bCs w:val="0"/>
          <w:i w:val="0"/>
          <w:iCs w:val="0"/>
        </w:rPr>
        <w:t xml:space="preserve">Annual financial reporting requirements for companies, registered schemes and disclosing entities apply to a retail CCIV in relation to each of its sub-funds as if the requirement were a requirement to report to members of the sub-fund for the year. The requirement to report must provide a sustainability disclosure report as well as a financial report and director’s report and the auditor’s report on the financial report. The amendment reflects the fact the </w:t>
      </w:r>
      <w:r w:rsidRPr="00617D3C">
        <w:rPr>
          <w:rStyle w:val="References"/>
          <w:b w:val="0"/>
          <w:bCs w:val="0"/>
          <w:i w:val="0"/>
          <w:iCs w:val="0"/>
        </w:rPr>
        <w:t xml:space="preserve">auditor reports on the financial report itself. </w:t>
      </w:r>
      <w:r w:rsidRPr="00617D3C">
        <w:rPr>
          <w:rStyle w:val="References"/>
          <w:b w:val="0"/>
          <w:bCs w:val="0"/>
          <w:i w:val="0"/>
          <w:iCs w:val="0"/>
        </w:rPr>
        <w:br/>
      </w:r>
      <w:r w:rsidRPr="00617D3C">
        <w:rPr>
          <w:rStyle w:val="References"/>
        </w:rPr>
        <w:t>[Schedule #,</w:t>
      </w:r>
      <w:r w:rsidR="00894E6F">
        <w:rPr>
          <w:rStyle w:val="References"/>
        </w:rPr>
        <w:t xml:space="preserve"> </w:t>
      </w:r>
      <w:r w:rsidRPr="00617D3C">
        <w:rPr>
          <w:rStyle w:val="References"/>
        </w:rPr>
        <w:t xml:space="preserve">items </w:t>
      </w:r>
      <w:r w:rsidR="004D0CF5">
        <w:rPr>
          <w:rStyle w:val="References"/>
        </w:rPr>
        <w:t>61</w:t>
      </w:r>
      <w:r w:rsidRPr="00617D3C">
        <w:rPr>
          <w:rStyle w:val="References"/>
        </w:rPr>
        <w:t xml:space="preserve"> and </w:t>
      </w:r>
      <w:r w:rsidR="004D0CF5">
        <w:rPr>
          <w:rStyle w:val="References"/>
        </w:rPr>
        <w:t>62</w:t>
      </w:r>
      <w:r w:rsidRPr="00617D3C">
        <w:rPr>
          <w:rStyle w:val="References"/>
        </w:rPr>
        <w:t>, subparagraph</w:t>
      </w:r>
      <w:r w:rsidR="009219A6">
        <w:rPr>
          <w:rStyle w:val="References"/>
        </w:rPr>
        <w:t>s</w:t>
      </w:r>
      <w:r w:rsidRPr="00617D3C">
        <w:rPr>
          <w:rStyle w:val="References"/>
        </w:rPr>
        <w:t xml:space="preserve"> 1232H(1)(a)(</w:t>
      </w:r>
      <w:proofErr w:type="spellStart"/>
      <w:r w:rsidRPr="00617D3C">
        <w:rPr>
          <w:rStyle w:val="References"/>
        </w:rPr>
        <w:t>i</w:t>
      </w:r>
      <w:proofErr w:type="spellEnd"/>
      <w:r w:rsidRPr="00617D3C">
        <w:rPr>
          <w:rStyle w:val="References"/>
        </w:rPr>
        <w:t>)</w:t>
      </w:r>
      <w:r w:rsidR="009219A6">
        <w:rPr>
          <w:rStyle w:val="References"/>
        </w:rPr>
        <w:t xml:space="preserve"> and </w:t>
      </w:r>
      <w:r w:rsidRPr="00617D3C">
        <w:rPr>
          <w:rStyle w:val="References"/>
        </w:rPr>
        <w:t xml:space="preserve">(ii)] </w:t>
      </w:r>
      <w:r w:rsidRPr="00617D3C">
        <w:rPr>
          <w:rStyle w:val="References"/>
          <w:b w:val="0"/>
          <w:bCs w:val="0"/>
          <w:i w:val="0"/>
          <w:iCs w:val="0"/>
        </w:rPr>
        <w:t xml:space="preserve"> </w:t>
      </w:r>
    </w:p>
    <w:p w14:paraId="3A041018" w14:textId="64ADBA1E" w:rsidR="00FC36B3" w:rsidRPr="00617D3C" w:rsidRDefault="00FC36B3" w:rsidP="00FC36B3">
      <w:pPr>
        <w:pStyle w:val="Normalparatextwithnumbers"/>
        <w:rPr>
          <w:rStyle w:val="References"/>
          <w:b w:val="0"/>
          <w:bCs w:val="0"/>
          <w:i w:val="0"/>
          <w:iCs w:val="0"/>
        </w:rPr>
      </w:pPr>
      <w:r w:rsidRPr="00617D3C">
        <w:rPr>
          <w:rStyle w:val="References"/>
          <w:b w:val="0"/>
          <w:bCs w:val="0"/>
          <w:i w:val="0"/>
          <w:iCs w:val="0"/>
        </w:rPr>
        <w:t>Requirements to relodge if a financial statement or directors’ report relating to a sub</w:t>
      </w:r>
      <w:r>
        <w:rPr>
          <w:rStyle w:val="References"/>
          <w:b w:val="0"/>
          <w:bCs w:val="0"/>
          <w:i w:val="0"/>
          <w:iCs w:val="0"/>
        </w:rPr>
        <w:t>-</w:t>
      </w:r>
      <w:r w:rsidRPr="00617D3C">
        <w:rPr>
          <w:rStyle w:val="References"/>
          <w:b w:val="0"/>
          <w:bCs w:val="0"/>
          <w:i w:val="0"/>
          <w:iCs w:val="0"/>
        </w:rPr>
        <w:t xml:space="preserve">fund is amended after lodgement also applies to sustainability disclosure reports. </w:t>
      </w:r>
      <w:r w:rsidRPr="00617D3C">
        <w:rPr>
          <w:rStyle w:val="References"/>
          <w:b w:val="0"/>
          <w:bCs w:val="0"/>
          <w:i w:val="0"/>
          <w:iCs w:val="0"/>
        </w:rPr>
        <w:br/>
      </w:r>
      <w:r w:rsidRPr="00617D3C">
        <w:rPr>
          <w:rStyle w:val="References"/>
        </w:rPr>
        <w:t>[Schedule #,</w:t>
      </w:r>
      <w:r w:rsidR="00894E6F">
        <w:rPr>
          <w:rStyle w:val="References"/>
        </w:rPr>
        <w:t xml:space="preserve"> </w:t>
      </w:r>
      <w:r w:rsidRPr="00617D3C">
        <w:rPr>
          <w:rStyle w:val="References"/>
        </w:rPr>
        <w:t xml:space="preserve">items </w:t>
      </w:r>
      <w:r w:rsidR="004A7831">
        <w:rPr>
          <w:rStyle w:val="References"/>
        </w:rPr>
        <w:t>63</w:t>
      </w:r>
      <w:r w:rsidRPr="00617D3C">
        <w:rPr>
          <w:rStyle w:val="References"/>
        </w:rPr>
        <w:t xml:space="preserve"> and </w:t>
      </w:r>
      <w:r w:rsidR="004A7831">
        <w:rPr>
          <w:rStyle w:val="References"/>
        </w:rPr>
        <w:t>64</w:t>
      </w:r>
      <w:r w:rsidRPr="00617D3C">
        <w:rPr>
          <w:rStyle w:val="References"/>
        </w:rPr>
        <w:t xml:space="preserve">, </w:t>
      </w:r>
      <w:r w:rsidR="004A7831">
        <w:rPr>
          <w:rStyle w:val="References"/>
        </w:rPr>
        <w:t xml:space="preserve">heading to </w:t>
      </w:r>
      <w:r w:rsidRPr="00617D3C">
        <w:rPr>
          <w:rStyle w:val="References"/>
        </w:rPr>
        <w:t xml:space="preserve">section 1232M and section 1232M] </w:t>
      </w:r>
    </w:p>
    <w:p w14:paraId="48EA3944" w14:textId="3F77E813" w:rsidR="00FC36B3" w:rsidRPr="00401325" w:rsidRDefault="00FC36B3" w:rsidP="00FC36B3">
      <w:pPr>
        <w:pStyle w:val="Normalparatextwithnumbers"/>
        <w:rPr>
          <w:rStyle w:val="References"/>
        </w:rPr>
      </w:pPr>
      <w:r w:rsidRPr="00DF3CDE">
        <w:rPr>
          <w:rStyle w:val="References"/>
          <w:b w:val="0"/>
          <w:bCs w:val="0"/>
          <w:i w:val="0"/>
          <w:iCs w:val="0"/>
        </w:rPr>
        <w:t xml:space="preserve">Consequential amendments are made </w:t>
      </w:r>
      <w:r w:rsidRPr="00617D3C">
        <w:rPr>
          <w:rStyle w:val="References"/>
          <w:b w:val="0"/>
          <w:bCs w:val="0"/>
          <w:i w:val="0"/>
          <w:iCs w:val="0"/>
        </w:rPr>
        <w:t>to Schedule 3 which list the penalty provisions under the amendments in Part 1, specifically, in relation to the obligation to keep sustainability records (subsections 286</w:t>
      </w:r>
      <w:proofErr w:type="gramStart"/>
      <w:r w:rsidRPr="00617D3C">
        <w:rPr>
          <w:rStyle w:val="References"/>
          <w:b w:val="0"/>
          <w:bCs w:val="0"/>
          <w:i w:val="0"/>
          <w:iCs w:val="0"/>
        </w:rPr>
        <w:t>A(</w:t>
      </w:r>
      <w:proofErr w:type="gramEnd"/>
      <w:r w:rsidRPr="00617D3C">
        <w:rPr>
          <w:rStyle w:val="References"/>
          <w:b w:val="0"/>
          <w:bCs w:val="0"/>
          <w:i w:val="0"/>
          <w:iCs w:val="0"/>
        </w:rPr>
        <w:t>3), 286A(4</w:t>
      </w:r>
      <w:r>
        <w:rPr>
          <w:rStyle w:val="References"/>
          <w:b w:val="0"/>
          <w:bCs w:val="0"/>
          <w:i w:val="0"/>
          <w:iCs w:val="0"/>
        </w:rPr>
        <w:t xml:space="preserve">), </w:t>
      </w:r>
      <w:r w:rsidRPr="00617D3C">
        <w:rPr>
          <w:rStyle w:val="References"/>
          <w:b w:val="0"/>
          <w:bCs w:val="0"/>
          <w:i w:val="0"/>
          <w:iCs w:val="0"/>
        </w:rPr>
        <w:t>289</w:t>
      </w:r>
      <w:r>
        <w:rPr>
          <w:rStyle w:val="References"/>
          <w:b w:val="0"/>
          <w:bCs w:val="0"/>
          <w:i w:val="0"/>
          <w:iCs w:val="0"/>
        </w:rPr>
        <w:t>A</w:t>
      </w:r>
      <w:r w:rsidRPr="00617D3C">
        <w:rPr>
          <w:rStyle w:val="References"/>
          <w:b w:val="0"/>
          <w:bCs w:val="0"/>
          <w:i w:val="0"/>
          <w:iCs w:val="0"/>
        </w:rPr>
        <w:t>(2)</w:t>
      </w:r>
      <w:r>
        <w:rPr>
          <w:rStyle w:val="References"/>
          <w:b w:val="0"/>
          <w:bCs w:val="0"/>
          <w:i w:val="0"/>
          <w:iCs w:val="0"/>
        </w:rPr>
        <w:t xml:space="preserve"> and 289A(5))</w:t>
      </w:r>
      <w:r w:rsidRPr="00617D3C">
        <w:rPr>
          <w:rStyle w:val="References"/>
          <w:b w:val="0"/>
          <w:bCs w:val="0"/>
          <w:i w:val="0"/>
          <w:iCs w:val="0"/>
        </w:rPr>
        <w:t>, and the obligation to make sustainability reports publicly available (subsection 316B(1)).</w:t>
      </w:r>
      <w:r w:rsidRPr="00401325" w:rsidDel="00446F19">
        <w:rPr>
          <w:rStyle w:val="References"/>
          <w:b w:val="0"/>
          <w:bCs w:val="0"/>
          <w:i w:val="0"/>
          <w:iCs w:val="0"/>
        </w:rPr>
        <w:t xml:space="preserve"> </w:t>
      </w:r>
      <w:r w:rsidRPr="00401325">
        <w:rPr>
          <w:rStyle w:val="References"/>
          <w:b w:val="0"/>
          <w:bCs w:val="0"/>
          <w:i w:val="0"/>
          <w:iCs w:val="0"/>
        </w:rPr>
        <w:br/>
      </w:r>
      <w:r w:rsidRPr="00401325">
        <w:rPr>
          <w:rStyle w:val="References"/>
        </w:rPr>
        <w:t>[Schedule #,</w:t>
      </w:r>
      <w:r w:rsidR="00894E6F">
        <w:rPr>
          <w:rStyle w:val="References"/>
        </w:rPr>
        <w:t xml:space="preserve"> </w:t>
      </w:r>
      <w:r w:rsidRPr="00401325">
        <w:rPr>
          <w:rStyle w:val="References"/>
        </w:rPr>
        <w:t xml:space="preserve">items </w:t>
      </w:r>
      <w:r w:rsidR="00E34779">
        <w:rPr>
          <w:rStyle w:val="References"/>
        </w:rPr>
        <w:t>65</w:t>
      </w:r>
      <w:r w:rsidRPr="00401325">
        <w:rPr>
          <w:rStyle w:val="References"/>
        </w:rPr>
        <w:t xml:space="preserve"> and </w:t>
      </w:r>
      <w:r w:rsidR="00E34779">
        <w:rPr>
          <w:rStyle w:val="References"/>
        </w:rPr>
        <w:t xml:space="preserve">66, </w:t>
      </w:r>
      <w:r w:rsidR="00AF0201">
        <w:rPr>
          <w:rStyle w:val="References"/>
        </w:rPr>
        <w:t xml:space="preserve">table items in </w:t>
      </w:r>
      <w:r w:rsidR="00E34779">
        <w:rPr>
          <w:rStyle w:val="References"/>
        </w:rPr>
        <w:t>Schedule 3</w:t>
      </w:r>
      <w:r w:rsidR="00AF0201">
        <w:rPr>
          <w:rStyle w:val="References"/>
        </w:rPr>
        <w:t xml:space="preserve"> and table item under Schedule 3 dealing with subsections 316</w:t>
      </w:r>
      <w:proofErr w:type="gramStart"/>
      <w:r w:rsidR="00AF0201">
        <w:rPr>
          <w:rStyle w:val="References"/>
        </w:rPr>
        <w:t>A(</w:t>
      </w:r>
      <w:proofErr w:type="gramEnd"/>
      <w:r w:rsidR="00AF0201">
        <w:rPr>
          <w:rStyle w:val="References"/>
        </w:rPr>
        <w:t>3) and (4), column headed “Provision”</w:t>
      </w:r>
      <w:r w:rsidRPr="00401325">
        <w:rPr>
          <w:rStyle w:val="References"/>
        </w:rPr>
        <w:t>]</w:t>
      </w:r>
    </w:p>
    <w:p w14:paraId="5CA3C9A8" w14:textId="77777777" w:rsidR="00FC36B3" w:rsidRDefault="00FC36B3" w:rsidP="00FC36B3">
      <w:pPr>
        <w:pStyle w:val="Heading3"/>
        <w:rPr>
          <w:rFonts w:hint="eastAsia"/>
        </w:rPr>
      </w:pPr>
      <w:r>
        <w:t>Part 2 – Audit and assurance</w:t>
      </w:r>
    </w:p>
    <w:p w14:paraId="127C17B6" w14:textId="77777777" w:rsidR="00FC36B3" w:rsidRDefault="00FC36B3" w:rsidP="00FC36B3">
      <w:pPr>
        <w:pStyle w:val="Normalparatextwithnumbers"/>
      </w:pPr>
      <w:r w:rsidRPr="00A31BDA">
        <w:t>Climate disclosures will be subject to similar assurance requirements to those currently in the Corporations Act, which require entities to undertake mandatory audit and assurance of financial reports</w:t>
      </w:r>
      <w:r>
        <w:t>.</w:t>
      </w:r>
      <w:r w:rsidRPr="00990E7E">
        <w:t xml:space="preserve"> </w:t>
      </w:r>
      <w:r>
        <w:t>The sustainability disclosure report would be audited by the auditor of the financial report</w:t>
      </w:r>
      <w:r w:rsidRPr="00A31BDA">
        <w:t xml:space="preserve"> supported by technical climate and sustainability experts where </w:t>
      </w:r>
      <w:r>
        <w:t>appropriate</w:t>
      </w:r>
      <w:r w:rsidRPr="00A31BDA">
        <w:t>.</w:t>
      </w:r>
      <w:r>
        <w:t xml:space="preserve"> </w:t>
      </w:r>
      <w:r w:rsidRPr="00325DCC">
        <w:t>AUASB will develop assurance standards in line with the IAASB final standard. The AUASB will also set out a pathway for phasing in requirements over time, which would commence with assurance of Scope 1 and 2 emissions disclosures from 1 July 2024 onwards and end with assurance of all climate disclosures made from 1 July 2030 onwards.</w:t>
      </w:r>
      <w:r>
        <w:t xml:space="preserve"> </w:t>
      </w:r>
    </w:p>
    <w:p w14:paraId="3DA66740" w14:textId="1D4E796A" w:rsidR="00FC36B3" w:rsidRDefault="00FC36B3" w:rsidP="00FC36B3">
      <w:pPr>
        <w:pStyle w:val="Normalparatextwithnumbers"/>
      </w:pPr>
      <w:r>
        <w:t>Details of the amendment</w:t>
      </w:r>
      <w:r w:rsidR="000B5683">
        <w:t>s</w:t>
      </w:r>
      <w:r>
        <w:t xml:space="preserve"> are set out below.</w:t>
      </w:r>
    </w:p>
    <w:p w14:paraId="33D3DCB1" w14:textId="0A3518EE" w:rsidR="00FC36B3" w:rsidRDefault="00FC36B3" w:rsidP="00FC36B3">
      <w:pPr>
        <w:pStyle w:val="Normalparatextwithnumbers"/>
        <w:numPr>
          <w:ilvl w:val="0"/>
          <w:numId w:val="0"/>
        </w:numPr>
        <w:ind w:left="709"/>
      </w:pPr>
      <w:r>
        <w:t xml:space="preserve">The definitions of ‘audit’ and ‘auditor’s report’ in section 9 of the Act are replaced with new definitions to include references to an audit of a sustainability report in addition to a financial report. </w:t>
      </w:r>
      <w:r>
        <w:rPr>
          <w:rStyle w:val="References"/>
        </w:rPr>
        <w:br/>
      </w:r>
      <w:r w:rsidRPr="009F2C89">
        <w:rPr>
          <w:rStyle w:val="References"/>
        </w:rPr>
        <w:t xml:space="preserve">[Schedule </w:t>
      </w:r>
      <w:r>
        <w:rPr>
          <w:rStyle w:val="References"/>
        </w:rPr>
        <w:t>#</w:t>
      </w:r>
      <w:r w:rsidRPr="009F2C89">
        <w:rPr>
          <w:rStyle w:val="References"/>
        </w:rPr>
        <w:t>,</w:t>
      </w:r>
      <w:r w:rsidR="00542164">
        <w:rPr>
          <w:rStyle w:val="References"/>
        </w:rPr>
        <w:t xml:space="preserve"> </w:t>
      </w:r>
      <w:r>
        <w:rPr>
          <w:rStyle w:val="References"/>
        </w:rPr>
        <w:t xml:space="preserve">items </w:t>
      </w:r>
      <w:r w:rsidR="00AF0201">
        <w:rPr>
          <w:rStyle w:val="References"/>
        </w:rPr>
        <w:t>67</w:t>
      </w:r>
      <w:r>
        <w:rPr>
          <w:rStyle w:val="References"/>
        </w:rPr>
        <w:t xml:space="preserve"> and </w:t>
      </w:r>
      <w:r w:rsidR="00AF0201">
        <w:rPr>
          <w:rStyle w:val="References"/>
        </w:rPr>
        <w:t>68</w:t>
      </w:r>
      <w:r>
        <w:rPr>
          <w:rStyle w:val="References"/>
        </w:rPr>
        <w:t xml:space="preserve">, section 9] </w:t>
      </w:r>
    </w:p>
    <w:p w14:paraId="61C62EFE" w14:textId="2AA61671" w:rsidR="00FC36B3" w:rsidRPr="009F2C89" w:rsidRDefault="00FC36B3" w:rsidP="00FC36B3">
      <w:pPr>
        <w:pStyle w:val="Normalparatextwithnumbers"/>
        <w:rPr>
          <w:rStyle w:val="References"/>
          <w:b w:val="0"/>
          <w:bCs w:val="0"/>
          <w:i w:val="0"/>
          <w:iCs w:val="0"/>
        </w:rPr>
      </w:pPr>
      <w:r>
        <w:t xml:space="preserve">The overview of annual financial reporting obligations for companies, registered schemes, registrable superannuation entities and disclosing entities now include the requirements to have a sustainability disclosure report audited and to obtain an auditor’s report. The overview references the relevant provisions for ease of navigation. </w:t>
      </w:r>
      <w:r>
        <w:br/>
      </w:r>
      <w:r w:rsidRPr="009F2C89">
        <w:rPr>
          <w:rStyle w:val="References"/>
        </w:rPr>
        <w:t xml:space="preserve">[Schedule </w:t>
      </w:r>
      <w:r>
        <w:rPr>
          <w:rStyle w:val="References"/>
        </w:rPr>
        <w:t>#</w:t>
      </w:r>
      <w:r w:rsidRPr="009F2C89">
        <w:rPr>
          <w:rStyle w:val="References"/>
        </w:rPr>
        <w:t>,</w:t>
      </w:r>
      <w:r w:rsidR="00542164">
        <w:rPr>
          <w:rStyle w:val="References"/>
        </w:rPr>
        <w:t xml:space="preserve"> </w:t>
      </w:r>
      <w:r w:rsidRPr="009F2C89">
        <w:rPr>
          <w:rStyle w:val="References"/>
        </w:rPr>
        <w:t>item</w:t>
      </w:r>
      <w:r>
        <w:rPr>
          <w:rStyle w:val="References"/>
        </w:rPr>
        <w:t xml:space="preserve"> </w:t>
      </w:r>
      <w:r w:rsidR="00FA45C1">
        <w:rPr>
          <w:rStyle w:val="References"/>
        </w:rPr>
        <w:t>77</w:t>
      </w:r>
      <w:r>
        <w:rPr>
          <w:rStyle w:val="References"/>
        </w:rPr>
        <w:t>,</w:t>
      </w:r>
      <w:r w:rsidR="00FA45C1">
        <w:rPr>
          <w:rStyle w:val="References"/>
        </w:rPr>
        <w:t xml:space="preserve"> table item 1B of the table under</w:t>
      </w:r>
      <w:r>
        <w:rPr>
          <w:rStyle w:val="References"/>
        </w:rPr>
        <w:t xml:space="preserve"> subsection</w:t>
      </w:r>
      <w:r w:rsidR="00FA45C1">
        <w:rPr>
          <w:rStyle w:val="References"/>
        </w:rPr>
        <w:t> </w:t>
      </w:r>
      <w:r>
        <w:rPr>
          <w:rStyle w:val="References"/>
        </w:rPr>
        <w:t>285(1)</w:t>
      </w:r>
      <w:r w:rsidRPr="009F2C89">
        <w:rPr>
          <w:rStyle w:val="References"/>
        </w:rPr>
        <w:t xml:space="preserve">] </w:t>
      </w:r>
    </w:p>
    <w:p w14:paraId="0B05A510" w14:textId="43BE8668" w:rsidR="00FC36B3" w:rsidRPr="00DE12DC" w:rsidRDefault="00FC36B3" w:rsidP="00FC36B3">
      <w:pPr>
        <w:pStyle w:val="Normalparatextwithnumbers"/>
        <w:rPr>
          <w:rStyle w:val="References"/>
          <w:b w:val="0"/>
          <w:bCs w:val="0"/>
          <w:i w:val="0"/>
          <w:iCs w:val="0"/>
        </w:rPr>
      </w:pPr>
      <w:r>
        <w:t xml:space="preserve">Under the amendments, an entity required to prepare a sustainability disclosure report for a financial year must have the sustainability disclosure report audited and obtain an auditor’s report in accordance with the Act. </w:t>
      </w:r>
      <w:r>
        <w:br/>
      </w:r>
      <w:r w:rsidRPr="003351C1">
        <w:rPr>
          <w:rStyle w:val="References"/>
        </w:rPr>
        <w:t xml:space="preserve">[Schedule </w:t>
      </w:r>
      <w:r>
        <w:rPr>
          <w:rStyle w:val="References"/>
        </w:rPr>
        <w:t>#</w:t>
      </w:r>
      <w:r w:rsidRPr="003351C1">
        <w:rPr>
          <w:rStyle w:val="References"/>
        </w:rPr>
        <w:t>,</w:t>
      </w:r>
      <w:r w:rsidR="00542164">
        <w:rPr>
          <w:rStyle w:val="References"/>
        </w:rPr>
        <w:t xml:space="preserve"> </w:t>
      </w:r>
      <w:r>
        <w:rPr>
          <w:rStyle w:val="References"/>
        </w:rPr>
        <w:t xml:space="preserve">item </w:t>
      </w:r>
      <w:r w:rsidR="00C6289E">
        <w:rPr>
          <w:rStyle w:val="References"/>
        </w:rPr>
        <w:t>81</w:t>
      </w:r>
      <w:r>
        <w:rPr>
          <w:rStyle w:val="References"/>
        </w:rPr>
        <w:t>, section 301A</w:t>
      </w:r>
      <w:r w:rsidRPr="003351C1">
        <w:rPr>
          <w:rStyle w:val="References"/>
        </w:rPr>
        <w:t xml:space="preserve">] </w:t>
      </w:r>
    </w:p>
    <w:p w14:paraId="729A01AB" w14:textId="77777777" w:rsidR="00FC36B3" w:rsidRDefault="00FC36B3" w:rsidP="00FC36B3">
      <w:pPr>
        <w:pStyle w:val="Normalparatextwithnumbers"/>
      </w:pPr>
      <w:r>
        <w:t>The amendments provide for a transitional period where only limited assurance of sustainability reports is required for reports prepared between 1 July 2024 and 30 June 2030. The auditor’s review is limited to the climate statements relating to scope 1 or 2 emissions of greenhouse gases.</w:t>
      </w:r>
    </w:p>
    <w:p w14:paraId="193EF96E" w14:textId="4F56833C" w:rsidR="00FC36B3" w:rsidRDefault="00FC36B3" w:rsidP="00FC36B3">
      <w:pPr>
        <w:pStyle w:val="Normalparatextwithnumbers"/>
        <w:numPr>
          <w:ilvl w:val="0"/>
          <w:numId w:val="0"/>
        </w:numPr>
        <w:ind w:left="709"/>
      </w:pPr>
      <w:r w:rsidRPr="003351C1">
        <w:rPr>
          <w:rStyle w:val="References"/>
        </w:rPr>
        <w:t xml:space="preserve">[Schedule </w:t>
      </w:r>
      <w:r>
        <w:rPr>
          <w:rStyle w:val="References"/>
        </w:rPr>
        <w:t>#</w:t>
      </w:r>
      <w:r w:rsidRPr="003351C1">
        <w:rPr>
          <w:rStyle w:val="References"/>
        </w:rPr>
        <w:t>,</w:t>
      </w:r>
      <w:r w:rsidR="00542164">
        <w:rPr>
          <w:rStyle w:val="References"/>
        </w:rPr>
        <w:t xml:space="preserve"> </w:t>
      </w:r>
      <w:r>
        <w:rPr>
          <w:rStyle w:val="References"/>
        </w:rPr>
        <w:t xml:space="preserve">item </w:t>
      </w:r>
      <w:r w:rsidR="00C6289E">
        <w:rPr>
          <w:rStyle w:val="References"/>
        </w:rPr>
        <w:t>81</w:t>
      </w:r>
      <w:r>
        <w:rPr>
          <w:rStyle w:val="References"/>
        </w:rPr>
        <w:t>, section 301B</w:t>
      </w:r>
      <w:r w:rsidRPr="003351C1">
        <w:rPr>
          <w:rStyle w:val="References"/>
        </w:rPr>
        <w:t>]</w:t>
      </w:r>
    </w:p>
    <w:p w14:paraId="1FF3B1A0" w14:textId="2CA105CA" w:rsidR="00FC36B3" w:rsidRPr="009F2C89" w:rsidRDefault="004E7F72" w:rsidP="00FC36B3">
      <w:pPr>
        <w:pStyle w:val="Normalparatextwithnumbers"/>
        <w:rPr>
          <w:rStyle w:val="References"/>
          <w:b w:val="0"/>
          <w:bCs w:val="0"/>
          <w:i w:val="0"/>
          <w:iCs w:val="0"/>
        </w:rPr>
      </w:pPr>
      <w:r>
        <w:t xml:space="preserve">Consequential </w:t>
      </w:r>
      <w:r w:rsidR="00FC36B3">
        <w:t xml:space="preserve">amendments update various references to reflect the additional </w:t>
      </w:r>
      <w:r w:rsidR="00D818B9">
        <w:t xml:space="preserve">sustainability </w:t>
      </w:r>
      <w:r w:rsidR="00FC36B3">
        <w:t>reporting requirements</w:t>
      </w:r>
      <w:r w:rsidR="00D818B9">
        <w:t xml:space="preserve">, including </w:t>
      </w:r>
      <w:r w:rsidR="00451E6B">
        <w:t xml:space="preserve">updates from the singular ‘auditor’s report’ to ‘auditor’s </w:t>
      </w:r>
      <w:proofErr w:type="gramStart"/>
      <w:r w:rsidR="00451E6B">
        <w:t>reports’</w:t>
      </w:r>
      <w:proofErr w:type="gramEnd"/>
      <w:r w:rsidR="00FC36B3">
        <w:t xml:space="preserve">. </w:t>
      </w:r>
      <w:r w:rsidR="00D4099E">
        <w:t xml:space="preserve">The amendments also </w:t>
      </w:r>
      <w:r w:rsidR="00FC36B3">
        <w:t xml:space="preserve">include the business of an AGM to consider relevant reports so an ‘auditor’s reports’ are included instead of a single auditor’s report. A similar update is made in the table providing the overview of financial reporting obligations for companies, registered schemes, registrable superannuation entities and disclosing entities. </w:t>
      </w:r>
      <w:r w:rsidR="00FC36B3">
        <w:br/>
      </w:r>
      <w:r w:rsidR="00FC36B3" w:rsidRPr="009F2C89">
        <w:rPr>
          <w:rStyle w:val="References"/>
        </w:rPr>
        <w:t xml:space="preserve">[Schedule </w:t>
      </w:r>
      <w:r w:rsidR="00FC36B3">
        <w:rPr>
          <w:rStyle w:val="References"/>
        </w:rPr>
        <w:t>#</w:t>
      </w:r>
      <w:r w:rsidR="00FC36B3" w:rsidRPr="009F2C89">
        <w:rPr>
          <w:rStyle w:val="References"/>
        </w:rPr>
        <w:t>,</w:t>
      </w:r>
      <w:r w:rsidR="00542164">
        <w:rPr>
          <w:rStyle w:val="References"/>
        </w:rPr>
        <w:t xml:space="preserve"> </w:t>
      </w:r>
      <w:r w:rsidR="00FC36B3" w:rsidRPr="009F2C89">
        <w:rPr>
          <w:rStyle w:val="References"/>
        </w:rPr>
        <w:t>item</w:t>
      </w:r>
      <w:r w:rsidR="00FC36B3">
        <w:rPr>
          <w:rStyle w:val="References"/>
        </w:rPr>
        <w:t xml:space="preserve">s </w:t>
      </w:r>
      <w:r>
        <w:rPr>
          <w:rStyle w:val="References"/>
        </w:rPr>
        <w:t>69</w:t>
      </w:r>
      <w:r w:rsidR="009A5EC7">
        <w:rPr>
          <w:rStyle w:val="References"/>
        </w:rPr>
        <w:t xml:space="preserve"> to 7</w:t>
      </w:r>
      <w:r w:rsidR="00DE368D">
        <w:rPr>
          <w:rStyle w:val="References"/>
        </w:rPr>
        <w:t>6</w:t>
      </w:r>
      <w:r w:rsidR="006D0C59">
        <w:rPr>
          <w:rStyle w:val="References"/>
        </w:rPr>
        <w:t>, 78, 79</w:t>
      </w:r>
      <w:r w:rsidR="00C7522B">
        <w:rPr>
          <w:rStyle w:val="References"/>
        </w:rPr>
        <w:t xml:space="preserve">, </w:t>
      </w:r>
      <w:r w:rsidR="006D0C59">
        <w:rPr>
          <w:rStyle w:val="References"/>
        </w:rPr>
        <w:t>80</w:t>
      </w:r>
      <w:r w:rsidR="00C7522B">
        <w:rPr>
          <w:rStyle w:val="References"/>
        </w:rPr>
        <w:t xml:space="preserve"> and 82</w:t>
      </w:r>
      <w:r w:rsidR="00FC36B3">
        <w:rPr>
          <w:rStyle w:val="References"/>
        </w:rPr>
        <w:t>,</w:t>
      </w:r>
      <w:r w:rsidR="009A5EC7">
        <w:rPr>
          <w:rStyle w:val="References"/>
        </w:rPr>
        <w:t xml:space="preserve"> note 1 to</w:t>
      </w:r>
      <w:r w:rsidR="00FC36B3">
        <w:rPr>
          <w:rStyle w:val="References"/>
        </w:rPr>
        <w:t xml:space="preserve"> subsection</w:t>
      </w:r>
      <w:r w:rsidR="009A5EC7">
        <w:rPr>
          <w:rStyle w:val="References"/>
        </w:rPr>
        <w:t> </w:t>
      </w:r>
      <w:r w:rsidR="00FC36B3">
        <w:rPr>
          <w:rStyle w:val="References"/>
        </w:rPr>
        <w:t>250N(3), paragraph</w:t>
      </w:r>
      <w:r w:rsidR="00C55949">
        <w:rPr>
          <w:rStyle w:val="References"/>
        </w:rPr>
        <w:t>s</w:t>
      </w:r>
      <w:r w:rsidR="00FC36B3">
        <w:rPr>
          <w:rStyle w:val="References"/>
        </w:rPr>
        <w:t xml:space="preserve"> 250R(1)(a)</w:t>
      </w:r>
      <w:r w:rsidR="00C55949">
        <w:rPr>
          <w:rStyle w:val="References"/>
        </w:rPr>
        <w:t>, 250RA(1)(a) and 250RA(3)(c)</w:t>
      </w:r>
      <w:r w:rsidR="00FC36B3">
        <w:rPr>
          <w:rStyle w:val="References"/>
        </w:rPr>
        <w:t xml:space="preserve">, </w:t>
      </w:r>
      <w:r w:rsidR="0014598B">
        <w:rPr>
          <w:rStyle w:val="References"/>
        </w:rPr>
        <w:t>subparagraphs 250T(1)(a)(</w:t>
      </w:r>
      <w:proofErr w:type="spellStart"/>
      <w:r w:rsidR="0014598B">
        <w:rPr>
          <w:rStyle w:val="References"/>
        </w:rPr>
        <w:t>i</w:t>
      </w:r>
      <w:proofErr w:type="spellEnd"/>
      <w:r w:rsidR="0014598B">
        <w:rPr>
          <w:rStyle w:val="References"/>
        </w:rPr>
        <w:t>)</w:t>
      </w:r>
      <w:r w:rsidR="00DE368D">
        <w:rPr>
          <w:rStyle w:val="References"/>
        </w:rPr>
        <w:t xml:space="preserve">, </w:t>
      </w:r>
      <w:r w:rsidR="0014598B">
        <w:rPr>
          <w:rStyle w:val="References"/>
        </w:rPr>
        <w:t>(ii)</w:t>
      </w:r>
      <w:r w:rsidR="00DE368D">
        <w:rPr>
          <w:rStyle w:val="References"/>
        </w:rPr>
        <w:t>, (</w:t>
      </w:r>
      <w:proofErr w:type="spellStart"/>
      <w:r w:rsidR="00DE368D">
        <w:rPr>
          <w:rStyle w:val="References"/>
        </w:rPr>
        <w:t>iiia</w:t>
      </w:r>
      <w:proofErr w:type="spellEnd"/>
      <w:r w:rsidR="00DE368D">
        <w:rPr>
          <w:rStyle w:val="References"/>
        </w:rPr>
        <w:t xml:space="preserve">), and </w:t>
      </w:r>
      <w:r w:rsidR="00446975">
        <w:rPr>
          <w:rStyle w:val="References"/>
        </w:rPr>
        <w:t>(iv)</w:t>
      </w:r>
      <w:r w:rsidR="00942C30">
        <w:rPr>
          <w:rStyle w:val="References"/>
        </w:rPr>
        <w:t>, table items 4, 5 and 6 of the table under subsection 285(1)</w:t>
      </w:r>
      <w:r w:rsidR="00C7522B">
        <w:rPr>
          <w:rStyle w:val="References"/>
        </w:rPr>
        <w:t>, and heading</w:t>
      </w:r>
      <w:r w:rsidR="0075529E">
        <w:rPr>
          <w:rStyle w:val="References"/>
        </w:rPr>
        <w:t>s</w:t>
      </w:r>
      <w:r w:rsidR="00C7522B">
        <w:rPr>
          <w:rStyle w:val="References"/>
        </w:rPr>
        <w:t xml:space="preserve"> to Division 3 of Part 2M.3</w:t>
      </w:r>
      <w:r w:rsidR="0075529E">
        <w:rPr>
          <w:rStyle w:val="References"/>
        </w:rPr>
        <w:t xml:space="preserve"> and section 307B</w:t>
      </w:r>
      <w:r w:rsidR="00FC36B3" w:rsidRPr="009F2C89">
        <w:rPr>
          <w:rStyle w:val="References"/>
        </w:rPr>
        <w:t xml:space="preserve">] </w:t>
      </w:r>
    </w:p>
    <w:p w14:paraId="62F21799" w14:textId="029223FC" w:rsidR="00FC36B3" w:rsidRDefault="00C72854" w:rsidP="00FC36B3">
      <w:pPr>
        <w:pStyle w:val="Normalparatextwithnumbers"/>
      </w:pPr>
      <w:r>
        <w:t>Further a</w:t>
      </w:r>
      <w:r w:rsidR="00D4099E">
        <w:t>mendments clarify</w:t>
      </w:r>
      <w:r>
        <w:t xml:space="preserve"> e</w:t>
      </w:r>
      <w:r w:rsidR="00D4099E">
        <w:t xml:space="preserve">xisting provisions for </w:t>
      </w:r>
      <w:r w:rsidR="00FC36B3">
        <w:t xml:space="preserve">audits of financial </w:t>
      </w:r>
      <w:proofErr w:type="gramStart"/>
      <w:r w:rsidR="00FC36B3">
        <w:t>reports</w:t>
      </w:r>
      <w:r>
        <w:t>.</w:t>
      </w:r>
      <w:r w:rsidR="00FC36B3">
        <w:t>.</w:t>
      </w:r>
      <w:proofErr w:type="gramEnd"/>
      <w:r w:rsidR="00FC36B3">
        <w:br/>
      </w:r>
      <w:r w:rsidR="00FC36B3" w:rsidRPr="003351C1">
        <w:rPr>
          <w:rStyle w:val="References"/>
        </w:rPr>
        <w:t xml:space="preserve">[Schedule </w:t>
      </w:r>
      <w:r w:rsidR="00FC36B3">
        <w:rPr>
          <w:rStyle w:val="References"/>
        </w:rPr>
        <w:t>#</w:t>
      </w:r>
      <w:r w:rsidR="00FC36B3" w:rsidRPr="003351C1">
        <w:rPr>
          <w:rStyle w:val="References"/>
        </w:rPr>
        <w:t xml:space="preserve">, </w:t>
      </w:r>
      <w:r w:rsidR="00FC36B3">
        <w:rPr>
          <w:rStyle w:val="References"/>
        </w:rPr>
        <w:t xml:space="preserve">items </w:t>
      </w:r>
      <w:r w:rsidR="00246697">
        <w:rPr>
          <w:rStyle w:val="References"/>
        </w:rPr>
        <w:t>8</w:t>
      </w:r>
      <w:r w:rsidR="0075529E">
        <w:rPr>
          <w:rStyle w:val="References"/>
        </w:rPr>
        <w:t>3 and</w:t>
      </w:r>
      <w:r w:rsidR="000E5771">
        <w:rPr>
          <w:rStyle w:val="References"/>
        </w:rPr>
        <w:t xml:space="preserve"> </w:t>
      </w:r>
      <w:r w:rsidR="00FC4289">
        <w:rPr>
          <w:rStyle w:val="References"/>
        </w:rPr>
        <w:t>84</w:t>
      </w:r>
      <w:r w:rsidR="000E5771">
        <w:rPr>
          <w:rStyle w:val="References"/>
        </w:rPr>
        <w:t xml:space="preserve"> </w:t>
      </w:r>
      <w:r w:rsidR="00FC36B3">
        <w:rPr>
          <w:rStyle w:val="References"/>
        </w:rPr>
        <w:t xml:space="preserve">, </w:t>
      </w:r>
      <w:r w:rsidR="000E5771">
        <w:rPr>
          <w:rStyle w:val="References"/>
        </w:rPr>
        <w:t xml:space="preserve">headings to </w:t>
      </w:r>
      <w:r w:rsidR="00FC36B3">
        <w:rPr>
          <w:rStyle w:val="References"/>
        </w:rPr>
        <w:t>sections 307</w:t>
      </w:r>
      <w:r w:rsidR="0075529E">
        <w:rPr>
          <w:rStyle w:val="References"/>
        </w:rPr>
        <w:t xml:space="preserve"> and </w:t>
      </w:r>
      <w:r w:rsidR="00FC36B3">
        <w:rPr>
          <w:rStyle w:val="References"/>
        </w:rPr>
        <w:t>307A</w:t>
      </w:r>
      <w:r w:rsidR="00FC36B3" w:rsidRPr="003351C1">
        <w:rPr>
          <w:rStyle w:val="References"/>
        </w:rPr>
        <w:t xml:space="preserve">] </w:t>
      </w:r>
      <w:r w:rsidR="00FC36B3">
        <w:t xml:space="preserve"> </w:t>
      </w:r>
    </w:p>
    <w:p w14:paraId="7C802591" w14:textId="3B7B366A" w:rsidR="00FC36B3" w:rsidRPr="003351C1" w:rsidRDefault="00FC36B3" w:rsidP="00FC36B3">
      <w:pPr>
        <w:pStyle w:val="Normalparatextwithnumbers"/>
        <w:rPr>
          <w:rStyle w:val="References"/>
          <w:b w:val="0"/>
          <w:bCs w:val="0"/>
          <w:i w:val="0"/>
          <w:iCs w:val="0"/>
        </w:rPr>
      </w:pPr>
      <w:r>
        <w:t xml:space="preserve">An auditor who conducts an audit of the sustainability disclosure report for a financial year must form an opinion on whether the sustainability report complies with the </w:t>
      </w:r>
      <w:r w:rsidR="009864D9">
        <w:t xml:space="preserve">Corporations </w:t>
      </w:r>
      <w:r>
        <w:t xml:space="preserve">Act and if the auditor has given all information, </w:t>
      </w:r>
      <w:proofErr w:type="gramStart"/>
      <w:r>
        <w:t>explanation</w:t>
      </w:r>
      <w:proofErr w:type="gramEnd"/>
      <w:r>
        <w:t xml:space="preserve"> and assistance necessary of the conduct of the audit. </w:t>
      </w:r>
      <w:r>
        <w:br/>
      </w:r>
      <w:r w:rsidRPr="003351C1">
        <w:rPr>
          <w:rStyle w:val="References"/>
        </w:rPr>
        <w:t xml:space="preserve">[Schedule </w:t>
      </w:r>
      <w:r>
        <w:rPr>
          <w:rStyle w:val="References"/>
        </w:rPr>
        <w:t>#</w:t>
      </w:r>
      <w:r w:rsidRPr="003351C1">
        <w:rPr>
          <w:rStyle w:val="References"/>
        </w:rPr>
        <w:t xml:space="preserve">, </w:t>
      </w:r>
      <w:r>
        <w:rPr>
          <w:rStyle w:val="References"/>
        </w:rPr>
        <w:t xml:space="preserve">item </w:t>
      </w:r>
      <w:r w:rsidR="009864D9">
        <w:rPr>
          <w:rStyle w:val="References"/>
        </w:rPr>
        <w:t>85</w:t>
      </w:r>
      <w:r>
        <w:rPr>
          <w:rStyle w:val="References"/>
        </w:rPr>
        <w:t>, section 307AB</w:t>
      </w:r>
      <w:r w:rsidRPr="003351C1">
        <w:rPr>
          <w:rStyle w:val="References"/>
        </w:rPr>
        <w:t xml:space="preserve">] </w:t>
      </w:r>
    </w:p>
    <w:p w14:paraId="5B2E1579" w14:textId="37F88CDC" w:rsidR="00FC36B3" w:rsidRPr="003351C1" w:rsidRDefault="00FC36B3" w:rsidP="00FC36B3">
      <w:pPr>
        <w:pStyle w:val="Normalparatextwithnumbers"/>
        <w:rPr>
          <w:rStyle w:val="References"/>
          <w:b w:val="0"/>
          <w:bCs w:val="0"/>
          <w:i w:val="0"/>
          <w:iCs w:val="0"/>
        </w:rPr>
      </w:pPr>
      <w:r>
        <w:t xml:space="preserve">If an individual auditor or company conducts an audit or review of the sustainability disclosure report the individual or company must conduct the audit in accordance with auditing standards. The lead auditor of the firm or audit company conducting a review must ensure the audit or review is conducted in accordance with the standards. Contravention of this requirement is both a </w:t>
      </w:r>
      <w:proofErr w:type="gramStart"/>
      <w:r>
        <w:t>fault based</w:t>
      </w:r>
      <w:proofErr w:type="gramEnd"/>
      <w:r>
        <w:t xml:space="preserve"> offence (with a penalty of 2 years imprisonment) and one of strict liability (with a penalty of 50 penalty units). </w:t>
      </w:r>
      <w:r>
        <w:br/>
      </w:r>
      <w:r w:rsidRPr="003351C1">
        <w:rPr>
          <w:rStyle w:val="References"/>
        </w:rPr>
        <w:t xml:space="preserve">[Schedule </w:t>
      </w:r>
      <w:r>
        <w:rPr>
          <w:rStyle w:val="References"/>
        </w:rPr>
        <w:t>#</w:t>
      </w:r>
      <w:r w:rsidRPr="003351C1">
        <w:rPr>
          <w:rStyle w:val="References"/>
        </w:rPr>
        <w:t xml:space="preserve">, </w:t>
      </w:r>
      <w:r>
        <w:rPr>
          <w:rStyle w:val="References"/>
        </w:rPr>
        <w:t xml:space="preserve">item </w:t>
      </w:r>
      <w:r w:rsidR="00ED355B">
        <w:rPr>
          <w:rStyle w:val="References"/>
        </w:rPr>
        <w:t>85</w:t>
      </w:r>
      <w:r>
        <w:rPr>
          <w:rStyle w:val="References"/>
        </w:rPr>
        <w:t>, section 307AC</w:t>
      </w:r>
      <w:r w:rsidRPr="003351C1">
        <w:rPr>
          <w:rStyle w:val="References"/>
        </w:rPr>
        <w:t xml:space="preserve">] </w:t>
      </w:r>
    </w:p>
    <w:p w14:paraId="11FAAF15" w14:textId="63DB93BE" w:rsidR="00FC36B3" w:rsidRPr="003351C1" w:rsidRDefault="00FC36B3" w:rsidP="00FC36B3">
      <w:pPr>
        <w:pStyle w:val="Normalparatextwithnumbers"/>
        <w:rPr>
          <w:rStyle w:val="References"/>
          <w:b w:val="0"/>
          <w:bCs w:val="0"/>
          <w:i w:val="0"/>
          <w:iCs w:val="0"/>
        </w:rPr>
      </w:pPr>
      <w:r>
        <w:t xml:space="preserve">In line with the requirements for financial reports, an auditor contravenes the retention requirements for audits of sustainability reports if they do not retain all audit working papers prepared by or for, or considered or used by, the auditor in accordance with the requirement of the working standards at the end of 7 years after the report or an earlier date ASIC would determine. Contravention is an offence of strict liability. If audit working papers are in electronic </w:t>
      </w:r>
      <w:proofErr w:type="gramStart"/>
      <w:r>
        <w:t>form</w:t>
      </w:r>
      <w:proofErr w:type="gramEnd"/>
      <w:r>
        <w:t xml:space="preserve"> they are taken to be retained if they are convertible into a hard copy. </w:t>
      </w:r>
      <w:r>
        <w:br/>
      </w:r>
      <w:r w:rsidRPr="003351C1">
        <w:rPr>
          <w:rStyle w:val="References"/>
        </w:rPr>
        <w:t xml:space="preserve">[Schedule </w:t>
      </w:r>
      <w:r>
        <w:rPr>
          <w:rStyle w:val="References"/>
        </w:rPr>
        <w:t>#</w:t>
      </w:r>
      <w:r w:rsidRPr="003351C1">
        <w:rPr>
          <w:rStyle w:val="References"/>
        </w:rPr>
        <w:t xml:space="preserve">, </w:t>
      </w:r>
      <w:r>
        <w:rPr>
          <w:rStyle w:val="References"/>
        </w:rPr>
        <w:t xml:space="preserve">items </w:t>
      </w:r>
      <w:r w:rsidR="001356A7">
        <w:rPr>
          <w:rStyle w:val="References"/>
        </w:rPr>
        <w:t>87</w:t>
      </w:r>
      <w:r>
        <w:rPr>
          <w:rStyle w:val="References"/>
        </w:rPr>
        <w:t xml:space="preserve"> and </w:t>
      </w:r>
      <w:r w:rsidR="001356A7">
        <w:rPr>
          <w:rStyle w:val="References"/>
        </w:rPr>
        <w:t>88</w:t>
      </w:r>
      <w:r>
        <w:rPr>
          <w:rStyle w:val="References"/>
        </w:rPr>
        <w:t>, subparagraphs 307B(1)(b)</w:t>
      </w:r>
      <w:r w:rsidR="001356A7">
        <w:rPr>
          <w:rStyle w:val="References"/>
        </w:rPr>
        <w:t xml:space="preserve">(ii) and </w:t>
      </w:r>
      <w:r>
        <w:rPr>
          <w:rStyle w:val="References"/>
        </w:rPr>
        <w:t>(iii)]</w:t>
      </w:r>
      <w:r w:rsidRPr="003351C1">
        <w:rPr>
          <w:rStyle w:val="References"/>
        </w:rPr>
        <w:t xml:space="preserve">  </w:t>
      </w:r>
    </w:p>
    <w:p w14:paraId="591B7039" w14:textId="79BFBA02" w:rsidR="00FC36B3" w:rsidRPr="004314FB" w:rsidRDefault="00FC36B3" w:rsidP="00FC36B3">
      <w:pPr>
        <w:pStyle w:val="Normalparatextwithnumbers"/>
        <w:rPr>
          <w:rStyle w:val="References"/>
        </w:rPr>
      </w:pPr>
      <w:r>
        <w:t>A person contravenes this retention requirement if they were a member of the audit firm at the time it contravened its obligations in relation to the document retention period. Contravention is an offence of strict liability. However, under existing section 307B(5), a member of an audit firm does not commit an offence if the member did not know at the time of the circumstances there was a contravention or knew of the circumstances at the time, but took all reasonable steps to correct the contravention as soon as the member became aware of the circumstances.</w:t>
      </w:r>
      <w:r>
        <w:br/>
      </w:r>
      <w:r w:rsidRPr="004314FB">
        <w:rPr>
          <w:rStyle w:val="References"/>
        </w:rPr>
        <w:t xml:space="preserve">[Schedule </w:t>
      </w:r>
      <w:r>
        <w:rPr>
          <w:rStyle w:val="References"/>
        </w:rPr>
        <w:t>#</w:t>
      </w:r>
      <w:r w:rsidRPr="004314FB">
        <w:rPr>
          <w:rStyle w:val="References"/>
        </w:rPr>
        <w:t>, item</w:t>
      </w:r>
      <w:r w:rsidR="00393AE6">
        <w:rPr>
          <w:rStyle w:val="References"/>
        </w:rPr>
        <w:t>s</w:t>
      </w:r>
      <w:r>
        <w:rPr>
          <w:rStyle w:val="References"/>
        </w:rPr>
        <w:t xml:space="preserve"> </w:t>
      </w:r>
      <w:r w:rsidR="00393AE6">
        <w:rPr>
          <w:rStyle w:val="References"/>
        </w:rPr>
        <w:t>89 and 90</w:t>
      </w:r>
      <w:r w:rsidRPr="004314FB">
        <w:rPr>
          <w:rStyle w:val="References"/>
        </w:rPr>
        <w:t xml:space="preserve">, </w:t>
      </w:r>
      <w:r>
        <w:rPr>
          <w:rStyle w:val="References"/>
        </w:rPr>
        <w:t>subparagraphs 307B(3)(a)</w:t>
      </w:r>
      <w:r w:rsidR="00393AE6">
        <w:rPr>
          <w:rStyle w:val="References"/>
        </w:rPr>
        <w:t xml:space="preserve">(ii) and </w:t>
      </w:r>
      <w:r>
        <w:rPr>
          <w:rStyle w:val="References"/>
        </w:rPr>
        <w:t>(iii)</w:t>
      </w:r>
      <w:r w:rsidRPr="004314FB">
        <w:rPr>
          <w:rStyle w:val="References"/>
        </w:rPr>
        <w:t xml:space="preserve">] </w:t>
      </w:r>
    </w:p>
    <w:p w14:paraId="0CAD325F" w14:textId="615C0A55" w:rsidR="00FC36B3" w:rsidRPr="003351C1" w:rsidRDefault="00FC36B3" w:rsidP="00FC36B3">
      <w:pPr>
        <w:pStyle w:val="Normalparatextwithnumbers"/>
        <w:rPr>
          <w:rStyle w:val="References"/>
          <w:b w:val="0"/>
          <w:bCs w:val="0"/>
          <w:i w:val="0"/>
          <w:iCs w:val="0"/>
        </w:rPr>
      </w:pPr>
      <w:r>
        <w:t>An individual auditor auditing the sustainability report must give directors of the entity a written declaration that to the best of the individual auditor’s knowledge, there have been no contraventions of auditor independence requirements of this Act in relation to the audit or review, and no contraventions of any applicable code of professional conduct in relation to the audit. Otherwise, the auditor must provide a written declaration that to the best of their knowledge and belief, the only contraventions are contraventions which are set out in the declaration. Not providing a declaration is an offence of strict liability. The same requirements apply to the lead auditor of an audit firm or company conducting an audit of a sustainability report.</w:t>
      </w:r>
      <w:r>
        <w:br/>
      </w:r>
      <w:r w:rsidRPr="003351C1">
        <w:rPr>
          <w:rStyle w:val="References"/>
        </w:rPr>
        <w:t xml:space="preserve">[Schedule </w:t>
      </w:r>
      <w:r>
        <w:rPr>
          <w:rStyle w:val="References"/>
        </w:rPr>
        <w:t>#</w:t>
      </w:r>
      <w:r w:rsidRPr="003351C1">
        <w:rPr>
          <w:rStyle w:val="References"/>
        </w:rPr>
        <w:t xml:space="preserve">, </w:t>
      </w:r>
      <w:r>
        <w:rPr>
          <w:rStyle w:val="References"/>
        </w:rPr>
        <w:t xml:space="preserve">items </w:t>
      </w:r>
      <w:r w:rsidR="00956292">
        <w:rPr>
          <w:rStyle w:val="References"/>
        </w:rPr>
        <w:t>91 to 94</w:t>
      </w:r>
      <w:r>
        <w:rPr>
          <w:rStyle w:val="References"/>
        </w:rPr>
        <w:t>, paragraphs 307C(</w:t>
      </w:r>
      <w:proofErr w:type="gramStart"/>
      <w:r>
        <w:rPr>
          <w:rStyle w:val="References"/>
        </w:rPr>
        <w:t>1)(</w:t>
      </w:r>
      <w:proofErr w:type="spellStart"/>
      <w:proofErr w:type="gramEnd"/>
      <w:r>
        <w:rPr>
          <w:rStyle w:val="References"/>
        </w:rPr>
        <w:t>b</w:t>
      </w:r>
      <w:r w:rsidR="002F624D">
        <w:rPr>
          <w:rStyle w:val="References"/>
        </w:rPr>
        <w:t>a</w:t>
      </w:r>
      <w:proofErr w:type="spellEnd"/>
      <w:r>
        <w:rPr>
          <w:rStyle w:val="References"/>
        </w:rPr>
        <w:t>)</w:t>
      </w:r>
      <w:r w:rsidR="002F624D">
        <w:rPr>
          <w:rStyle w:val="References"/>
        </w:rPr>
        <w:t xml:space="preserve"> and 307C(3)(</w:t>
      </w:r>
      <w:proofErr w:type="spellStart"/>
      <w:r w:rsidR="002F624D">
        <w:rPr>
          <w:rStyle w:val="References"/>
        </w:rPr>
        <w:t>ba</w:t>
      </w:r>
      <w:proofErr w:type="spellEnd"/>
      <w:r w:rsidR="002F624D">
        <w:rPr>
          <w:rStyle w:val="References"/>
        </w:rPr>
        <w:t>)</w:t>
      </w:r>
      <w:r>
        <w:rPr>
          <w:rStyle w:val="References"/>
        </w:rPr>
        <w:t xml:space="preserve">, </w:t>
      </w:r>
      <w:r w:rsidR="002F624D">
        <w:rPr>
          <w:rStyle w:val="References"/>
        </w:rPr>
        <w:t xml:space="preserve">subsection </w:t>
      </w:r>
      <w:r>
        <w:rPr>
          <w:rStyle w:val="References"/>
        </w:rPr>
        <w:t>307C</w:t>
      </w:r>
      <w:r w:rsidR="00BD2277">
        <w:rPr>
          <w:rStyle w:val="References"/>
        </w:rPr>
        <w:t>(5A) and paragraph 307C(5A)(c)]</w:t>
      </w:r>
      <w:r>
        <w:rPr>
          <w:rStyle w:val="References"/>
        </w:rPr>
        <w:t xml:space="preserve"> </w:t>
      </w:r>
    </w:p>
    <w:p w14:paraId="6B721D0F" w14:textId="1A8BBA73" w:rsidR="00FC36B3" w:rsidRDefault="00FC36B3" w:rsidP="00FC36B3">
      <w:pPr>
        <w:pStyle w:val="Normalparatextwithnumbers"/>
      </w:pPr>
      <w:r>
        <w:t xml:space="preserve">An auditor who audits the sustainability report for a financial year must report to members on whether the auditor is of the opinion that the report aligns with the Act, including whether it complies with the sustainability standards (section 296C) and the climate statement disclosures (section 296D) requirements. If not, the auditor must specify why. The auditor’s report must describe any defect or irregularity and deficiencies, failures or shortcomings that may have arisen if they were not given the information, </w:t>
      </w:r>
      <w:proofErr w:type="gramStart"/>
      <w:r>
        <w:t>explanation</w:t>
      </w:r>
      <w:proofErr w:type="gramEnd"/>
      <w:r>
        <w:t xml:space="preserve"> and assistance necessary to complete the audit. The auditor’s report must include statements or disclosure required by the auditing standard and a report must specify the date on which it is made. If the sustainability report includes any additional information under paragraph 296A(</w:t>
      </w:r>
      <w:r w:rsidR="00113107">
        <w:t>4</w:t>
      </w:r>
      <w:r>
        <w:t xml:space="preserve">)(c), which concerns the inclusion of notes, the auditor’s report </w:t>
      </w:r>
      <w:r w:rsidRPr="00E73F23">
        <w:t>must also include a statement of the auditor</w:t>
      </w:r>
      <w:r>
        <w:t>’</w:t>
      </w:r>
      <w:r w:rsidRPr="00E73F23">
        <w:t xml:space="preserve">s opinion on whether the inclusion of that additional information was necessary to </w:t>
      </w:r>
      <w:r>
        <w:t xml:space="preserve">make the disclosures </w:t>
      </w:r>
      <w:r w:rsidRPr="00E73F23">
        <w:t xml:space="preserve">required by </w:t>
      </w:r>
      <w:r>
        <w:t>section 2</w:t>
      </w:r>
      <w:r w:rsidRPr="00E73F23">
        <w:t>9</w:t>
      </w:r>
      <w:r>
        <w:t xml:space="preserve">6D. </w:t>
      </w:r>
      <w:r>
        <w:rPr>
          <w:rStyle w:val="References"/>
        </w:rPr>
        <w:br/>
      </w:r>
      <w:r w:rsidRPr="003351C1">
        <w:rPr>
          <w:rStyle w:val="References"/>
        </w:rPr>
        <w:t xml:space="preserve">[Schedule </w:t>
      </w:r>
      <w:r>
        <w:rPr>
          <w:rStyle w:val="References"/>
        </w:rPr>
        <w:t xml:space="preserve">#, item </w:t>
      </w:r>
      <w:r w:rsidR="00293DAA">
        <w:rPr>
          <w:rStyle w:val="References"/>
        </w:rPr>
        <w:t>95</w:t>
      </w:r>
      <w:r>
        <w:rPr>
          <w:rStyle w:val="References"/>
        </w:rPr>
        <w:t>, subsection 309A</w:t>
      </w:r>
      <w:r w:rsidRPr="003351C1">
        <w:rPr>
          <w:rStyle w:val="References"/>
        </w:rPr>
        <w:t>]</w:t>
      </w:r>
    </w:p>
    <w:p w14:paraId="13D1AB48" w14:textId="365252E3" w:rsidR="00FC36B3" w:rsidRPr="003351C1" w:rsidRDefault="00FC36B3" w:rsidP="00FC36B3">
      <w:pPr>
        <w:pStyle w:val="Normalparatextwithnumbers"/>
        <w:rPr>
          <w:rStyle w:val="References"/>
          <w:b w:val="0"/>
          <w:bCs w:val="0"/>
          <w:i w:val="0"/>
          <w:iCs w:val="0"/>
        </w:rPr>
      </w:pPr>
      <w:r>
        <w:t>Contravention of subsections 309</w:t>
      </w:r>
      <w:proofErr w:type="gramStart"/>
      <w:r>
        <w:t>A(</w:t>
      </w:r>
      <w:proofErr w:type="gramEnd"/>
      <w:r>
        <w:t>1) (relating to reporting to members as to whether the audit is in compliance with the sustainability standards and the climate statement disclosures) and 309</w:t>
      </w:r>
      <w:r w:rsidR="009A1277">
        <w:t>A</w:t>
      </w:r>
      <w:r>
        <w:t>(3) (relating to reporting to members on whether the sustainability report is otherwise non</w:t>
      </w:r>
      <w:r w:rsidR="00E11B62">
        <w:noBreakHyphen/>
      </w:r>
      <w:r>
        <w:t xml:space="preserve">compliant) are offences of strict liability. </w:t>
      </w:r>
      <w:r>
        <w:br/>
      </w:r>
      <w:r w:rsidRPr="003351C1">
        <w:rPr>
          <w:rStyle w:val="References"/>
        </w:rPr>
        <w:t xml:space="preserve">[Schedule </w:t>
      </w:r>
      <w:r>
        <w:rPr>
          <w:rStyle w:val="References"/>
        </w:rPr>
        <w:t xml:space="preserve">#, item </w:t>
      </w:r>
      <w:r w:rsidR="00E11B62">
        <w:rPr>
          <w:rStyle w:val="References"/>
        </w:rPr>
        <w:t>95</w:t>
      </w:r>
      <w:r>
        <w:rPr>
          <w:rStyle w:val="References"/>
        </w:rPr>
        <w:t>, subsection 309</w:t>
      </w:r>
      <w:proofErr w:type="gramStart"/>
      <w:r w:rsidR="00E11B62">
        <w:rPr>
          <w:rStyle w:val="References"/>
        </w:rPr>
        <w:t>A</w:t>
      </w:r>
      <w:r>
        <w:rPr>
          <w:rStyle w:val="References"/>
        </w:rPr>
        <w:t>(</w:t>
      </w:r>
      <w:proofErr w:type="gramEnd"/>
      <w:r w:rsidR="00E11B62">
        <w:rPr>
          <w:rStyle w:val="References"/>
        </w:rPr>
        <w:t>8</w:t>
      </w:r>
      <w:r>
        <w:rPr>
          <w:rStyle w:val="References"/>
        </w:rPr>
        <w:t>)</w:t>
      </w:r>
      <w:r w:rsidRPr="003351C1">
        <w:rPr>
          <w:rStyle w:val="References"/>
        </w:rPr>
        <w:t xml:space="preserve">] </w:t>
      </w:r>
    </w:p>
    <w:p w14:paraId="6DA4B31C" w14:textId="64557524" w:rsidR="00FC36B3" w:rsidRPr="00BF74DD" w:rsidRDefault="00FC36B3" w:rsidP="00FC36B3">
      <w:pPr>
        <w:pStyle w:val="Normalparatextwithnumbers"/>
        <w:rPr>
          <w:rStyle w:val="References"/>
          <w:i w:val="0"/>
          <w:iCs w:val="0"/>
        </w:rPr>
      </w:pPr>
      <w:r>
        <w:t xml:space="preserve">An entity must report to members for a financial year by providing an auditor’s report on the sustainability report for the year (in addition to the financial report, director’s </w:t>
      </w:r>
      <w:proofErr w:type="gramStart"/>
      <w:r>
        <w:t>report</w:t>
      </w:r>
      <w:proofErr w:type="gramEnd"/>
      <w:r>
        <w:t xml:space="preserve"> and auditor’s report on the financial report). Under section 314AA, a company may instead provide a concise report to satisfy this requirement. An amendment is made to ensure the concise report includes the auditor’s report on the sustainability report. </w:t>
      </w:r>
      <w:r>
        <w:br/>
      </w:r>
      <w:r w:rsidRPr="003351C1">
        <w:rPr>
          <w:rStyle w:val="References"/>
        </w:rPr>
        <w:t xml:space="preserve">[Schedule </w:t>
      </w:r>
      <w:r>
        <w:rPr>
          <w:rStyle w:val="References"/>
        </w:rPr>
        <w:t>#</w:t>
      </w:r>
      <w:r w:rsidRPr="003351C1">
        <w:rPr>
          <w:rStyle w:val="References"/>
        </w:rPr>
        <w:t xml:space="preserve">, </w:t>
      </w:r>
      <w:r>
        <w:rPr>
          <w:rStyle w:val="References"/>
        </w:rPr>
        <w:t xml:space="preserve">items </w:t>
      </w:r>
      <w:r w:rsidR="00C76C50">
        <w:rPr>
          <w:rStyle w:val="References"/>
        </w:rPr>
        <w:t>96</w:t>
      </w:r>
      <w:r>
        <w:rPr>
          <w:rStyle w:val="References"/>
        </w:rPr>
        <w:t xml:space="preserve"> and </w:t>
      </w:r>
      <w:r w:rsidR="00C76C50">
        <w:rPr>
          <w:rStyle w:val="References"/>
        </w:rPr>
        <w:t>97</w:t>
      </w:r>
      <w:r>
        <w:rPr>
          <w:rStyle w:val="References"/>
        </w:rPr>
        <w:t>, subparagraph 314(1)(a)(iv) and paragraph</w:t>
      </w:r>
      <w:r w:rsidR="00C76C50">
        <w:rPr>
          <w:rStyle w:val="References"/>
        </w:rPr>
        <w:t> </w:t>
      </w:r>
      <w:r>
        <w:rPr>
          <w:rStyle w:val="References"/>
        </w:rPr>
        <w:t>314(</w:t>
      </w:r>
      <w:proofErr w:type="gramStart"/>
      <w:r>
        <w:rPr>
          <w:rStyle w:val="References"/>
        </w:rPr>
        <w:t>2)(</w:t>
      </w:r>
      <w:proofErr w:type="gramEnd"/>
      <w:r>
        <w:rPr>
          <w:rStyle w:val="References"/>
        </w:rPr>
        <w:t>d</w:t>
      </w:r>
      <w:r w:rsidR="00C76C50">
        <w:rPr>
          <w:rStyle w:val="References"/>
        </w:rPr>
        <w:t>a</w:t>
      </w:r>
      <w:r>
        <w:rPr>
          <w:rStyle w:val="References"/>
        </w:rPr>
        <w:t xml:space="preserve">)] </w:t>
      </w:r>
      <w:r w:rsidRPr="00BF74DD">
        <w:rPr>
          <w:rStyle w:val="References"/>
          <w:i w:val="0"/>
          <w:iCs w:val="0"/>
        </w:rPr>
        <w:t xml:space="preserve"> </w:t>
      </w:r>
    </w:p>
    <w:p w14:paraId="62781DB9" w14:textId="3D7BC8D6" w:rsidR="00FC36B3" w:rsidRPr="009769F8" w:rsidRDefault="00FC36B3" w:rsidP="00FC36B3">
      <w:pPr>
        <w:pStyle w:val="Normalparatextwithnumbers"/>
        <w:rPr>
          <w:rStyle w:val="References"/>
        </w:rPr>
      </w:pPr>
      <w:r w:rsidRPr="003351C1">
        <w:rPr>
          <w:rStyle w:val="References"/>
        </w:rPr>
        <w:t xml:space="preserve"> </w:t>
      </w:r>
      <w:r w:rsidRPr="000A32C0">
        <w:rPr>
          <w:rStyle w:val="References"/>
          <w:b w:val="0"/>
          <w:bCs w:val="0"/>
          <w:i w:val="0"/>
          <w:iCs w:val="0"/>
        </w:rPr>
        <w:t xml:space="preserve">Similarly, a registrable superannuation entity must report to members by providing an auditor’s report </w:t>
      </w:r>
      <w:r>
        <w:t xml:space="preserve">on the sustainability report for the year (in addition to the financial report, director’s </w:t>
      </w:r>
      <w:proofErr w:type="gramStart"/>
      <w:r>
        <w:t>report</w:t>
      </w:r>
      <w:proofErr w:type="gramEnd"/>
      <w:r>
        <w:t xml:space="preserve"> and auditor’s report on the financial report).</w:t>
      </w:r>
      <w:r>
        <w:br/>
      </w:r>
      <w:r w:rsidRPr="009769F8">
        <w:rPr>
          <w:rStyle w:val="References"/>
        </w:rPr>
        <w:t>[Schedule</w:t>
      </w:r>
      <w:r>
        <w:rPr>
          <w:rStyle w:val="References"/>
        </w:rPr>
        <w:t xml:space="preserve"> #</w:t>
      </w:r>
      <w:r w:rsidRPr="009769F8">
        <w:rPr>
          <w:rStyle w:val="References"/>
        </w:rPr>
        <w:t>, item</w:t>
      </w:r>
      <w:r>
        <w:rPr>
          <w:rStyle w:val="References"/>
        </w:rPr>
        <w:t xml:space="preserve"> </w:t>
      </w:r>
      <w:r w:rsidR="00F93ABC">
        <w:rPr>
          <w:rStyle w:val="References"/>
        </w:rPr>
        <w:t>98</w:t>
      </w:r>
      <w:r w:rsidRPr="009769F8">
        <w:rPr>
          <w:rStyle w:val="References"/>
        </w:rPr>
        <w:t xml:space="preserve">, </w:t>
      </w:r>
      <w:r>
        <w:rPr>
          <w:rStyle w:val="References"/>
        </w:rPr>
        <w:t>paragraph 314AA(1)(d)]</w:t>
      </w:r>
      <w:r w:rsidRPr="009769F8">
        <w:rPr>
          <w:rStyle w:val="References"/>
        </w:rPr>
        <w:t xml:space="preserve">] </w:t>
      </w:r>
    </w:p>
    <w:p w14:paraId="3519396B" w14:textId="6C0960BE" w:rsidR="00FC36B3" w:rsidRPr="003351C1" w:rsidRDefault="00FC36B3" w:rsidP="00FC36B3">
      <w:pPr>
        <w:pStyle w:val="Normalparatextwithnumbers"/>
        <w:rPr>
          <w:rStyle w:val="References"/>
          <w:b w:val="0"/>
          <w:bCs w:val="0"/>
          <w:i w:val="0"/>
          <w:iCs w:val="0"/>
        </w:rPr>
      </w:pPr>
      <w:r>
        <w:rPr>
          <w:rStyle w:val="References"/>
          <w:b w:val="0"/>
          <w:bCs w:val="0"/>
          <w:i w:val="0"/>
          <w:iCs w:val="0"/>
        </w:rPr>
        <w:t xml:space="preserve">If a company </w:t>
      </w:r>
      <w:r w:rsidRPr="0041346C">
        <w:rPr>
          <w:rStyle w:val="References"/>
          <w:b w:val="0"/>
          <w:bCs w:val="0"/>
          <w:i w:val="0"/>
          <w:iCs w:val="0"/>
        </w:rPr>
        <w:t>limited</w:t>
      </w:r>
      <w:r>
        <w:rPr>
          <w:rStyle w:val="References"/>
          <w:b w:val="0"/>
          <w:bCs w:val="0"/>
          <w:i w:val="0"/>
          <w:iCs w:val="0"/>
        </w:rPr>
        <w:t xml:space="preserve"> by guarantee obtains an auditor’s report on the sustainability report, the company must send a copy of the report to each member who has made an election for that year. The report must be sent the earlier of 21 days before the next AGM after the end of the financial year, or 4 months after the end of the financial year. The copy of the report must be free of charge for members. Contravention is an offence of strict liability. The penalty amount for this offence is set at 30 penalty units through an amendment to Schedule 3 which sets out penalties.</w:t>
      </w:r>
      <w:r>
        <w:rPr>
          <w:rStyle w:val="References"/>
          <w:b w:val="0"/>
          <w:bCs w:val="0"/>
          <w:i w:val="0"/>
          <w:iCs w:val="0"/>
        </w:rPr>
        <w:br/>
      </w:r>
      <w:r w:rsidRPr="00694371">
        <w:rPr>
          <w:rStyle w:val="References"/>
        </w:rPr>
        <w:t xml:space="preserve">[Schedule </w:t>
      </w:r>
      <w:r>
        <w:rPr>
          <w:rStyle w:val="References"/>
        </w:rPr>
        <w:t>#</w:t>
      </w:r>
      <w:r w:rsidRPr="00694371">
        <w:rPr>
          <w:rStyle w:val="References"/>
        </w:rPr>
        <w:t xml:space="preserve">, </w:t>
      </w:r>
      <w:r>
        <w:rPr>
          <w:rStyle w:val="References"/>
        </w:rPr>
        <w:t xml:space="preserve">item </w:t>
      </w:r>
      <w:r w:rsidR="002E407E">
        <w:rPr>
          <w:rStyle w:val="References"/>
        </w:rPr>
        <w:t>99</w:t>
      </w:r>
      <w:r>
        <w:rPr>
          <w:rStyle w:val="References"/>
        </w:rPr>
        <w:t xml:space="preserve"> and </w:t>
      </w:r>
      <w:r w:rsidR="002E407E">
        <w:rPr>
          <w:rStyle w:val="References"/>
        </w:rPr>
        <w:t>100</w:t>
      </w:r>
      <w:r>
        <w:rPr>
          <w:rStyle w:val="References"/>
        </w:rPr>
        <w:t>, subsections 316A(3B) and 316</w:t>
      </w:r>
      <w:proofErr w:type="gramStart"/>
      <w:r>
        <w:rPr>
          <w:rStyle w:val="References"/>
        </w:rPr>
        <w:t>A(</w:t>
      </w:r>
      <w:proofErr w:type="gramEnd"/>
      <w:r>
        <w:rPr>
          <w:rStyle w:val="References"/>
        </w:rPr>
        <w:t>5)</w:t>
      </w:r>
    </w:p>
    <w:p w14:paraId="23BC9756" w14:textId="54899C84" w:rsidR="00FC36B3" w:rsidRDefault="00FC36B3" w:rsidP="00FC36B3">
      <w:pPr>
        <w:pStyle w:val="Normalparatextwithnumbers"/>
        <w:rPr>
          <w:rStyle w:val="References"/>
          <w:b w:val="0"/>
          <w:bCs w:val="0"/>
          <w:i w:val="0"/>
          <w:iCs w:val="0"/>
        </w:rPr>
      </w:pPr>
      <w:r>
        <w:rPr>
          <w:rStyle w:val="References"/>
          <w:b w:val="0"/>
          <w:bCs w:val="0"/>
          <w:i w:val="0"/>
          <w:iCs w:val="0"/>
        </w:rPr>
        <w:t>The amendments update consideration of reports at AGMs and additional reporting by debenture issuers by changing the singular term ‘report’ into a plural, reflecting the addition of the auditing of sustainability reports.</w:t>
      </w:r>
      <w:r>
        <w:rPr>
          <w:rStyle w:val="References"/>
          <w:b w:val="0"/>
          <w:bCs w:val="0"/>
          <w:i w:val="0"/>
          <w:iCs w:val="0"/>
        </w:rPr>
        <w:br/>
      </w:r>
      <w:r w:rsidRPr="000666D5">
        <w:rPr>
          <w:rStyle w:val="References"/>
        </w:rPr>
        <w:t xml:space="preserve">[Schedule </w:t>
      </w:r>
      <w:r>
        <w:rPr>
          <w:rStyle w:val="References"/>
        </w:rPr>
        <w:t>#</w:t>
      </w:r>
      <w:r w:rsidRPr="000666D5">
        <w:rPr>
          <w:rStyle w:val="References"/>
        </w:rPr>
        <w:t xml:space="preserve">, </w:t>
      </w:r>
      <w:r>
        <w:rPr>
          <w:rStyle w:val="References"/>
        </w:rPr>
        <w:t>items 1</w:t>
      </w:r>
      <w:r w:rsidR="006E7E02">
        <w:rPr>
          <w:rStyle w:val="References"/>
        </w:rPr>
        <w:t>01</w:t>
      </w:r>
      <w:r>
        <w:rPr>
          <w:rStyle w:val="References"/>
        </w:rPr>
        <w:t xml:space="preserve"> and 1</w:t>
      </w:r>
      <w:r w:rsidR="006E7E02">
        <w:rPr>
          <w:rStyle w:val="References"/>
        </w:rPr>
        <w:t>02</w:t>
      </w:r>
      <w:r>
        <w:rPr>
          <w:rStyle w:val="References"/>
        </w:rPr>
        <w:t>, paragraphs 317(1)(c) and 318(2)(b)</w:t>
      </w:r>
      <w:r w:rsidRPr="000666D5">
        <w:rPr>
          <w:rStyle w:val="References"/>
        </w:rPr>
        <w:t xml:space="preserve">] </w:t>
      </w:r>
      <w:r>
        <w:rPr>
          <w:rStyle w:val="References"/>
          <w:b w:val="0"/>
          <w:bCs w:val="0"/>
          <w:i w:val="0"/>
          <w:iCs w:val="0"/>
        </w:rPr>
        <w:t xml:space="preserve"> </w:t>
      </w:r>
    </w:p>
    <w:p w14:paraId="15069370" w14:textId="15E07F80" w:rsidR="00FC36B3" w:rsidRPr="003351C1" w:rsidRDefault="00FC36B3" w:rsidP="00FC36B3">
      <w:pPr>
        <w:pStyle w:val="Normalparatextwithnumbers"/>
        <w:rPr>
          <w:rStyle w:val="References"/>
          <w:b w:val="0"/>
          <w:bCs w:val="0"/>
          <w:i w:val="0"/>
          <w:iCs w:val="0"/>
        </w:rPr>
      </w:pPr>
      <w:r>
        <w:rPr>
          <w:rStyle w:val="References"/>
          <w:b w:val="0"/>
          <w:bCs w:val="0"/>
          <w:i w:val="0"/>
          <w:iCs w:val="0"/>
        </w:rPr>
        <w:t xml:space="preserve">The auditor’s power to obtain information from a controlled entity is updated to include the power to obtain sustainability reports including consolidated climate statements. Auditing standards are also updated to apply to sustainability reports. If the AUASB makes an auditing standard and the standard applies to sustainability reports in relation to </w:t>
      </w:r>
      <w:proofErr w:type="gramStart"/>
      <w:r>
        <w:rPr>
          <w:rStyle w:val="References"/>
          <w:b w:val="0"/>
          <w:bCs w:val="0"/>
          <w:i w:val="0"/>
          <w:iCs w:val="0"/>
        </w:rPr>
        <w:t>particular periods</w:t>
      </w:r>
      <w:proofErr w:type="gramEnd"/>
      <w:r>
        <w:rPr>
          <w:rStyle w:val="References"/>
          <w:b w:val="0"/>
          <w:bCs w:val="0"/>
          <w:i w:val="0"/>
          <w:iCs w:val="0"/>
        </w:rPr>
        <w:t xml:space="preserve"> and an auditor is conducting an audit of a sustainability report in relation to a period occurring before the start of the earliest of those periods, the auditor may elect to apply the auditing standard to that audit unless the standard says otherwise. The election must be recorded in the auditor’s report.</w:t>
      </w:r>
      <w:r>
        <w:rPr>
          <w:rStyle w:val="References"/>
        </w:rPr>
        <w:br/>
      </w:r>
      <w:r w:rsidRPr="000F4B18">
        <w:rPr>
          <w:rStyle w:val="References"/>
        </w:rPr>
        <w:t xml:space="preserve">[Schedule </w:t>
      </w:r>
      <w:r>
        <w:rPr>
          <w:rStyle w:val="References"/>
        </w:rPr>
        <w:t>#</w:t>
      </w:r>
      <w:r w:rsidRPr="000F4B18">
        <w:rPr>
          <w:rStyle w:val="References"/>
        </w:rPr>
        <w:t xml:space="preserve">, </w:t>
      </w:r>
      <w:r>
        <w:rPr>
          <w:rStyle w:val="References"/>
        </w:rPr>
        <w:t>items 1</w:t>
      </w:r>
      <w:r w:rsidR="00873025">
        <w:rPr>
          <w:rStyle w:val="References"/>
        </w:rPr>
        <w:t>03</w:t>
      </w:r>
      <w:r>
        <w:rPr>
          <w:rStyle w:val="References"/>
        </w:rPr>
        <w:t xml:space="preserve">, </w:t>
      </w:r>
      <w:r w:rsidR="00873025">
        <w:rPr>
          <w:rStyle w:val="References"/>
        </w:rPr>
        <w:t>1</w:t>
      </w:r>
      <w:r>
        <w:rPr>
          <w:rStyle w:val="References"/>
        </w:rPr>
        <w:t>0</w:t>
      </w:r>
      <w:r w:rsidR="00873025">
        <w:rPr>
          <w:rStyle w:val="References"/>
        </w:rPr>
        <w:t>4</w:t>
      </w:r>
      <w:r>
        <w:rPr>
          <w:rStyle w:val="References"/>
        </w:rPr>
        <w:t xml:space="preserve"> and 1</w:t>
      </w:r>
      <w:r w:rsidR="00873025">
        <w:rPr>
          <w:rStyle w:val="References"/>
        </w:rPr>
        <w:t>05</w:t>
      </w:r>
      <w:r>
        <w:rPr>
          <w:rStyle w:val="References"/>
        </w:rPr>
        <w:t>, subsections 323</w:t>
      </w:r>
      <w:proofErr w:type="gramStart"/>
      <w:r>
        <w:rPr>
          <w:rStyle w:val="References"/>
        </w:rPr>
        <w:t>A(</w:t>
      </w:r>
      <w:proofErr w:type="gramEnd"/>
      <w:r>
        <w:rPr>
          <w:rStyle w:val="References"/>
        </w:rPr>
        <w:t>1), 336(3) and</w:t>
      </w:r>
      <w:r w:rsidR="00873025">
        <w:rPr>
          <w:rStyle w:val="References"/>
        </w:rPr>
        <w:t> </w:t>
      </w:r>
      <w:r>
        <w:rPr>
          <w:rStyle w:val="References"/>
        </w:rPr>
        <w:t>336(5)</w:t>
      </w:r>
      <w:r w:rsidRPr="000F4B18">
        <w:rPr>
          <w:rStyle w:val="References"/>
        </w:rPr>
        <w:t xml:space="preserve">] </w:t>
      </w:r>
    </w:p>
    <w:p w14:paraId="3852F752" w14:textId="60880546" w:rsidR="00FC36B3" w:rsidRPr="003351C1" w:rsidRDefault="00FC36B3" w:rsidP="00FC36B3">
      <w:pPr>
        <w:pStyle w:val="Normalparatextwithnumbers"/>
        <w:rPr>
          <w:rStyle w:val="References"/>
          <w:b w:val="0"/>
          <w:bCs w:val="0"/>
          <w:i w:val="0"/>
          <w:iCs w:val="0"/>
        </w:rPr>
      </w:pPr>
      <w:r>
        <w:rPr>
          <w:rStyle w:val="References"/>
          <w:b w:val="0"/>
          <w:bCs w:val="0"/>
          <w:i w:val="0"/>
          <w:iCs w:val="0"/>
        </w:rPr>
        <w:t xml:space="preserve">Issuers of financial products that are superannuation products relating to registrable superannuation entities must, on written request from a concerned person, give the person a copy of the auditor’s report for the financial year and a copy of the auditor’s report on the sustainability report. </w:t>
      </w:r>
      <w:r>
        <w:rPr>
          <w:rStyle w:val="References"/>
          <w:b w:val="0"/>
          <w:bCs w:val="0"/>
          <w:i w:val="0"/>
          <w:iCs w:val="0"/>
        </w:rPr>
        <w:br/>
      </w:r>
      <w:r w:rsidRPr="00DF21BE">
        <w:rPr>
          <w:rStyle w:val="References"/>
        </w:rPr>
        <w:t xml:space="preserve">[Schedule </w:t>
      </w:r>
      <w:r>
        <w:rPr>
          <w:rStyle w:val="References"/>
        </w:rPr>
        <w:t>#</w:t>
      </w:r>
      <w:r w:rsidRPr="00DF21BE">
        <w:rPr>
          <w:rStyle w:val="References"/>
        </w:rPr>
        <w:t>,</w:t>
      </w:r>
      <w:r>
        <w:rPr>
          <w:rStyle w:val="References"/>
        </w:rPr>
        <w:t xml:space="preserve"> item </w:t>
      </w:r>
      <w:r w:rsidR="00873025">
        <w:rPr>
          <w:rStyle w:val="References"/>
        </w:rPr>
        <w:t>106</w:t>
      </w:r>
      <w:r>
        <w:rPr>
          <w:rStyle w:val="References"/>
        </w:rPr>
        <w:t>, paragraphs 1017C(3</w:t>
      </w:r>
      <w:proofErr w:type="gramStart"/>
      <w:r>
        <w:rPr>
          <w:rStyle w:val="References"/>
        </w:rPr>
        <w:t>AA)(</w:t>
      </w:r>
      <w:proofErr w:type="gramEnd"/>
      <w:r>
        <w:rPr>
          <w:rStyle w:val="References"/>
        </w:rPr>
        <w:t>c) and (d)</w:t>
      </w:r>
      <w:r w:rsidRPr="00DF21BE">
        <w:rPr>
          <w:rStyle w:val="References"/>
        </w:rPr>
        <w:t xml:space="preserve">] </w:t>
      </w:r>
    </w:p>
    <w:p w14:paraId="61E6D124" w14:textId="1C753414" w:rsidR="00FC36B3" w:rsidRPr="003351C1" w:rsidRDefault="00FC36B3" w:rsidP="00940233">
      <w:pPr>
        <w:pStyle w:val="Normalparatextwithnumbers"/>
        <w:rPr>
          <w:rStyle w:val="References"/>
          <w:b w:val="0"/>
          <w:bCs w:val="0"/>
          <w:i w:val="0"/>
          <w:iCs w:val="0"/>
        </w:rPr>
      </w:pPr>
      <w:r>
        <w:rPr>
          <w:rStyle w:val="References"/>
          <w:b w:val="0"/>
          <w:bCs w:val="0"/>
          <w:i w:val="0"/>
          <w:iCs w:val="0"/>
        </w:rPr>
        <w:t>The requirement to audit a financial report applies to CCIVs in relation to sustainability reports for each sub-</w:t>
      </w:r>
      <w:r w:rsidRPr="00AD733F">
        <w:rPr>
          <w:rStyle w:val="References"/>
          <w:b w:val="0"/>
          <w:bCs w:val="0"/>
          <w:i w:val="0"/>
          <w:iCs w:val="0"/>
        </w:rPr>
        <w:t>fund</w:t>
      </w:r>
      <w:r w:rsidRPr="00A54CAD">
        <w:rPr>
          <w:rStyle w:val="References"/>
          <w:b w:val="0"/>
          <w:bCs w:val="0"/>
        </w:rPr>
        <w:t>.</w:t>
      </w:r>
      <w:r w:rsidRPr="003351C1">
        <w:rPr>
          <w:rStyle w:val="References"/>
          <w:b w:val="0"/>
          <w:bCs w:val="0"/>
        </w:rPr>
        <w:t xml:space="preserve"> </w:t>
      </w:r>
      <w:r w:rsidRPr="003351C1">
        <w:rPr>
          <w:rStyle w:val="References"/>
          <w:b w:val="0"/>
          <w:bCs w:val="0"/>
          <w:i w:val="0"/>
          <w:iCs w:val="0"/>
        </w:rPr>
        <w:t>Subject to modifications relevant to CCIVs, Division 3 of Part 2M.3 applies to sub-funds of retail CCIVs and in relation to sustainability disclosure reports for CCIVs.</w:t>
      </w:r>
      <w:r>
        <w:rPr>
          <w:rStyle w:val="References"/>
          <w:i w:val="0"/>
          <w:iCs w:val="0"/>
        </w:rPr>
        <w:t xml:space="preserve"> </w:t>
      </w:r>
      <w:r>
        <w:rPr>
          <w:rStyle w:val="References"/>
          <w:b w:val="0"/>
          <w:bCs w:val="0"/>
          <w:i w:val="0"/>
          <w:iCs w:val="0"/>
        </w:rPr>
        <w:t xml:space="preserve"> </w:t>
      </w:r>
      <w:r>
        <w:rPr>
          <w:rStyle w:val="References"/>
        </w:rPr>
        <w:br/>
      </w:r>
      <w:r w:rsidRPr="00246514">
        <w:rPr>
          <w:rStyle w:val="References"/>
        </w:rPr>
        <w:t xml:space="preserve">[Schedule </w:t>
      </w:r>
      <w:r>
        <w:rPr>
          <w:rStyle w:val="References"/>
        </w:rPr>
        <w:t xml:space="preserve">#, items </w:t>
      </w:r>
      <w:r w:rsidR="003C56AF">
        <w:rPr>
          <w:rStyle w:val="References"/>
        </w:rPr>
        <w:t>107, 108 and 109</w:t>
      </w:r>
      <w:r>
        <w:rPr>
          <w:rStyle w:val="References"/>
        </w:rPr>
        <w:t>, subsection 1232D(2A), paragraph 1232(</w:t>
      </w:r>
      <w:proofErr w:type="gramStart"/>
      <w:r>
        <w:rPr>
          <w:rStyle w:val="References"/>
        </w:rPr>
        <w:t>1)(</w:t>
      </w:r>
      <w:proofErr w:type="gramEnd"/>
      <w:r>
        <w:rPr>
          <w:rStyle w:val="References"/>
        </w:rPr>
        <w:t>aa) and subparagraph 1232H(1)(a)(ii)</w:t>
      </w:r>
      <w:r w:rsidRPr="00246514">
        <w:rPr>
          <w:rStyle w:val="References"/>
        </w:rPr>
        <w:t xml:space="preserve">] </w:t>
      </w:r>
    </w:p>
    <w:p w14:paraId="5C12C1F7" w14:textId="35A773FC" w:rsidR="00FC36B3" w:rsidRPr="00F0754C" w:rsidRDefault="00FC36B3" w:rsidP="00FC36B3">
      <w:pPr>
        <w:pStyle w:val="Normalparatextwithnumbers"/>
        <w:rPr>
          <w:rStyle w:val="References"/>
          <w:b w:val="0"/>
          <w:i w:val="0"/>
        </w:rPr>
      </w:pPr>
      <w:r>
        <w:rPr>
          <w:rStyle w:val="References"/>
          <w:b w:val="0"/>
          <w:bCs w:val="0"/>
          <w:i w:val="0"/>
          <w:iCs w:val="0"/>
        </w:rPr>
        <w:t xml:space="preserve">Several new strict liability offences are added to support the new auditing and assurance requirements, as outlined above. </w:t>
      </w:r>
      <w:r w:rsidRPr="003C12A2">
        <w:rPr>
          <w:rStyle w:val="References"/>
          <w:b w:val="0"/>
          <w:bCs w:val="0"/>
          <w:i w:val="0"/>
          <w:iCs w:val="0"/>
        </w:rPr>
        <w:t xml:space="preserve">Strict liability is appropriate in </w:t>
      </w:r>
      <w:r>
        <w:rPr>
          <w:rStyle w:val="References"/>
          <w:b w:val="0"/>
          <w:bCs w:val="0"/>
          <w:i w:val="0"/>
          <w:iCs w:val="0"/>
        </w:rPr>
        <w:t>these</w:t>
      </w:r>
      <w:r w:rsidRPr="003C12A2">
        <w:rPr>
          <w:rStyle w:val="References"/>
          <w:b w:val="0"/>
          <w:bCs w:val="0"/>
          <w:i w:val="0"/>
          <w:iCs w:val="0"/>
        </w:rPr>
        <w:t xml:space="preserve"> circumstance</w:t>
      </w:r>
      <w:r>
        <w:rPr>
          <w:rStyle w:val="References"/>
          <w:b w:val="0"/>
          <w:bCs w:val="0"/>
          <w:i w:val="0"/>
          <w:iCs w:val="0"/>
        </w:rPr>
        <w:t>s</w:t>
      </w:r>
      <w:r w:rsidRPr="003C12A2">
        <w:rPr>
          <w:rStyle w:val="References"/>
          <w:b w:val="0"/>
          <w:bCs w:val="0"/>
          <w:i w:val="0"/>
          <w:iCs w:val="0"/>
        </w:rPr>
        <w:t xml:space="preserve">, as it is </w:t>
      </w:r>
      <w:r w:rsidRPr="00E56BEE">
        <w:rPr>
          <w:rStyle w:val="References"/>
          <w:b w:val="0"/>
          <w:bCs w:val="0"/>
          <w:i w:val="0"/>
          <w:iCs w:val="0"/>
        </w:rPr>
        <w:t xml:space="preserve">necessary to strongly deter misconduct that can </w:t>
      </w:r>
      <w:r>
        <w:rPr>
          <w:rStyle w:val="References"/>
          <w:b w:val="0"/>
          <w:bCs w:val="0"/>
          <w:i w:val="0"/>
          <w:iCs w:val="0"/>
        </w:rPr>
        <w:t>cause</w:t>
      </w:r>
      <w:r w:rsidRPr="00E56BEE">
        <w:rPr>
          <w:rStyle w:val="References"/>
          <w:b w:val="0"/>
          <w:bCs w:val="0"/>
          <w:i w:val="0"/>
          <w:iCs w:val="0"/>
        </w:rPr>
        <w:t xml:space="preserve"> serious detriment </w:t>
      </w:r>
      <w:r>
        <w:rPr>
          <w:rStyle w:val="References"/>
          <w:b w:val="0"/>
          <w:bCs w:val="0"/>
          <w:i w:val="0"/>
          <w:iCs w:val="0"/>
        </w:rPr>
        <w:t>to</w:t>
      </w:r>
      <w:r w:rsidRPr="00E56BEE">
        <w:rPr>
          <w:rStyle w:val="References"/>
          <w:b w:val="0"/>
          <w:bCs w:val="0"/>
          <w:i w:val="0"/>
          <w:iCs w:val="0"/>
        </w:rPr>
        <w:t xml:space="preserve"> investors and regulators relying on auditors’ declarations. Further the specialised role of auditors means that it is appropriate for a person to be penalised if they contravene these requirements by not complying with the strict requirements to conduct an audit in line with relevant</w:t>
      </w:r>
      <w:r w:rsidRPr="002334EE">
        <w:rPr>
          <w:rStyle w:val="References"/>
          <w:b w:val="0"/>
          <w:bCs w:val="0"/>
          <w:i w:val="0"/>
          <w:iCs w:val="0"/>
        </w:rPr>
        <w:t xml:space="preserve"> standards, not retaining audit records as required or not providing the</w:t>
      </w:r>
      <w:r>
        <w:rPr>
          <w:rStyle w:val="References"/>
          <w:b w:val="0"/>
          <w:bCs w:val="0"/>
        </w:rPr>
        <w:t xml:space="preserve"> </w:t>
      </w:r>
      <w:r w:rsidRPr="00C9051C">
        <w:rPr>
          <w:rStyle w:val="References"/>
          <w:b w:val="0"/>
          <w:bCs w:val="0"/>
          <w:i w:val="0"/>
          <w:iCs w:val="0"/>
        </w:rPr>
        <w:t xml:space="preserve">necessary </w:t>
      </w:r>
      <w:r>
        <w:t>declarations in relation to auditor independence requirements or adherence to codes of professional conduct. Additionally, the strict liability offences mirror similar offences relating to</w:t>
      </w:r>
      <w:r w:rsidDel="00DF69BB">
        <w:t xml:space="preserve"> </w:t>
      </w:r>
      <w:r>
        <w:t>financial record-keeping.</w:t>
      </w:r>
    </w:p>
    <w:p w14:paraId="56A7F852" w14:textId="77777777" w:rsidR="00FC36B3" w:rsidRPr="003C12A2" w:rsidRDefault="00FC36B3" w:rsidP="00FC36B3">
      <w:pPr>
        <w:pStyle w:val="Normalparatextwithnumbers"/>
        <w:rPr>
          <w:rStyle w:val="References"/>
          <w:b w:val="0"/>
          <w:bCs w:val="0"/>
          <w:i w:val="0"/>
          <w:iCs w:val="0"/>
        </w:rPr>
      </w:pPr>
      <w:r w:rsidRPr="003C12A2">
        <w:rPr>
          <w:rStyle w:val="References"/>
          <w:b w:val="0"/>
          <w:bCs w:val="0"/>
          <w:i w:val="0"/>
          <w:iCs w:val="0"/>
        </w:rPr>
        <w:t xml:space="preserve">The strict liability </w:t>
      </w:r>
      <w:r>
        <w:rPr>
          <w:rStyle w:val="References"/>
          <w:b w:val="0"/>
          <w:bCs w:val="0"/>
          <w:i w:val="0"/>
          <w:iCs w:val="0"/>
        </w:rPr>
        <w:t xml:space="preserve">offences </w:t>
      </w:r>
      <w:r w:rsidRPr="003C12A2">
        <w:rPr>
          <w:rStyle w:val="References"/>
          <w:b w:val="0"/>
          <w:bCs w:val="0"/>
          <w:i w:val="0"/>
          <w:iCs w:val="0"/>
        </w:rPr>
        <w:t xml:space="preserve">in this Schedule meet all the conditions listed in the Attorney-General’s Department’s </w:t>
      </w:r>
      <w:r w:rsidRPr="003C12A2">
        <w:rPr>
          <w:rStyle w:val="References"/>
          <w:b w:val="0"/>
          <w:bCs w:val="0"/>
        </w:rPr>
        <w:t>A Guide to Framing Commonwealth Offences, Infringement Notices and Enforcement Powers</w:t>
      </w:r>
      <w:r w:rsidRPr="003C12A2">
        <w:rPr>
          <w:rStyle w:val="References"/>
          <w:b w:val="0"/>
          <w:bCs w:val="0"/>
          <w:i w:val="0"/>
          <w:iCs w:val="0"/>
        </w:rPr>
        <w:t>. For example, the fines for the offences do not exceed 60 penalty units for persons other than a body corporate or 300 penalty units for a body corporate.</w:t>
      </w:r>
    </w:p>
    <w:p w14:paraId="04EE4898" w14:textId="77777777" w:rsidR="00FC36B3" w:rsidRPr="00FF7CDB" w:rsidRDefault="00FC36B3" w:rsidP="00FC36B3">
      <w:pPr>
        <w:pStyle w:val="Normalparatextwithnumbers"/>
        <w:rPr>
          <w:rStyle w:val="References"/>
          <w:i w:val="0"/>
        </w:rPr>
      </w:pPr>
      <w:r w:rsidRPr="003C12A2">
        <w:rPr>
          <w:rStyle w:val="References"/>
          <w:b w:val="0"/>
          <w:bCs w:val="0"/>
          <w:i w:val="0"/>
          <w:iCs w:val="0"/>
        </w:rPr>
        <w:t>The application of strict liability, as opposed to absolute liability, preserves the defence of honest and reasonable mistake of fact. The application of strict liability, as opposed to absolute liability, preserves the defence of honest and reasonable mistake of fact.</w:t>
      </w:r>
      <w:r>
        <w:rPr>
          <w:rStyle w:val="References"/>
          <w:b w:val="0"/>
          <w:bCs w:val="0"/>
          <w:i w:val="0"/>
          <w:iCs w:val="0"/>
        </w:rPr>
        <w:t xml:space="preserve"> </w:t>
      </w:r>
    </w:p>
    <w:p w14:paraId="4463AAC9" w14:textId="708F84D8" w:rsidR="00FC36B3" w:rsidRPr="00C157A2" w:rsidRDefault="00FC36B3" w:rsidP="00FC36B3">
      <w:pPr>
        <w:pStyle w:val="Normalparatextwithnumbers"/>
        <w:rPr>
          <w:rStyle w:val="References"/>
        </w:rPr>
      </w:pPr>
      <w:r w:rsidRPr="0049353F">
        <w:rPr>
          <w:rStyle w:val="References"/>
          <w:b w:val="0"/>
          <w:i w:val="0"/>
          <w:iCs w:val="0"/>
        </w:rPr>
        <w:t>Schedule 3 sets out penalties for offences in the Act. Schedule 3 of the Act is updated to reflect the addition of the new offences relating to the new requirements for auditing</w:t>
      </w:r>
      <w:r>
        <w:rPr>
          <w:rStyle w:val="References"/>
          <w:b w:val="0"/>
          <w:i w:val="0"/>
          <w:iCs w:val="0"/>
        </w:rPr>
        <w:t xml:space="preserve"> and assuring </w:t>
      </w:r>
      <w:r w:rsidRPr="0049353F">
        <w:rPr>
          <w:rStyle w:val="References"/>
          <w:b w:val="0"/>
          <w:i w:val="0"/>
          <w:iCs w:val="0"/>
        </w:rPr>
        <w:t>sustainability reports</w:t>
      </w:r>
      <w:r>
        <w:rPr>
          <w:rStyle w:val="References"/>
          <w:b w:val="0"/>
          <w:i w:val="0"/>
          <w:iCs w:val="0"/>
        </w:rPr>
        <w:t>. The fine for all the new strict liability</w:t>
      </w:r>
      <w:r w:rsidRPr="0047747F">
        <w:rPr>
          <w:rStyle w:val="References"/>
          <w:b w:val="0"/>
          <w:i w:val="0"/>
          <w:iCs w:val="0"/>
        </w:rPr>
        <w:t xml:space="preserve"> </w:t>
      </w:r>
      <w:r>
        <w:rPr>
          <w:rStyle w:val="References"/>
          <w:b w:val="0"/>
          <w:i w:val="0"/>
          <w:iCs w:val="0"/>
        </w:rPr>
        <w:t>offences is set at 50 penalty units, except for contraventions relating to an auditor’s independence declaration.</w:t>
      </w:r>
      <w:r w:rsidRPr="0047747F">
        <w:rPr>
          <w:rStyle w:val="References"/>
          <w:b w:val="0"/>
          <w:i w:val="0"/>
          <w:iCs w:val="0"/>
        </w:rPr>
        <w:br/>
      </w:r>
      <w:r w:rsidRPr="00DF3CDE">
        <w:rPr>
          <w:rStyle w:val="References"/>
        </w:rPr>
        <w:t xml:space="preserve">[Schedule </w:t>
      </w:r>
      <w:r>
        <w:rPr>
          <w:rStyle w:val="References"/>
        </w:rPr>
        <w:t>#</w:t>
      </w:r>
      <w:r w:rsidRPr="00DF3CDE">
        <w:rPr>
          <w:rStyle w:val="References"/>
        </w:rPr>
        <w:t>, item</w:t>
      </w:r>
      <w:r w:rsidR="000A27F6">
        <w:rPr>
          <w:rStyle w:val="References"/>
        </w:rPr>
        <w:t>s</w:t>
      </w:r>
      <w:r w:rsidRPr="00DF3CDE">
        <w:rPr>
          <w:rStyle w:val="References"/>
        </w:rPr>
        <w:t xml:space="preserve"> </w:t>
      </w:r>
      <w:r w:rsidR="000A27F6">
        <w:rPr>
          <w:rStyle w:val="References"/>
        </w:rPr>
        <w:t>110 and 111</w:t>
      </w:r>
      <w:r w:rsidRPr="00DF3CDE">
        <w:rPr>
          <w:rStyle w:val="References"/>
        </w:rPr>
        <w:t xml:space="preserve">, </w:t>
      </w:r>
      <w:r w:rsidR="002B6E32">
        <w:rPr>
          <w:rStyle w:val="References"/>
        </w:rPr>
        <w:t>table items in Schedule 3 and table item under Schedule 3 dealing with subsections 316</w:t>
      </w:r>
      <w:proofErr w:type="gramStart"/>
      <w:r w:rsidR="002B6E32">
        <w:rPr>
          <w:rStyle w:val="References"/>
        </w:rPr>
        <w:t>A(</w:t>
      </w:r>
      <w:proofErr w:type="gramEnd"/>
      <w:r w:rsidR="002B6E32">
        <w:rPr>
          <w:rStyle w:val="References"/>
        </w:rPr>
        <w:t>3) and (4), column headed “Provision”</w:t>
      </w:r>
      <w:r w:rsidRPr="00DF3CDE">
        <w:rPr>
          <w:rStyle w:val="References"/>
        </w:rPr>
        <w:t xml:space="preserve">] </w:t>
      </w:r>
    </w:p>
    <w:p w14:paraId="3E9BCA5E" w14:textId="77777777" w:rsidR="00FC36B3" w:rsidRDefault="00FC36B3" w:rsidP="00FC36B3">
      <w:pPr>
        <w:pStyle w:val="Heading3"/>
        <w:rPr>
          <w:rFonts w:hint="eastAsia"/>
        </w:rPr>
      </w:pPr>
      <w:r>
        <w:t>Part 3 – Sustainability and auditing standards</w:t>
      </w:r>
    </w:p>
    <w:p w14:paraId="79AF60D2" w14:textId="1BEDECBB" w:rsidR="00FC36B3" w:rsidRPr="002E40AC" w:rsidRDefault="00FC36B3" w:rsidP="00FC36B3">
      <w:pPr>
        <w:pStyle w:val="Normalparatextwithnumbers"/>
        <w:spacing w:before="0" w:after="0"/>
        <w:ind w:left="705"/>
        <w:textAlignment w:val="baseline"/>
        <w:rPr>
          <w:rFonts w:eastAsia="Times New Roman" w:cs="Times New Roman"/>
          <w:lang w:eastAsia="en-AU"/>
        </w:rPr>
      </w:pPr>
      <w:r>
        <w:rPr>
          <w:lang w:eastAsia="en-AU"/>
        </w:rPr>
        <w:t>Schedule # to t</w:t>
      </w:r>
      <w:r w:rsidRPr="002E40AC">
        <w:rPr>
          <w:lang w:eastAsia="en-AU"/>
        </w:rPr>
        <w:t xml:space="preserve">he </w:t>
      </w:r>
      <w:r>
        <w:rPr>
          <w:lang w:eastAsia="en-AU"/>
        </w:rPr>
        <w:t>Bill</w:t>
      </w:r>
      <w:r w:rsidRPr="002E40AC">
        <w:rPr>
          <w:lang w:eastAsia="en-AU"/>
        </w:rPr>
        <w:t xml:space="preserve"> </w:t>
      </w:r>
      <w:r>
        <w:rPr>
          <w:lang w:eastAsia="en-AU"/>
        </w:rPr>
        <w:t xml:space="preserve">amends the ASIC Act to empower </w:t>
      </w:r>
      <w:r w:rsidRPr="002E40AC">
        <w:rPr>
          <w:lang w:eastAsia="en-AU"/>
        </w:rPr>
        <w:t xml:space="preserve">the AASB </w:t>
      </w:r>
      <w:r>
        <w:rPr>
          <w:lang w:eastAsia="en-AU"/>
        </w:rPr>
        <w:t xml:space="preserve">to </w:t>
      </w:r>
      <w:r w:rsidRPr="002E40AC">
        <w:rPr>
          <w:lang w:eastAsia="en-AU"/>
        </w:rPr>
        <w:t xml:space="preserve">make sustainability standards under section 336A. These sustainability standards are given legal effect by </w:t>
      </w:r>
      <w:r>
        <w:rPr>
          <w:lang w:eastAsia="en-AU"/>
        </w:rPr>
        <w:t xml:space="preserve">amendments to </w:t>
      </w:r>
      <w:r w:rsidRPr="002E40AC">
        <w:rPr>
          <w:lang w:eastAsia="en-AU"/>
        </w:rPr>
        <w:t>the Corporations Act. </w:t>
      </w:r>
      <w:r>
        <w:rPr>
          <w:lang w:eastAsia="en-AU"/>
        </w:rPr>
        <w:br/>
      </w:r>
      <w:r w:rsidRPr="002E40AC">
        <w:rPr>
          <w:rFonts w:eastAsia="Times New Roman" w:cs="Times New Roman"/>
          <w:b/>
          <w:bCs/>
          <w:i/>
          <w:iCs/>
          <w:lang w:eastAsia="en-AU"/>
        </w:rPr>
        <w:t>[Schedule #,</w:t>
      </w:r>
      <w:r w:rsidR="00542164">
        <w:rPr>
          <w:rFonts w:eastAsia="Times New Roman" w:cs="Times New Roman"/>
          <w:b/>
          <w:bCs/>
          <w:i/>
          <w:iCs/>
          <w:lang w:eastAsia="en-AU"/>
        </w:rPr>
        <w:t xml:space="preserve"> </w:t>
      </w:r>
      <w:r w:rsidRPr="002E40AC">
        <w:rPr>
          <w:rFonts w:eastAsia="Times New Roman" w:cs="Times New Roman"/>
          <w:b/>
          <w:bCs/>
          <w:i/>
          <w:iCs/>
          <w:lang w:eastAsia="en-AU"/>
        </w:rPr>
        <w:t xml:space="preserve">items </w:t>
      </w:r>
      <w:r w:rsidR="00DE71B8">
        <w:rPr>
          <w:rFonts w:eastAsia="Times New Roman" w:cs="Times New Roman"/>
          <w:b/>
          <w:bCs/>
          <w:i/>
          <w:iCs/>
          <w:lang w:eastAsia="en-AU"/>
        </w:rPr>
        <w:t>112 to 115</w:t>
      </w:r>
      <w:r w:rsidRPr="002E40AC">
        <w:rPr>
          <w:rFonts w:eastAsia="Times New Roman" w:cs="Times New Roman"/>
          <w:b/>
          <w:bCs/>
          <w:i/>
          <w:iCs/>
          <w:lang w:eastAsia="en-AU"/>
        </w:rPr>
        <w:t>, paragraph</w:t>
      </w:r>
      <w:r w:rsidR="00DE71B8">
        <w:rPr>
          <w:rFonts w:eastAsia="Times New Roman" w:cs="Times New Roman"/>
          <w:b/>
          <w:bCs/>
          <w:i/>
          <w:iCs/>
          <w:lang w:eastAsia="en-AU"/>
        </w:rPr>
        <w:t>s</w:t>
      </w:r>
      <w:r w:rsidRPr="002E40AC">
        <w:rPr>
          <w:rFonts w:eastAsia="Times New Roman" w:cs="Times New Roman"/>
          <w:b/>
          <w:bCs/>
          <w:i/>
          <w:iCs/>
          <w:lang w:eastAsia="en-AU"/>
        </w:rPr>
        <w:t xml:space="preserve"> 227(</w:t>
      </w:r>
      <w:proofErr w:type="gramStart"/>
      <w:r w:rsidRPr="002E40AC">
        <w:rPr>
          <w:rFonts w:eastAsia="Times New Roman" w:cs="Times New Roman"/>
          <w:b/>
          <w:bCs/>
          <w:i/>
          <w:iCs/>
          <w:lang w:eastAsia="en-AU"/>
        </w:rPr>
        <w:t>1)(</w:t>
      </w:r>
      <w:proofErr w:type="spellStart"/>
      <w:proofErr w:type="gramEnd"/>
      <w:r w:rsidRPr="002E40AC">
        <w:rPr>
          <w:rFonts w:eastAsia="Times New Roman" w:cs="Times New Roman"/>
          <w:b/>
          <w:bCs/>
          <w:i/>
          <w:iCs/>
          <w:lang w:eastAsia="en-AU"/>
        </w:rPr>
        <w:t>ba</w:t>
      </w:r>
      <w:proofErr w:type="spellEnd"/>
      <w:r w:rsidRPr="0047747F">
        <w:rPr>
          <w:rFonts w:eastAsia="Times New Roman" w:cs="Times New Roman"/>
          <w:b/>
          <w:bCs/>
          <w:i/>
          <w:iCs/>
          <w:lang w:eastAsia="en-AU"/>
        </w:rPr>
        <w:t>)</w:t>
      </w:r>
      <w:r w:rsidR="00DE71B8">
        <w:rPr>
          <w:rFonts w:eastAsia="Times New Roman" w:cs="Times New Roman"/>
          <w:b/>
          <w:bCs/>
          <w:i/>
          <w:iCs/>
          <w:lang w:eastAsia="en-AU"/>
        </w:rPr>
        <w:t xml:space="preserve"> and </w:t>
      </w:r>
      <w:r w:rsidRPr="002E40AC">
        <w:rPr>
          <w:rFonts w:eastAsia="Times New Roman" w:cs="Times New Roman"/>
          <w:b/>
          <w:bCs/>
          <w:i/>
          <w:iCs/>
          <w:lang w:eastAsia="en-AU"/>
        </w:rPr>
        <w:t>227(1)(ca</w:t>
      </w:r>
      <w:r w:rsidRPr="0047747F">
        <w:rPr>
          <w:rFonts w:eastAsia="Times New Roman" w:cs="Times New Roman"/>
          <w:b/>
          <w:bCs/>
          <w:i/>
          <w:iCs/>
          <w:lang w:eastAsia="en-AU"/>
        </w:rPr>
        <w:t>)</w:t>
      </w:r>
      <w:r>
        <w:rPr>
          <w:rFonts w:eastAsia="Times New Roman" w:cs="Times New Roman"/>
          <w:b/>
          <w:bCs/>
          <w:i/>
          <w:iCs/>
          <w:lang w:eastAsia="en-AU"/>
        </w:rPr>
        <w:t xml:space="preserve"> of the ASIC Act</w:t>
      </w:r>
      <w:r w:rsidRPr="0047747F">
        <w:rPr>
          <w:rFonts w:eastAsia="Times New Roman" w:cs="Times New Roman"/>
          <w:b/>
          <w:bCs/>
          <w:i/>
          <w:iCs/>
          <w:lang w:eastAsia="en-AU"/>
        </w:rPr>
        <w:t>,</w:t>
      </w:r>
      <w:r w:rsidRPr="002E40AC">
        <w:rPr>
          <w:rFonts w:eastAsia="Times New Roman" w:cs="Times New Roman"/>
          <w:b/>
          <w:bCs/>
          <w:i/>
          <w:iCs/>
          <w:lang w:eastAsia="en-AU"/>
        </w:rPr>
        <w:t xml:space="preserve"> note</w:t>
      </w:r>
      <w:r>
        <w:rPr>
          <w:rFonts w:eastAsia="Times New Roman" w:cs="Times New Roman"/>
          <w:b/>
          <w:bCs/>
          <w:i/>
          <w:iCs/>
          <w:lang w:eastAsia="en-AU"/>
        </w:rPr>
        <w:t>s 2 and</w:t>
      </w:r>
      <w:r w:rsidRPr="002E40AC">
        <w:rPr>
          <w:rFonts w:eastAsia="Times New Roman" w:cs="Times New Roman"/>
          <w:b/>
          <w:bCs/>
          <w:i/>
          <w:iCs/>
          <w:lang w:eastAsia="en-AU"/>
        </w:rPr>
        <w:t xml:space="preserve"> 3 to subsection 227(1</w:t>
      </w:r>
      <w:r w:rsidRPr="0047747F">
        <w:rPr>
          <w:rFonts w:eastAsia="Times New Roman" w:cs="Times New Roman"/>
          <w:b/>
          <w:bCs/>
          <w:i/>
          <w:iCs/>
          <w:lang w:eastAsia="en-AU"/>
        </w:rPr>
        <w:t>)</w:t>
      </w:r>
      <w:r>
        <w:rPr>
          <w:rFonts w:eastAsia="Times New Roman" w:cs="Times New Roman"/>
          <w:b/>
          <w:bCs/>
          <w:i/>
          <w:iCs/>
          <w:lang w:eastAsia="en-AU"/>
        </w:rPr>
        <w:t xml:space="preserve"> of the ASIC Act</w:t>
      </w:r>
      <w:r w:rsidRPr="0047747F">
        <w:rPr>
          <w:rFonts w:eastAsia="Times New Roman" w:cs="Times New Roman"/>
          <w:b/>
          <w:bCs/>
          <w:i/>
          <w:iCs/>
          <w:lang w:eastAsia="en-AU"/>
        </w:rPr>
        <w:t>,</w:t>
      </w:r>
      <w:r>
        <w:rPr>
          <w:rFonts w:eastAsia="Times New Roman" w:cs="Times New Roman"/>
          <w:b/>
          <w:bCs/>
          <w:i/>
          <w:iCs/>
          <w:lang w:eastAsia="en-AU"/>
        </w:rPr>
        <w:t xml:space="preserve"> and note 1 to subsection 227B(1</w:t>
      </w:r>
      <w:r w:rsidRPr="002E40AC">
        <w:rPr>
          <w:rFonts w:eastAsia="Times New Roman" w:cs="Times New Roman"/>
          <w:b/>
          <w:bCs/>
          <w:i/>
          <w:iCs/>
          <w:lang w:eastAsia="en-AU"/>
        </w:rPr>
        <w:t>)</w:t>
      </w:r>
      <w:r>
        <w:rPr>
          <w:rFonts w:eastAsia="Times New Roman" w:cs="Times New Roman"/>
          <w:b/>
          <w:bCs/>
          <w:i/>
          <w:iCs/>
          <w:lang w:eastAsia="en-AU"/>
        </w:rPr>
        <w:t xml:space="preserve"> of the ASIC Act</w:t>
      </w:r>
      <w:r w:rsidRPr="002E40AC">
        <w:rPr>
          <w:rFonts w:eastAsia="Times New Roman" w:cs="Times New Roman"/>
          <w:b/>
          <w:bCs/>
          <w:i/>
          <w:iCs/>
          <w:lang w:eastAsia="en-AU"/>
        </w:rPr>
        <w:t>]</w:t>
      </w:r>
      <w:r w:rsidRPr="002E40AC">
        <w:rPr>
          <w:rFonts w:eastAsia="Times New Roman" w:cs="Times New Roman"/>
          <w:lang w:eastAsia="en-AU"/>
        </w:rPr>
        <w:t> </w:t>
      </w:r>
    </w:p>
    <w:p w14:paraId="58224EF9" w14:textId="119F9422" w:rsidR="00FC36B3" w:rsidRPr="002E40AC" w:rsidRDefault="00FC36B3" w:rsidP="00FC36B3">
      <w:pPr>
        <w:pStyle w:val="Normalparatextwithnumbers"/>
        <w:rPr>
          <w:rFonts w:eastAsia="Times New Roman" w:cs="Times New Roman"/>
          <w:lang w:eastAsia="en-AU"/>
        </w:rPr>
      </w:pPr>
      <w:r w:rsidRPr="002E40AC">
        <w:rPr>
          <w:lang w:eastAsia="en-AU"/>
        </w:rPr>
        <w:t xml:space="preserve">The sustainability standards, </w:t>
      </w:r>
      <w:proofErr w:type="gramStart"/>
      <w:r w:rsidRPr="002E40AC">
        <w:rPr>
          <w:lang w:eastAsia="en-AU"/>
        </w:rPr>
        <w:t>similar to</w:t>
      </w:r>
      <w:proofErr w:type="gramEnd"/>
      <w:r w:rsidRPr="002E40AC">
        <w:rPr>
          <w:lang w:eastAsia="en-AU"/>
        </w:rPr>
        <w:t xml:space="preserve"> accounting standards, are legislative instruments. These standards are limited in scope as they must not be inconsistent with the Corporations Act or the regulations.</w:t>
      </w:r>
      <w:r>
        <w:rPr>
          <w:lang w:eastAsia="en-AU"/>
        </w:rPr>
        <w:br/>
      </w:r>
      <w:r w:rsidRPr="002E40AC">
        <w:rPr>
          <w:rFonts w:eastAsia="Times New Roman" w:cs="Times New Roman"/>
          <w:b/>
          <w:bCs/>
          <w:i/>
          <w:iCs/>
          <w:lang w:eastAsia="en-AU"/>
        </w:rPr>
        <w:t xml:space="preserve">[Schedule #, item </w:t>
      </w:r>
      <w:r w:rsidR="008845E5">
        <w:rPr>
          <w:rFonts w:eastAsia="Times New Roman" w:cs="Times New Roman"/>
          <w:b/>
          <w:bCs/>
          <w:i/>
          <w:iCs/>
          <w:lang w:eastAsia="en-AU"/>
        </w:rPr>
        <w:t>124</w:t>
      </w:r>
      <w:r w:rsidRPr="002E40AC">
        <w:rPr>
          <w:rFonts w:eastAsia="Times New Roman" w:cs="Times New Roman"/>
          <w:b/>
          <w:bCs/>
          <w:i/>
          <w:iCs/>
          <w:lang w:eastAsia="en-AU"/>
        </w:rPr>
        <w:t>, subsection 336</w:t>
      </w:r>
      <w:proofErr w:type="gramStart"/>
      <w:r w:rsidRPr="002E40AC">
        <w:rPr>
          <w:rFonts w:eastAsia="Times New Roman" w:cs="Times New Roman"/>
          <w:b/>
          <w:bCs/>
          <w:i/>
          <w:iCs/>
          <w:lang w:eastAsia="en-AU"/>
        </w:rPr>
        <w:t>A(</w:t>
      </w:r>
      <w:proofErr w:type="gramEnd"/>
      <w:r w:rsidRPr="002E40AC">
        <w:rPr>
          <w:rFonts w:eastAsia="Times New Roman" w:cs="Times New Roman"/>
          <w:b/>
          <w:bCs/>
          <w:i/>
          <w:iCs/>
          <w:lang w:eastAsia="en-AU"/>
        </w:rPr>
        <w:t>1)]</w:t>
      </w:r>
      <w:r w:rsidRPr="002E40AC">
        <w:rPr>
          <w:rFonts w:eastAsia="Times New Roman" w:cs="Times New Roman"/>
          <w:lang w:eastAsia="en-AU"/>
        </w:rPr>
        <w:t> </w:t>
      </w:r>
    </w:p>
    <w:p w14:paraId="373C9BDF" w14:textId="77777777" w:rsidR="00FC36B3" w:rsidRPr="002E40AC" w:rsidRDefault="00FC36B3" w:rsidP="00FC36B3">
      <w:pPr>
        <w:pStyle w:val="Normalparatextwithnumbers"/>
        <w:rPr>
          <w:lang w:eastAsia="en-AU"/>
        </w:rPr>
      </w:pPr>
      <w:r w:rsidRPr="002E40AC">
        <w:rPr>
          <w:lang w:eastAsia="en-AU"/>
        </w:rPr>
        <w:t xml:space="preserve">Consistent with the policy outcomes of the amendments under Schedule 2 to the </w:t>
      </w:r>
      <w:r w:rsidRPr="002E40AC">
        <w:rPr>
          <w:i/>
          <w:iCs/>
          <w:lang w:eastAsia="en-AU"/>
        </w:rPr>
        <w:t>Treasury Laws Amendment (2023 Measures No. 1) Act 2023</w:t>
      </w:r>
      <w:r w:rsidRPr="002E40AC">
        <w:rPr>
          <w:lang w:eastAsia="en-AU"/>
        </w:rPr>
        <w:t xml:space="preserve"> which provided the AASB the function to formulate sustainability standards, Schedule # to the Bill formalises those standards and ensures reporting under those standards. </w:t>
      </w:r>
    </w:p>
    <w:p w14:paraId="2B3485B1" w14:textId="77777777" w:rsidR="00FC36B3" w:rsidRPr="002E40AC" w:rsidRDefault="00FC36B3" w:rsidP="00FC36B3">
      <w:pPr>
        <w:pStyle w:val="Normalparatextwithnumbers"/>
        <w:rPr>
          <w:lang w:eastAsia="en-AU"/>
        </w:rPr>
      </w:pPr>
      <w:r w:rsidRPr="002E40AC">
        <w:rPr>
          <w:lang w:eastAsia="en-AU"/>
        </w:rPr>
        <w:t>The amendments leverage the AASB’s experience to facilitate the development of sustainability</w:t>
      </w:r>
      <w:r>
        <w:rPr>
          <w:lang w:eastAsia="en-AU"/>
        </w:rPr>
        <w:t>-related</w:t>
      </w:r>
      <w:r w:rsidRPr="002E40AC">
        <w:rPr>
          <w:lang w:eastAsia="en-AU"/>
        </w:rPr>
        <w:t xml:space="preserve"> </w:t>
      </w:r>
      <w:r>
        <w:rPr>
          <w:lang w:eastAsia="en-AU"/>
        </w:rPr>
        <w:t xml:space="preserve">and climate-related financial disclosure </w:t>
      </w:r>
      <w:r w:rsidRPr="002E40AC">
        <w:rPr>
          <w:lang w:eastAsia="en-AU"/>
        </w:rPr>
        <w:t>standards and to</w:t>
      </w:r>
      <w:r>
        <w:rPr>
          <w:lang w:eastAsia="en-AU"/>
        </w:rPr>
        <w:t>,</w:t>
      </w:r>
      <w:r w:rsidRPr="002E40AC">
        <w:rPr>
          <w:lang w:eastAsia="en-AU"/>
        </w:rPr>
        <w:t xml:space="preserve"> as much as is practicable, align with the </w:t>
      </w:r>
      <w:r>
        <w:rPr>
          <w:lang w:eastAsia="en-AU"/>
        </w:rPr>
        <w:t xml:space="preserve">global baseline </w:t>
      </w:r>
      <w:r w:rsidRPr="002E40AC">
        <w:rPr>
          <w:lang w:eastAsia="en-AU"/>
        </w:rPr>
        <w:t>standards released by ISSB (</w:t>
      </w:r>
      <w:r w:rsidRPr="00834169">
        <w:rPr>
          <w:i/>
          <w:iCs/>
          <w:lang w:eastAsia="en-AU"/>
        </w:rPr>
        <w:t>IFRS S1 General Requirements for Disclosure of Sustainability-related Financial Information</w:t>
      </w:r>
      <w:r w:rsidRPr="002E40AC">
        <w:rPr>
          <w:lang w:eastAsia="en-AU"/>
        </w:rPr>
        <w:t xml:space="preserve"> and</w:t>
      </w:r>
      <w:r>
        <w:rPr>
          <w:lang w:eastAsia="en-AU"/>
        </w:rPr>
        <w:t xml:space="preserve"> </w:t>
      </w:r>
      <w:r w:rsidRPr="00834169">
        <w:rPr>
          <w:i/>
          <w:iCs/>
          <w:lang w:eastAsia="en-AU"/>
        </w:rPr>
        <w:t>IFRS S2 Climate-related Disclosures</w:t>
      </w:r>
      <w:r w:rsidRPr="002E40AC">
        <w:rPr>
          <w:lang w:eastAsia="en-AU"/>
        </w:rPr>
        <w:t>) in June 2023 (with further ISSB guidance released throughout the second half of 2023).  </w:t>
      </w:r>
    </w:p>
    <w:p w14:paraId="18F99C50" w14:textId="320299CB" w:rsidR="00FC36B3" w:rsidRDefault="00A14F8C" w:rsidP="00FC36B3">
      <w:pPr>
        <w:pStyle w:val="Normalparatextwithnumbers"/>
      </w:pPr>
      <w:r>
        <w:t>In support of the amendments, t</w:t>
      </w:r>
      <w:r w:rsidR="00FC36B3">
        <w:t xml:space="preserve">he definition of ‘commencement’ in relation to an accounting standard or sustainability standard is replaced </w:t>
      </w:r>
      <w:proofErr w:type="gramStart"/>
      <w:r w:rsidR="00FC36B3">
        <w:t>in light of</w:t>
      </w:r>
      <w:proofErr w:type="gramEnd"/>
      <w:r w:rsidR="00FC36B3">
        <w:t xml:space="preserve"> the amendments and is defined as either of the following: </w:t>
      </w:r>
    </w:p>
    <w:p w14:paraId="3AEE67B4" w14:textId="77777777" w:rsidR="00FC36B3" w:rsidRDefault="00FC36B3" w:rsidP="00940233">
      <w:pPr>
        <w:pStyle w:val="Dotpoint1"/>
        <w:ind w:left="1418" w:hanging="709"/>
      </w:pPr>
      <w:r>
        <w:t xml:space="preserve">In the case of an accounting standard or sustainability standard as originally in effect – the time when the accounting standard or sustainability standard took </w:t>
      </w:r>
      <w:proofErr w:type="gramStart"/>
      <w:r>
        <w:t>effect;</w:t>
      </w:r>
      <w:proofErr w:type="gramEnd"/>
      <w:r>
        <w:t xml:space="preserve"> </w:t>
      </w:r>
    </w:p>
    <w:p w14:paraId="2DCC37D7" w14:textId="77777777" w:rsidR="00C17AEC" w:rsidRPr="00940233" w:rsidRDefault="00FC36B3" w:rsidP="00C17AEC">
      <w:pPr>
        <w:pStyle w:val="Dotpoint1"/>
        <w:ind w:left="1418" w:hanging="709"/>
        <w:rPr>
          <w:b/>
          <w:bCs/>
          <w:i/>
          <w:iCs/>
        </w:rPr>
      </w:pPr>
      <w:r>
        <w:t xml:space="preserve">In the case of an accounting standard or sustainability standard as varied by a particular provision of an instrument – the time when the provision took place. </w:t>
      </w:r>
    </w:p>
    <w:p w14:paraId="670D3888" w14:textId="28D2D87D" w:rsidR="00FC36B3" w:rsidRPr="00834169" w:rsidRDefault="00FC36B3" w:rsidP="00C17AEC">
      <w:pPr>
        <w:pStyle w:val="Dotpoint1"/>
        <w:numPr>
          <w:ilvl w:val="0"/>
          <w:numId w:val="0"/>
        </w:numPr>
        <w:ind w:left="709"/>
        <w:rPr>
          <w:rStyle w:val="References"/>
        </w:rPr>
      </w:pPr>
      <w:r w:rsidRPr="00834169">
        <w:rPr>
          <w:rStyle w:val="References"/>
        </w:rPr>
        <w:t xml:space="preserve">[Schedule #, item </w:t>
      </w:r>
      <w:r w:rsidR="00C17AEC">
        <w:rPr>
          <w:rStyle w:val="References"/>
        </w:rPr>
        <w:t>116</w:t>
      </w:r>
      <w:r w:rsidRPr="00834169">
        <w:rPr>
          <w:rStyle w:val="References"/>
        </w:rPr>
        <w:t xml:space="preserve">, section 9] </w:t>
      </w:r>
    </w:p>
    <w:p w14:paraId="013EB8F0" w14:textId="3BC801C9" w:rsidR="00FC36B3" w:rsidRPr="001C1FB9" w:rsidRDefault="00FC36B3" w:rsidP="00FC36B3">
      <w:pPr>
        <w:pStyle w:val="Normalparatextwithnumbers"/>
      </w:pPr>
      <w:r>
        <w:t xml:space="preserve">To support the amendments, the term </w:t>
      </w:r>
      <w:r w:rsidRPr="001C1FB9">
        <w:t xml:space="preserve">‘sustainability standard’ means a standard in force under section 336A of the Act or a provision of such a standard as it so has effect. </w:t>
      </w:r>
      <w:r>
        <w:br/>
      </w:r>
      <w:r w:rsidRPr="001C1FB9">
        <w:rPr>
          <w:rStyle w:val="References"/>
        </w:rPr>
        <w:t xml:space="preserve">[Schedule #, item </w:t>
      </w:r>
      <w:r w:rsidR="002052C3">
        <w:rPr>
          <w:rStyle w:val="References"/>
        </w:rPr>
        <w:t>117</w:t>
      </w:r>
      <w:r w:rsidRPr="001C1FB9">
        <w:rPr>
          <w:rStyle w:val="References"/>
        </w:rPr>
        <w:t>, section 9, definition</w:t>
      </w:r>
      <w:r>
        <w:rPr>
          <w:rStyle w:val="References"/>
        </w:rPr>
        <w:t xml:space="preserve"> of ‘sustainability standard’</w:t>
      </w:r>
      <w:r w:rsidRPr="001C1FB9">
        <w:rPr>
          <w:rStyle w:val="References"/>
        </w:rPr>
        <w:t>]</w:t>
      </w:r>
    </w:p>
    <w:p w14:paraId="5E498882" w14:textId="1E6A784D" w:rsidR="00FC36B3" w:rsidRDefault="002052C3" w:rsidP="00FC36B3">
      <w:pPr>
        <w:pStyle w:val="Normalparatextwithnumbers"/>
      </w:pPr>
      <w:r>
        <w:t>Consequential amendments are made</w:t>
      </w:r>
      <w:r w:rsidR="00FC36B3">
        <w:t xml:space="preserve"> to include sustainability standards after accounting standards. References to the ASIC Act are also inserted in provisions concerning accounting standards and auditing standards to ensure compliance with both Acts. </w:t>
      </w:r>
      <w:r w:rsidR="00FC36B3">
        <w:br/>
      </w:r>
      <w:r w:rsidR="00FC36B3" w:rsidRPr="003351C1">
        <w:rPr>
          <w:rStyle w:val="References"/>
          <w:rFonts w:hint="eastAsia"/>
        </w:rPr>
        <w:t xml:space="preserve">[Schedule </w:t>
      </w:r>
      <w:r w:rsidR="00FC36B3">
        <w:rPr>
          <w:rStyle w:val="References"/>
        </w:rPr>
        <w:t>#</w:t>
      </w:r>
      <w:r w:rsidR="00FC36B3" w:rsidRPr="003351C1">
        <w:rPr>
          <w:rStyle w:val="References"/>
          <w:rFonts w:hint="eastAsia"/>
        </w:rPr>
        <w:t xml:space="preserve">, </w:t>
      </w:r>
      <w:r w:rsidR="00FC36B3">
        <w:rPr>
          <w:rStyle w:val="References"/>
        </w:rPr>
        <w:t xml:space="preserve">items </w:t>
      </w:r>
      <w:r>
        <w:rPr>
          <w:rStyle w:val="References"/>
        </w:rPr>
        <w:t>118 to 123</w:t>
      </w:r>
      <w:r w:rsidR="00FC36B3">
        <w:rPr>
          <w:rStyle w:val="References"/>
        </w:rPr>
        <w:t xml:space="preserve">, </w:t>
      </w:r>
      <w:r>
        <w:rPr>
          <w:rStyle w:val="References"/>
        </w:rPr>
        <w:t xml:space="preserve">heading to </w:t>
      </w:r>
      <w:r w:rsidR="00FC36B3">
        <w:rPr>
          <w:rStyle w:val="References"/>
        </w:rPr>
        <w:t>Part</w:t>
      </w:r>
      <w:r>
        <w:rPr>
          <w:rStyle w:val="References"/>
        </w:rPr>
        <w:t> </w:t>
      </w:r>
      <w:r w:rsidR="00FC36B3">
        <w:rPr>
          <w:rStyle w:val="References"/>
        </w:rPr>
        <w:t>2M.5, subsection</w:t>
      </w:r>
      <w:r>
        <w:rPr>
          <w:rStyle w:val="References"/>
        </w:rPr>
        <w:t>s</w:t>
      </w:r>
      <w:r w:rsidR="00FC36B3">
        <w:rPr>
          <w:rStyle w:val="References"/>
        </w:rPr>
        <w:t xml:space="preserve"> 334(1) and 336(1)</w:t>
      </w:r>
      <w:r>
        <w:rPr>
          <w:rStyle w:val="References"/>
        </w:rPr>
        <w:t>, and section 336</w:t>
      </w:r>
      <w:r w:rsidR="00FC36B3" w:rsidRPr="003351C1">
        <w:rPr>
          <w:rStyle w:val="References"/>
          <w:rFonts w:hint="eastAsia"/>
        </w:rPr>
        <w:t xml:space="preserve">] </w:t>
      </w:r>
    </w:p>
    <w:p w14:paraId="4606BB58" w14:textId="7595D8AB" w:rsidR="00FC36B3" w:rsidRPr="00834169" w:rsidRDefault="00FC36B3" w:rsidP="00FC36B3">
      <w:pPr>
        <w:pStyle w:val="Normalparatextwithnumbers"/>
        <w:rPr>
          <w:rStyle w:val="References"/>
          <w:b w:val="0"/>
          <w:i w:val="0"/>
        </w:rPr>
      </w:pPr>
      <w:r>
        <w:t xml:space="preserve">These standards apply to periods that end after the standard commences or at a later period or date as specified in the standard. Companies, registered schemes, registrable superannuation entities or disclosing entities can also elect to apply sustainability standards earlier in writing by directors, unless restricted by the relevant standard. </w:t>
      </w:r>
      <w:r>
        <w:br/>
      </w:r>
      <w:r w:rsidRPr="00D43E37">
        <w:rPr>
          <w:rStyle w:val="References"/>
        </w:rPr>
        <w:t xml:space="preserve">[Schedule #, item </w:t>
      </w:r>
      <w:r w:rsidR="005F50E1">
        <w:rPr>
          <w:rStyle w:val="References"/>
        </w:rPr>
        <w:t>124</w:t>
      </w:r>
      <w:r w:rsidRPr="00D43E37">
        <w:rPr>
          <w:rStyle w:val="References"/>
        </w:rPr>
        <w:t>, subsection</w:t>
      </w:r>
      <w:r>
        <w:rPr>
          <w:rStyle w:val="References"/>
        </w:rPr>
        <w:t xml:space="preserve">s </w:t>
      </w:r>
      <w:r w:rsidRPr="00D43E37">
        <w:rPr>
          <w:rStyle w:val="References"/>
        </w:rPr>
        <w:t>336</w:t>
      </w:r>
      <w:proofErr w:type="gramStart"/>
      <w:r w:rsidRPr="00D43E37">
        <w:rPr>
          <w:rStyle w:val="References"/>
        </w:rPr>
        <w:t>A(</w:t>
      </w:r>
      <w:proofErr w:type="gramEnd"/>
      <w:r>
        <w:rPr>
          <w:rStyle w:val="References"/>
        </w:rPr>
        <w:t>2</w:t>
      </w:r>
      <w:r w:rsidRPr="00D43E37">
        <w:rPr>
          <w:rStyle w:val="References"/>
        </w:rPr>
        <w:t>)</w:t>
      </w:r>
      <w:r>
        <w:rPr>
          <w:rStyle w:val="References"/>
        </w:rPr>
        <w:t xml:space="preserve"> and (3)</w:t>
      </w:r>
      <w:r w:rsidRPr="00D43E37">
        <w:rPr>
          <w:rStyle w:val="References"/>
        </w:rPr>
        <w:t>]</w:t>
      </w:r>
    </w:p>
    <w:p w14:paraId="0B4DF54A" w14:textId="4CAFD48A" w:rsidR="00FC36B3" w:rsidRDefault="00FC36B3" w:rsidP="00FC36B3">
      <w:pPr>
        <w:pStyle w:val="Normalparatextwithnumbers"/>
      </w:pPr>
      <w:r>
        <w:t>Provisions relating to the text and interpretation of accounting standards and auditing standards are extended to also apply to sustainability standards.</w:t>
      </w:r>
      <w:r>
        <w:br/>
      </w:r>
      <w:r w:rsidRPr="00834169">
        <w:rPr>
          <w:rStyle w:val="References"/>
        </w:rPr>
        <w:t xml:space="preserve">[Schedule </w:t>
      </w:r>
      <w:r>
        <w:rPr>
          <w:rStyle w:val="References"/>
        </w:rPr>
        <w:t>#</w:t>
      </w:r>
      <w:r w:rsidRPr="00834169">
        <w:rPr>
          <w:rStyle w:val="References"/>
        </w:rPr>
        <w:t>, item</w:t>
      </w:r>
      <w:r>
        <w:rPr>
          <w:rStyle w:val="References"/>
        </w:rPr>
        <w:t>s</w:t>
      </w:r>
      <w:r w:rsidRPr="00834169">
        <w:rPr>
          <w:rStyle w:val="References"/>
        </w:rPr>
        <w:t xml:space="preserve"> </w:t>
      </w:r>
      <w:r w:rsidR="005F50E1">
        <w:rPr>
          <w:rStyle w:val="References"/>
        </w:rPr>
        <w:t>125 to 128</w:t>
      </w:r>
      <w:r w:rsidRPr="00834169">
        <w:rPr>
          <w:rStyle w:val="References"/>
        </w:rPr>
        <w:t xml:space="preserve">, </w:t>
      </w:r>
      <w:r w:rsidR="005F50E1">
        <w:rPr>
          <w:rStyle w:val="References"/>
        </w:rPr>
        <w:t xml:space="preserve">heading to </w:t>
      </w:r>
      <w:r>
        <w:rPr>
          <w:rStyle w:val="References"/>
        </w:rPr>
        <w:t xml:space="preserve">section 337, </w:t>
      </w:r>
      <w:r w:rsidR="005F50E1">
        <w:rPr>
          <w:rStyle w:val="References"/>
        </w:rPr>
        <w:t xml:space="preserve">section 337, heading to </w:t>
      </w:r>
      <w:r>
        <w:rPr>
          <w:rStyle w:val="References"/>
        </w:rPr>
        <w:t>section 338, paragraph 338(1)(a)</w:t>
      </w:r>
      <w:r w:rsidRPr="00834169">
        <w:rPr>
          <w:rStyle w:val="References"/>
        </w:rPr>
        <w:t xml:space="preserve">] </w:t>
      </w:r>
    </w:p>
    <w:p w14:paraId="48C7D4F3" w14:textId="77777777" w:rsidR="00FC36B3" w:rsidRDefault="00FC36B3" w:rsidP="00FC36B3">
      <w:pPr>
        <w:pStyle w:val="Heading3"/>
        <w:rPr>
          <w:rFonts w:hint="eastAsia"/>
        </w:rPr>
      </w:pPr>
      <w:r>
        <w:t>Part 4 – Application</w:t>
      </w:r>
    </w:p>
    <w:p w14:paraId="3541498A" w14:textId="77777777" w:rsidR="00FC36B3" w:rsidRPr="005A3455" w:rsidRDefault="00FC36B3" w:rsidP="00FC36B3">
      <w:pPr>
        <w:pStyle w:val="Normalparatextwithnumbers"/>
        <w:rPr>
          <w:rFonts w:eastAsiaTheme="majorEastAsia" w:cstheme="majorBidi"/>
          <w:szCs w:val="24"/>
        </w:rPr>
      </w:pPr>
      <w:r>
        <w:t xml:space="preserve">The amendments modify existing liabilities and offences that apply generally to corporate reporting for a transitional period. This provides entities time to adjust and build capability in relation to the new reporting requirements to disclose information relating to climate-related financial risks and opportunities in line with the relevant sustainability standards. </w:t>
      </w:r>
    </w:p>
    <w:p w14:paraId="24AF161D" w14:textId="77777777" w:rsidR="00FC36B3" w:rsidRPr="00AF7DBC" w:rsidRDefault="00FC36B3" w:rsidP="00FC36B3">
      <w:pPr>
        <w:pStyle w:val="Normalparatextwithnumbers"/>
        <w:rPr>
          <w:rFonts w:eastAsiaTheme="majorEastAsia" w:cstheme="majorBidi"/>
          <w:bCs/>
          <w:iCs/>
          <w:szCs w:val="24"/>
        </w:rPr>
      </w:pPr>
      <w:r>
        <w:rPr>
          <w:rFonts w:eastAsiaTheme="majorEastAsia" w:cstheme="majorBidi"/>
          <w:bCs/>
          <w:iCs/>
          <w:szCs w:val="24"/>
        </w:rPr>
        <w:t xml:space="preserve">Under the transitional rules, entities required to prepare sustainability reports are separated into three groups and their obligations are generally phased-in across </w:t>
      </w:r>
      <w:proofErr w:type="gramStart"/>
      <w:r>
        <w:rPr>
          <w:rFonts w:eastAsiaTheme="majorEastAsia" w:cstheme="majorBidi"/>
          <w:bCs/>
          <w:iCs/>
          <w:szCs w:val="24"/>
        </w:rPr>
        <w:t>a number of</w:t>
      </w:r>
      <w:proofErr w:type="gramEnd"/>
      <w:r>
        <w:rPr>
          <w:rFonts w:eastAsiaTheme="majorEastAsia" w:cstheme="majorBidi"/>
          <w:bCs/>
          <w:iCs/>
          <w:szCs w:val="24"/>
        </w:rPr>
        <w:t xml:space="preserve"> financial years, generally dependent on size:</w:t>
      </w:r>
    </w:p>
    <w:p w14:paraId="6BF02E59" w14:textId="77777777" w:rsidR="00FC36B3" w:rsidRDefault="00FC36B3" w:rsidP="00FC36B3">
      <w:pPr>
        <w:pStyle w:val="Dotpoint1"/>
        <w:ind w:left="1418" w:hanging="709"/>
      </w:pPr>
      <w:r>
        <w:t>Entities that are in Group 1 must prepare an annual sustainability report for the financial year that commences between 1 July 2024 and 30 June 2025; and between 1 July 2025 and 30 June 2026 (reflective of paragraph 1705(1)(a)</w:t>
      </w:r>
      <w:proofErr w:type="gramStart"/>
      <w:r>
        <w:t>);</w:t>
      </w:r>
      <w:proofErr w:type="gramEnd"/>
    </w:p>
    <w:p w14:paraId="782F0809" w14:textId="77777777" w:rsidR="00FC36B3" w:rsidRPr="00AF7DBC" w:rsidRDefault="00FC36B3" w:rsidP="00FC36B3">
      <w:pPr>
        <w:pStyle w:val="Dotpoint1"/>
        <w:ind w:left="1418" w:hanging="709"/>
      </w:pPr>
      <w:r>
        <w:t>Entities that are in Group 2 must prepare annual sustainability reports for the financial year that commences between 1 July 2026 and 30 June 2027 (reflective of paragraph 1705(1)(b)</w:t>
      </w:r>
      <w:proofErr w:type="gramStart"/>
      <w:r>
        <w:t>);</w:t>
      </w:r>
      <w:proofErr w:type="gramEnd"/>
    </w:p>
    <w:p w14:paraId="3F543D47" w14:textId="4F6E17DA" w:rsidR="00FC36B3" w:rsidRPr="00AF7DBC" w:rsidRDefault="00FC36B3" w:rsidP="00FC36B3">
      <w:pPr>
        <w:pStyle w:val="Dotpoint1"/>
        <w:ind w:left="1418" w:hanging="709"/>
      </w:pPr>
      <w:r>
        <w:t xml:space="preserve">All entities to which the new requirements apply </w:t>
      </w:r>
      <w:r w:rsidR="00943EBC">
        <w:t>(see Part 1 of this explanatory memorandum, under ‘</w:t>
      </w:r>
      <w:r w:rsidR="0085191D">
        <w:t xml:space="preserve">Who </w:t>
      </w:r>
      <w:proofErr w:type="gramStart"/>
      <w:r w:rsidR="0085191D">
        <w:t>has to</w:t>
      </w:r>
      <w:proofErr w:type="gramEnd"/>
      <w:r w:rsidR="0085191D">
        <w:t xml:space="preserve"> prepare annual sustainability reports’) </w:t>
      </w:r>
      <w:r>
        <w:t>must prepare an annual sustainability report for each financial year that commences on or after 1 July 2027 (reflective of paragraph 1705(1)(c)</w:t>
      </w:r>
      <w:r w:rsidR="00943EBC">
        <w:t>)</w:t>
      </w:r>
      <w:r>
        <w:t>.</w:t>
      </w:r>
    </w:p>
    <w:p w14:paraId="1DBF97F3" w14:textId="23B36D58" w:rsidR="00FC36B3" w:rsidRPr="00675A58" w:rsidRDefault="00FC36B3" w:rsidP="00FC36B3">
      <w:pPr>
        <w:pStyle w:val="Normalparatextnonumbers"/>
        <w:ind w:left="709"/>
        <w:rPr>
          <w:rStyle w:val="References"/>
        </w:rPr>
      </w:pPr>
      <w:r w:rsidRPr="00675A58">
        <w:rPr>
          <w:rStyle w:val="References"/>
        </w:rPr>
        <w:t>[Schedule #,</w:t>
      </w:r>
      <w:r w:rsidR="00542164">
        <w:rPr>
          <w:rStyle w:val="References"/>
        </w:rPr>
        <w:t xml:space="preserve"> </w:t>
      </w:r>
      <w:r w:rsidRPr="00675A58">
        <w:rPr>
          <w:rStyle w:val="References"/>
        </w:rPr>
        <w:t xml:space="preserve">item </w:t>
      </w:r>
      <w:r w:rsidR="0085191D">
        <w:rPr>
          <w:rStyle w:val="References"/>
        </w:rPr>
        <w:t>129</w:t>
      </w:r>
      <w:r w:rsidRPr="00675A58">
        <w:rPr>
          <w:rStyle w:val="References"/>
        </w:rPr>
        <w:t>, section 1705]</w:t>
      </w:r>
    </w:p>
    <w:p w14:paraId="5A34FFDF" w14:textId="77777777" w:rsidR="00FC36B3" w:rsidRDefault="00FC36B3" w:rsidP="00FC36B3">
      <w:pPr>
        <w:pStyle w:val="Normalparatextwithnumbers"/>
      </w:pPr>
      <w:r>
        <w:rPr>
          <w:rFonts w:eastAsiaTheme="majorEastAsia" w:cstheme="majorBidi"/>
          <w:bCs/>
          <w:iCs/>
          <w:szCs w:val="24"/>
        </w:rPr>
        <w:t>A Group 1 entity is any of the following:</w:t>
      </w:r>
    </w:p>
    <w:p w14:paraId="3E48E980" w14:textId="77777777" w:rsidR="00FC36B3" w:rsidRDefault="00FC36B3" w:rsidP="00FC36B3">
      <w:pPr>
        <w:pStyle w:val="Dotpoint1"/>
        <w:ind w:left="1418" w:hanging="709"/>
      </w:pPr>
      <w:r>
        <w:t>an entity that meets at least two of the following three criteria:</w:t>
      </w:r>
    </w:p>
    <w:p w14:paraId="0E32A506" w14:textId="77777777" w:rsidR="00FC36B3" w:rsidRDefault="00FC36B3" w:rsidP="00FC36B3">
      <w:pPr>
        <w:pStyle w:val="Dotpoint2"/>
      </w:pPr>
      <w:r>
        <w:t xml:space="preserve">the consolidated revenue of the entity (and the entities it controls) is equal to or greater than $500 </w:t>
      </w:r>
      <w:proofErr w:type="gramStart"/>
      <w:r>
        <w:t>million;</w:t>
      </w:r>
      <w:proofErr w:type="gramEnd"/>
    </w:p>
    <w:p w14:paraId="47F1A2A2" w14:textId="77777777" w:rsidR="00FC36B3" w:rsidRDefault="00FC36B3" w:rsidP="00FC36B3">
      <w:pPr>
        <w:pStyle w:val="Dotpoint2"/>
      </w:pPr>
      <w:r>
        <w:t xml:space="preserve">the value of the consolidated gross assets at the end of the financial year of the entity (and the entities it controls) is equal to or greater than $1 </w:t>
      </w:r>
      <w:proofErr w:type="gramStart"/>
      <w:r>
        <w:t>billion;</w:t>
      </w:r>
      <w:proofErr w:type="gramEnd"/>
    </w:p>
    <w:p w14:paraId="1BF8F752" w14:textId="77777777" w:rsidR="00FC36B3" w:rsidRDefault="00FC36B3" w:rsidP="00FC36B3">
      <w:pPr>
        <w:pStyle w:val="Dotpoint2"/>
      </w:pPr>
      <w:r>
        <w:t>the entity (and the entities it controls) have at the end of the financial year, 500 or more employees; or</w:t>
      </w:r>
    </w:p>
    <w:p w14:paraId="3934CFCB" w14:textId="77777777" w:rsidR="00FC36B3" w:rsidRDefault="00FC36B3" w:rsidP="00FC36B3">
      <w:pPr>
        <w:pStyle w:val="Dotpoint1"/>
        <w:ind w:left="1418" w:hanging="709"/>
      </w:pPr>
      <w:r>
        <w:t xml:space="preserve">an entity that is a registered corporation under the NGER Act or required to make an application to be registered under subsection 12(1) of the NGER Act and that meets a publication threshold in subsection 13(1) of the NGER Act. </w:t>
      </w:r>
    </w:p>
    <w:p w14:paraId="3A1471C4" w14:textId="44A17B70" w:rsidR="00FC36B3" w:rsidRPr="005179D8" w:rsidRDefault="00FC36B3" w:rsidP="00FC36B3">
      <w:pPr>
        <w:pStyle w:val="Dotpoint2"/>
        <w:numPr>
          <w:ilvl w:val="0"/>
          <w:numId w:val="0"/>
        </w:numPr>
        <w:ind w:firstLine="709"/>
        <w:rPr>
          <w:rStyle w:val="References"/>
        </w:rPr>
      </w:pPr>
      <w:r w:rsidRPr="005179D8">
        <w:rPr>
          <w:rStyle w:val="References"/>
        </w:rPr>
        <w:t>[Schedule #,</w:t>
      </w:r>
      <w:r w:rsidR="00542164">
        <w:rPr>
          <w:rStyle w:val="References"/>
        </w:rPr>
        <w:t xml:space="preserve"> </w:t>
      </w:r>
      <w:r>
        <w:rPr>
          <w:rStyle w:val="References"/>
        </w:rPr>
        <w:t xml:space="preserve">item </w:t>
      </w:r>
      <w:r w:rsidR="00B8317D">
        <w:rPr>
          <w:rStyle w:val="References"/>
        </w:rPr>
        <w:t>129</w:t>
      </w:r>
      <w:r>
        <w:rPr>
          <w:rStyle w:val="References"/>
        </w:rPr>
        <w:t>, subsections 1705(1), (3) and (5)</w:t>
      </w:r>
      <w:r w:rsidRPr="005179D8">
        <w:rPr>
          <w:rStyle w:val="References"/>
        </w:rPr>
        <w:t>]</w:t>
      </w:r>
    </w:p>
    <w:p w14:paraId="3D5D4FEF" w14:textId="19980727" w:rsidR="00FC36B3" w:rsidRDefault="00FC36B3" w:rsidP="00FC36B3">
      <w:pPr>
        <w:pStyle w:val="Normalparatextwithnumbers"/>
      </w:pPr>
      <w:r>
        <w:t>A Group 2 entity is any of the following:</w:t>
      </w:r>
    </w:p>
    <w:p w14:paraId="3FD05499" w14:textId="77777777" w:rsidR="00FC36B3" w:rsidRDefault="00FC36B3" w:rsidP="00FC36B3">
      <w:pPr>
        <w:pStyle w:val="Dotpoint1"/>
        <w:ind w:left="1418" w:hanging="709"/>
      </w:pPr>
      <w:r>
        <w:t>an entity that meets at least two of the following three criteria:</w:t>
      </w:r>
    </w:p>
    <w:p w14:paraId="364A4414" w14:textId="50A9AE1F" w:rsidR="00FC36B3" w:rsidRDefault="00FC36B3" w:rsidP="00FC36B3">
      <w:pPr>
        <w:pStyle w:val="Dotpoint2"/>
      </w:pPr>
      <w:r>
        <w:t>the consolidated revenue of the entity (and the entities it controls) is equal to or greater than $200</w:t>
      </w:r>
      <w:r w:rsidR="007E1178">
        <w:t xml:space="preserve"> </w:t>
      </w:r>
      <w:proofErr w:type="gramStart"/>
      <w:r w:rsidR="007E1178">
        <w:t>million</w:t>
      </w:r>
      <w:r>
        <w:t>;</w:t>
      </w:r>
      <w:proofErr w:type="gramEnd"/>
    </w:p>
    <w:p w14:paraId="5A228C94" w14:textId="77777777" w:rsidR="00FC36B3" w:rsidRDefault="00FC36B3" w:rsidP="00FC36B3">
      <w:pPr>
        <w:pStyle w:val="Dotpoint2"/>
      </w:pPr>
      <w:r>
        <w:t xml:space="preserve">the value of the consolidated gross assets at the end of the financial year of the entity (and the entities it controls) is equal to or greater than $500 </w:t>
      </w:r>
      <w:proofErr w:type="gramStart"/>
      <w:r>
        <w:t>million;</w:t>
      </w:r>
      <w:proofErr w:type="gramEnd"/>
    </w:p>
    <w:p w14:paraId="7A77F762" w14:textId="77777777" w:rsidR="00FC36B3" w:rsidRDefault="00FC36B3" w:rsidP="00FC36B3">
      <w:pPr>
        <w:pStyle w:val="Dotpoint2"/>
      </w:pPr>
      <w:r>
        <w:t>the entity (and the entities it controls) have at the end of the financial year, 250 or more employees; or</w:t>
      </w:r>
    </w:p>
    <w:p w14:paraId="675A60D6" w14:textId="77777777" w:rsidR="00FC36B3" w:rsidRDefault="00FC36B3" w:rsidP="00FC36B3">
      <w:pPr>
        <w:pStyle w:val="Dotpoint1"/>
        <w:ind w:left="1418" w:hanging="709"/>
      </w:pPr>
      <w:r>
        <w:t>an entity that is a registered corporation under the NGER Act or required to make an application to be registered under subsection 12(1) of the NGER Act; or</w:t>
      </w:r>
    </w:p>
    <w:p w14:paraId="1141E3DC" w14:textId="77777777" w:rsidR="00FC36B3" w:rsidRDefault="00FC36B3" w:rsidP="00FC36B3">
      <w:pPr>
        <w:pStyle w:val="Dotpoint1"/>
        <w:ind w:left="1418" w:hanging="709"/>
      </w:pPr>
      <w:r>
        <w:t>an entity that is an asset owner where the value of assets at the end of the financial year (including the entities it controls) is equal to or greater than $5 billion.</w:t>
      </w:r>
    </w:p>
    <w:p w14:paraId="27CF3AE7" w14:textId="45D6325E" w:rsidR="00FC36B3" w:rsidRPr="005179D8" w:rsidRDefault="00FC36B3" w:rsidP="00FC36B3">
      <w:pPr>
        <w:pStyle w:val="Dotpoint2"/>
        <w:numPr>
          <w:ilvl w:val="0"/>
          <w:numId w:val="0"/>
        </w:numPr>
        <w:ind w:firstLine="709"/>
        <w:rPr>
          <w:rStyle w:val="References"/>
        </w:rPr>
      </w:pPr>
      <w:r w:rsidRPr="005179D8">
        <w:rPr>
          <w:rStyle w:val="References"/>
        </w:rPr>
        <w:t>[Schedule #,</w:t>
      </w:r>
      <w:r w:rsidR="00542164">
        <w:rPr>
          <w:rStyle w:val="References"/>
        </w:rPr>
        <w:t xml:space="preserve"> </w:t>
      </w:r>
      <w:r w:rsidRPr="005179D8">
        <w:rPr>
          <w:rStyle w:val="References"/>
        </w:rPr>
        <w:t xml:space="preserve">item </w:t>
      </w:r>
      <w:r>
        <w:rPr>
          <w:rStyle w:val="References"/>
        </w:rPr>
        <w:t>1</w:t>
      </w:r>
      <w:r w:rsidR="007E1178">
        <w:rPr>
          <w:rStyle w:val="References"/>
        </w:rPr>
        <w:t>29</w:t>
      </w:r>
      <w:r w:rsidRPr="005179D8">
        <w:rPr>
          <w:rStyle w:val="References"/>
        </w:rPr>
        <w:t>, sub</w:t>
      </w:r>
      <w:r w:rsidR="00343739">
        <w:rPr>
          <w:rStyle w:val="References"/>
        </w:rPr>
        <w:t>paragraph</w:t>
      </w:r>
      <w:r>
        <w:rPr>
          <w:rStyle w:val="References"/>
        </w:rPr>
        <w:t xml:space="preserve"> 1705</w:t>
      </w:r>
      <w:r w:rsidR="007E1178">
        <w:rPr>
          <w:rStyle w:val="References"/>
        </w:rPr>
        <w:t>(1)</w:t>
      </w:r>
      <w:r>
        <w:rPr>
          <w:rStyle w:val="References"/>
        </w:rPr>
        <w:t>(</w:t>
      </w:r>
      <w:r w:rsidR="007E1178">
        <w:rPr>
          <w:rStyle w:val="References"/>
        </w:rPr>
        <w:t>b</w:t>
      </w:r>
      <w:r>
        <w:rPr>
          <w:rStyle w:val="References"/>
        </w:rPr>
        <w:t>)</w:t>
      </w:r>
      <w:r w:rsidR="00343739">
        <w:rPr>
          <w:rStyle w:val="References"/>
        </w:rPr>
        <w:t>(iii)</w:t>
      </w:r>
      <w:r w:rsidRPr="005179D8">
        <w:rPr>
          <w:rStyle w:val="References"/>
        </w:rPr>
        <w:t>]</w:t>
      </w:r>
    </w:p>
    <w:p w14:paraId="54136A70" w14:textId="77777777" w:rsidR="00FC36B3" w:rsidRPr="00675A58" w:rsidRDefault="00FC36B3" w:rsidP="00FC36B3">
      <w:pPr>
        <w:pStyle w:val="Normalparatextwithnumbers"/>
        <w:rPr>
          <w:rStyle w:val="References"/>
          <w:b w:val="0"/>
          <w:bCs w:val="0"/>
          <w:i w:val="0"/>
          <w:iCs w:val="0"/>
        </w:rPr>
      </w:pPr>
      <w:r>
        <w:rPr>
          <w:rStyle w:val="References"/>
          <w:b w:val="0"/>
          <w:bCs w:val="0"/>
          <w:i w:val="0"/>
          <w:iCs w:val="0"/>
        </w:rPr>
        <w:t xml:space="preserve">The thresholds for each group of entities (Group 1, Group </w:t>
      </w:r>
      <w:proofErr w:type="gramStart"/>
      <w:r>
        <w:rPr>
          <w:rStyle w:val="References"/>
          <w:b w:val="0"/>
          <w:bCs w:val="0"/>
          <w:i w:val="0"/>
          <w:iCs w:val="0"/>
        </w:rPr>
        <w:t>2</w:t>
      </w:r>
      <w:proofErr w:type="gramEnd"/>
      <w:r>
        <w:rPr>
          <w:rStyle w:val="References"/>
          <w:b w:val="0"/>
          <w:bCs w:val="0"/>
          <w:i w:val="0"/>
          <w:iCs w:val="0"/>
        </w:rPr>
        <w:t xml:space="preserve"> and all relevant entities) that is required to report are progressive. </w:t>
      </w:r>
      <w:proofErr w:type="gramStart"/>
      <w:r>
        <w:rPr>
          <w:rStyle w:val="References"/>
          <w:b w:val="0"/>
          <w:bCs w:val="0"/>
          <w:i w:val="0"/>
          <w:iCs w:val="0"/>
        </w:rPr>
        <w:t>Therefore</w:t>
      </w:r>
      <w:proofErr w:type="gramEnd"/>
      <w:r>
        <w:rPr>
          <w:rStyle w:val="References"/>
          <w:b w:val="0"/>
          <w:bCs w:val="0"/>
          <w:i w:val="0"/>
          <w:iCs w:val="0"/>
        </w:rPr>
        <w:t xml:space="preserve"> the entities in Group 2 are a subset of those generally required to report; and the entities in Group 1 are a subset of the entities in Group 2.</w:t>
      </w:r>
    </w:p>
    <w:p w14:paraId="07E71F36" w14:textId="77777777" w:rsidR="00FC36B3" w:rsidRPr="0014160A" w:rsidRDefault="00FC36B3" w:rsidP="00FC36B3">
      <w:pPr>
        <w:pStyle w:val="Heading6"/>
        <w:rPr>
          <w:rStyle w:val="References"/>
          <w:rFonts w:ascii="Helvitica" w:eastAsiaTheme="minorHAnsi" w:hAnsi="Helvitica" w:cstheme="minorBidi"/>
          <w:b w:val="0"/>
        </w:rPr>
      </w:pPr>
      <w:r w:rsidRPr="0014160A">
        <w:rPr>
          <w:rStyle w:val="References"/>
          <w:rFonts w:ascii="Helvitica" w:hAnsi="Helvitica"/>
          <w:b w:val="0"/>
          <w:bCs w:val="0"/>
          <w:i/>
          <w:iCs w:val="0"/>
        </w:rPr>
        <w:t>General rules</w:t>
      </w:r>
    </w:p>
    <w:p w14:paraId="48A509E6" w14:textId="1286DE43" w:rsidR="00FC36B3" w:rsidRPr="003C12A2" w:rsidRDefault="00FC36B3" w:rsidP="00FC36B3">
      <w:pPr>
        <w:pStyle w:val="Normalparatextwithnumbers"/>
        <w:rPr>
          <w:rStyle w:val="References"/>
        </w:rPr>
      </w:pPr>
      <w:r w:rsidRPr="003F0548">
        <w:rPr>
          <w:rStyle w:val="References"/>
          <w:b w:val="0"/>
          <w:bCs w:val="0"/>
          <w:i w:val="0"/>
          <w:iCs w:val="0"/>
        </w:rPr>
        <w:t xml:space="preserve">When counting employees, part-time employees should be </w:t>
      </w:r>
      <w:proofErr w:type="gramStart"/>
      <w:r w:rsidRPr="003F0548">
        <w:rPr>
          <w:rStyle w:val="References"/>
          <w:b w:val="0"/>
          <w:bCs w:val="0"/>
          <w:i w:val="0"/>
          <w:iCs w:val="0"/>
        </w:rPr>
        <w:t>taken into account</w:t>
      </w:r>
      <w:proofErr w:type="gramEnd"/>
      <w:r w:rsidRPr="003F0548">
        <w:rPr>
          <w:rStyle w:val="References"/>
          <w:b w:val="0"/>
          <w:bCs w:val="0"/>
          <w:i w:val="0"/>
          <w:iCs w:val="0"/>
        </w:rPr>
        <w:t xml:space="preserve"> as an appropriate fraction of a full-time equivalent. </w:t>
      </w:r>
      <w:r>
        <w:rPr>
          <w:rStyle w:val="References"/>
        </w:rPr>
        <w:br/>
      </w:r>
      <w:r w:rsidRPr="007077D5">
        <w:rPr>
          <w:rStyle w:val="References"/>
        </w:rPr>
        <w:t>Schedule #,</w:t>
      </w:r>
      <w:r w:rsidR="00542164">
        <w:rPr>
          <w:rStyle w:val="References"/>
        </w:rPr>
        <w:t xml:space="preserve"> </w:t>
      </w:r>
      <w:r w:rsidRPr="007077D5">
        <w:rPr>
          <w:rStyle w:val="References"/>
        </w:rPr>
        <w:t xml:space="preserve">item </w:t>
      </w:r>
      <w:r>
        <w:rPr>
          <w:rStyle w:val="References"/>
        </w:rPr>
        <w:t>1</w:t>
      </w:r>
      <w:r w:rsidR="003F2FF1">
        <w:rPr>
          <w:rStyle w:val="References"/>
        </w:rPr>
        <w:t>29</w:t>
      </w:r>
      <w:r w:rsidRPr="007077D5">
        <w:rPr>
          <w:rStyle w:val="References"/>
        </w:rPr>
        <w:t xml:space="preserve">, subsection </w:t>
      </w:r>
      <w:r>
        <w:rPr>
          <w:rStyle w:val="References"/>
        </w:rPr>
        <w:t>1705(4)]</w:t>
      </w:r>
    </w:p>
    <w:p w14:paraId="7E7987A1" w14:textId="6DA5D27C" w:rsidR="00FC36B3" w:rsidRDefault="00FC36B3" w:rsidP="00FC36B3">
      <w:pPr>
        <w:pStyle w:val="Normalparatextwithnumbers"/>
        <w:rPr>
          <w:rStyle w:val="References"/>
          <w:i w:val="0"/>
          <w:iCs w:val="0"/>
        </w:rPr>
      </w:pPr>
      <w:r>
        <w:t xml:space="preserve">To determine whether an entity controls another entity in relation to sustainability reports, </w:t>
      </w:r>
      <w:r w:rsidR="00263107">
        <w:t xml:space="preserve">reference is made to </w:t>
      </w:r>
      <w:r>
        <w:t xml:space="preserve">the accounting standards made for financial statements, even if these standards do not apply to the entity. </w:t>
      </w:r>
      <w:r>
        <w:br/>
      </w:r>
      <w:r w:rsidRPr="007600F7">
        <w:rPr>
          <w:rStyle w:val="References"/>
        </w:rPr>
        <w:t xml:space="preserve">[Schedule </w:t>
      </w:r>
      <w:r>
        <w:rPr>
          <w:rStyle w:val="References"/>
        </w:rPr>
        <w:t>#</w:t>
      </w:r>
      <w:r w:rsidRPr="007600F7">
        <w:rPr>
          <w:rStyle w:val="References"/>
        </w:rPr>
        <w:t>,</w:t>
      </w:r>
      <w:r w:rsidR="00542164">
        <w:rPr>
          <w:rStyle w:val="References"/>
        </w:rPr>
        <w:t xml:space="preserve"> </w:t>
      </w:r>
      <w:r w:rsidRPr="007077D5">
        <w:rPr>
          <w:rStyle w:val="References"/>
        </w:rPr>
        <w:t xml:space="preserve">item </w:t>
      </w:r>
      <w:r>
        <w:rPr>
          <w:rStyle w:val="References"/>
        </w:rPr>
        <w:t>1</w:t>
      </w:r>
      <w:r w:rsidR="003F2FF1">
        <w:rPr>
          <w:rStyle w:val="References"/>
        </w:rPr>
        <w:t>29</w:t>
      </w:r>
      <w:r w:rsidRPr="007077D5">
        <w:rPr>
          <w:rStyle w:val="References"/>
        </w:rPr>
        <w:t xml:space="preserve">, subsection </w:t>
      </w:r>
      <w:r>
        <w:rPr>
          <w:rStyle w:val="References"/>
        </w:rPr>
        <w:t xml:space="preserve">1705(6)(a)] </w:t>
      </w:r>
    </w:p>
    <w:p w14:paraId="17552BD8" w14:textId="51F00536" w:rsidR="00FC36B3" w:rsidRPr="00675A58" w:rsidRDefault="00FC36B3" w:rsidP="00FC36B3">
      <w:pPr>
        <w:pStyle w:val="Normalparatextwithnumbers"/>
        <w:rPr>
          <w:rStyle w:val="References"/>
          <w:b w:val="0"/>
          <w:bCs w:val="0"/>
          <w:i w:val="0"/>
          <w:iCs w:val="0"/>
        </w:rPr>
      </w:pPr>
      <w:r>
        <w:t xml:space="preserve">Calculating consolidated revenue and the value of consolidated gross assets for the purpose of determining if an entity must provide an annual sustainability disclosure report must be done in accordance with the accounting standard in force at the relevant time. This is even if the standard does not otherwise apply to the financial year or some of the entities concerned. </w:t>
      </w:r>
      <w:r>
        <w:br/>
      </w:r>
      <w:r w:rsidRPr="007600F7">
        <w:rPr>
          <w:rStyle w:val="References"/>
        </w:rPr>
        <w:t xml:space="preserve">[Schedule </w:t>
      </w:r>
      <w:r>
        <w:rPr>
          <w:rStyle w:val="References"/>
        </w:rPr>
        <w:t>#</w:t>
      </w:r>
      <w:r w:rsidRPr="007600F7">
        <w:rPr>
          <w:rStyle w:val="References"/>
        </w:rPr>
        <w:t>,</w:t>
      </w:r>
      <w:r w:rsidR="00542164">
        <w:rPr>
          <w:rStyle w:val="References"/>
        </w:rPr>
        <w:t xml:space="preserve"> </w:t>
      </w:r>
      <w:r w:rsidRPr="007077D5">
        <w:rPr>
          <w:rStyle w:val="References"/>
        </w:rPr>
        <w:t xml:space="preserve">item </w:t>
      </w:r>
      <w:r>
        <w:rPr>
          <w:rStyle w:val="References"/>
        </w:rPr>
        <w:t>1</w:t>
      </w:r>
      <w:r w:rsidR="003F2FF1">
        <w:rPr>
          <w:rStyle w:val="References"/>
        </w:rPr>
        <w:t>29</w:t>
      </w:r>
      <w:r w:rsidRPr="007077D5">
        <w:rPr>
          <w:rStyle w:val="References"/>
        </w:rPr>
        <w:t xml:space="preserve">, subsection </w:t>
      </w:r>
      <w:r>
        <w:rPr>
          <w:rStyle w:val="References"/>
        </w:rPr>
        <w:t>1705(6)(b))</w:t>
      </w:r>
      <w:r w:rsidRPr="007600F7">
        <w:rPr>
          <w:rStyle w:val="References"/>
        </w:rPr>
        <w:t xml:space="preserve">] </w:t>
      </w:r>
    </w:p>
    <w:p w14:paraId="397FB6CA" w14:textId="13222396" w:rsidR="00FC36B3" w:rsidRPr="00675A58" w:rsidRDefault="00FC36B3" w:rsidP="00FC36B3">
      <w:pPr>
        <w:pStyle w:val="Normalparatextwithnumbers"/>
        <w:rPr>
          <w:rStyle w:val="References"/>
        </w:rPr>
      </w:pPr>
      <w:r>
        <w:t>New subsection 296</w:t>
      </w:r>
      <w:proofErr w:type="gramStart"/>
      <w:r>
        <w:t>B(</w:t>
      </w:r>
      <w:proofErr w:type="gramEnd"/>
      <w:r>
        <w:t>1) generally allows for smaller entities to make a limited disclosure where they have no material climate-related risks or opportunities for the financial year. However, as the transitional provisions would only require these smaller entities to prepare sustainability reports if their financial year commences on or after 1 July 2027, for clarity, subsection</w:t>
      </w:r>
      <w:r w:rsidR="00762E6D">
        <w:t> </w:t>
      </w:r>
      <w:r>
        <w:t>296</w:t>
      </w:r>
      <w:proofErr w:type="gramStart"/>
      <w:r>
        <w:t>B(</w:t>
      </w:r>
      <w:proofErr w:type="gramEnd"/>
      <w:r>
        <w:t>1) does not apply for financial years commencing between 1</w:t>
      </w:r>
      <w:r w:rsidR="00762E6D">
        <w:t> </w:t>
      </w:r>
      <w:r>
        <w:t>July</w:t>
      </w:r>
      <w:r w:rsidR="00762E6D">
        <w:t> </w:t>
      </w:r>
      <w:r>
        <w:t>2024 and</w:t>
      </w:r>
      <w:r w:rsidR="00762E6D">
        <w:t> </w:t>
      </w:r>
      <w:r>
        <w:t>30</w:t>
      </w:r>
      <w:r w:rsidR="00762E6D">
        <w:t> </w:t>
      </w:r>
      <w:r>
        <w:t>June</w:t>
      </w:r>
      <w:r w:rsidR="00762E6D">
        <w:t> </w:t>
      </w:r>
      <w:r>
        <w:t>2027.</w:t>
      </w:r>
      <w:r>
        <w:br/>
      </w:r>
      <w:r w:rsidRPr="00675A58">
        <w:rPr>
          <w:rStyle w:val="References"/>
        </w:rPr>
        <w:t>[Schedule #,</w:t>
      </w:r>
      <w:r w:rsidR="00542164">
        <w:rPr>
          <w:rStyle w:val="References"/>
        </w:rPr>
        <w:t xml:space="preserve"> </w:t>
      </w:r>
      <w:r w:rsidRPr="00675A58">
        <w:rPr>
          <w:rStyle w:val="References"/>
        </w:rPr>
        <w:t>item 1</w:t>
      </w:r>
      <w:r w:rsidR="003F2FF1">
        <w:rPr>
          <w:rStyle w:val="References"/>
        </w:rPr>
        <w:t>29</w:t>
      </w:r>
      <w:r w:rsidRPr="00675A58">
        <w:rPr>
          <w:rStyle w:val="References"/>
        </w:rPr>
        <w:t>, section 170</w:t>
      </w:r>
      <w:r w:rsidR="00351F29">
        <w:rPr>
          <w:rStyle w:val="References"/>
        </w:rPr>
        <w:t>5A</w:t>
      </w:r>
      <w:r w:rsidRPr="00675A58">
        <w:rPr>
          <w:rStyle w:val="References"/>
        </w:rPr>
        <w:t>]</w:t>
      </w:r>
    </w:p>
    <w:p w14:paraId="73943B7F" w14:textId="77777777" w:rsidR="00FC36B3" w:rsidRPr="00447969" w:rsidRDefault="00FC36B3" w:rsidP="00FC36B3">
      <w:pPr>
        <w:pStyle w:val="Heading6"/>
        <w:rPr>
          <w:rFonts w:hint="eastAsia"/>
        </w:rPr>
      </w:pPr>
      <w:r>
        <w:t>Modified liability</w:t>
      </w:r>
    </w:p>
    <w:p w14:paraId="18BB685B" w14:textId="6623A369" w:rsidR="00FC36B3" w:rsidRPr="003351C1" w:rsidRDefault="00FC36B3" w:rsidP="00FC36B3">
      <w:pPr>
        <w:pStyle w:val="Normalparatextwithnumbers"/>
        <w:rPr>
          <w:rStyle w:val="References"/>
          <w:rFonts w:eastAsiaTheme="majorEastAsia" w:cstheme="majorBidi"/>
          <w:b w:val="0"/>
          <w:i w:val="0"/>
          <w:szCs w:val="24"/>
        </w:rPr>
      </w:pPr>
      <w:r>
        <w:t xml:space="preserve">Under this approach, liability for misleading and deceptive, and other, conduct in relation to the most uncertain parts of a climate statement is </w:t>
      </w:r>
      <w:proofErr w:type="gramStart"/>
      <w:r>
        <w:t>temporarily suspended</w:t>
      </w:r>
      <w:proofErr w:type="gramEnd"/>
      <w:r>
        <w:t xml:space="preserve">. That is, where the statement relates to scope 3 greenhouse gas emissions and scenario analysis. This limited immunity applies to statements in sustainability reports prepared for financial years commencing between 1 July 2024 and 30 June 2027. During this time, only ASIC will be able to </w:t>
      </w:r>
      <w:proofErr w:type="gramStart"/>
      <w:r>
        <w:t>take action</w:t>
      </w:r>
      <w:proofErr w:type="gramEnd"/>
      <w:r>
        <w:t xml:space="preserve"> for misleading and deceptive conduct in relation to these types of disclosures. </w:t>
      </w:r>
      <w:r>
        <w:br/>
      </w:r>
      <w:r w:rsidRPr="005A2D08">
        <w:rPr>
          <w:rStyle w:val="References"/>
        </w:rPr>
        <w:t xml:space="preserve">[Schedule </w:t>
      </w:r>
      <w:r>
        <w:rPr>
          <w:rStyle w:val="References"/>
        </w:rPr>
        <w:t>#</w:t>
      </w:r>
      <w:r w:rsidRPr="005A2D08">
        <w:rPr>
          <w:rStyle w:val="References"/>
        </w:rPr>
        <w:t>,</w:t>
      </w:r>
      <w:r w:rsidR="00542164">
        <w:rPr>
          <w:rStyle w:val="References"/>
        </w:rPr>
        <w:t xml:space="preserve"> </w:t>
      </w:r>
      <w:r w:rsidRPr="005A2D08">
        <w:rPr>
          <w:rStyle w:val="References"/>
        </w:rPr>
        <w:t xml:space="preserve">item </w:t>
      </w:r>
      <w:r>
        <w:rPr>
          <w:rStyle w:val="References"/>
        </w:rPr>
        <w:t>1</w:t>
      </w:r>
      <w:r w:rsidR="00A83080">
        <w:rPr>
          <w:rStyle w:val="References"/>
        </w:rPr>
        <w:t>29</w:t>
      </w:r>
      <w:r w:rsidRPr="005A2D08">
        <w:rPr>
          <w:rStyle w:val="References"/>
        </w:rPr>
        <w:t xml:space="preserve">, </w:t>
      </w:r>
      <w:r>
        <w:rPr>
          <w:rStyle w:val="References"/>
        </w:rPr>
        <w:t>section 170</w:t>
      </w:r>
      <w:r w:rsidR="00A83080">
        <w:rPr>
          <w:rStyle w:val="References"/>
        </w:rPr>
        <w:t>5B</w:t>
      </w:r>
      <w:r w:rsidRPr="005A2D08">
        <w:rPr>
          <w:rStyle w:val="References"/>
        </w:rPr>
        <w:t xml:space="preserve">] </w:t>
      </w:r>
      <w:r>
        <w:rPr>
          <w:rStyle w:val="References"/>
        </w:rPr>
        <w:t xml:space="preserve"> </w:t>
      </w:r>
    </w:p>
    <w:p w14:paraId="689F3037" w14:textId="2C0D09B6" w:rsidR="00FC36B3" w:rsidRPr="003D1509" w:rsidRDefault="00FC36B3" w:rsidP="00FC36B3">
      <w:pPr>
        <w:pStyle w:val="Normalparatextwithnumbers"/>
        <w:rPr>
          <w:rStyle w:val="References"/>
        </w:rPr>
      </w:pPr>
      <w:r>
        <w:t>No action, suit or proceeding (collectively ‘</w:t>
      </w:r>
      <w:r w:rsidRPr="00AF7DBC">
        <w:t>legal action</w:t>
      </w:r>
      <w:r>
        <w:rPr>
          <w:b/>
          <w:bCs/>
          <w:i/>
          <w:iCs/>
        </w:rPr>
        <w:t>’</w:t>
      </w:r>
      <w:r>
        <w:t xml:space="preserve">) </w:t>
      </w:r>
      <w:proofErr w:type="gramStart"/>
      <w:r>
        <w:t>is able to</w:t>
      </w:r>
      <w:proofErr w:type="gramEnd"/>
      <w:r>
        <w:t xml:space="preserve"> be brought against a person or entity in relation to statements about scope 3 emissions or scenario analysis </w:t>
      </w:r>
      <w:r w:rsidRPr="00E177AD">
        <w:t xml:space="preserve">made in </w:t>
      </w:r>
      <w:r>
        <w:t>those</w:t>
      </w:r>
      <w:r w:rsidRPr="00E177AD">
        <w:t xml:space="preserve"> </w:t>
      </w:r>
      <w:r>
        <w:t>sustainability reports. However, this does not prevent criminal proceedings.</w:t>
      </w:r>
      <w:r>
        <w:br/>
      </w:r>
      <w:r w:rsidRPr="003D1509">
        <w:rPr>
          <w:rStyle w:val="References"/>
        </w:rPr>
        <w:t xml:space="preserve">[Schedule </w:t>
      </w:r>
      <w:r>
        <w:rPr>
          <w:rStyle w:val="References"/>
        </w:rPr>
        <w:t>#</w:t>
      </w:r>
      <w:r w:rsidRPr="003D1509">
        <w:rPr>
          <w:rStyle w:val="References"/>
        </w:rPr>
        <w:t>,</w:t>
      </w:r>
      <w:r w:rsidR="00542164">
        <w:rPr>
          <w:rStyle w:val="References"/>
        </w:rPr>
        <w:t xml:space="preserve"> </w:t>
      </w:r>
      <w:r>
        <w:rPr>
          <w:rStyle w:val="References"/>
        </w:rPr>
        <w:t xml:space="preserve">item </w:t>
      </w:r>
      <w:r w:rsidR="00EE19BF">
        <w:rPr>
          <w:rStyle w:val="References"/>
        </w:rPr>
        <w:t>129</w:t>
      </w:r>
      <w:r w:rsidRPr="003D1509">
        <w:rPr>
          <w:rStyle w:val="References"/>
        </w:rPr>
        <w:t xml:space="preserve">, </w:t>
      </w:r>
      <w:r>
        <w:rPr>
          <w:rStyle w:val="References"/>
        </w:rPr>
        <w:t>subsection 170</w:t>
      </w:r>
      <w:r w:rsidR="00EE19BF">
        <w:rPr>
          <w:rStyle w:val="References"/>
        </w:rPr>
        <w:t>5B</w:t>
      </w:r>
      <w:r w:rsidRPr="003D1509">
        <w:rPr>
          <w:rStyle w:val="References"/>
        </w:rPr>
        <w:t xml:space="preserve">] </w:t>
      </w:r>
    </w:p>
    <w:p w14:paraId="3E09A0EC" w14:textId="77777777" w:rsidR="00FC36B3" w:rsidRDefault="00FC36B3" w:rsidP="00FC36B3">
      <w:pPr>
        <w:pStyle w:val="Normalparatextwithnumbers"/>
      </w:pPr>
      <w:r>
        <w:t>The most common legal actions likely to be affected</w:t>
      </w:r>
      <w:r w:rsidDel="00841443">
        <w:t xml:space="preserve"> </w:t>
      </w:r>
      <w:r>
        <w:t xml:space="preserve">are proceedings for misleading or deceptive conduct. For example, proceedings under sections 1041E or 1041H. Alleged breaches of directors’ duties are also protected (for example, actions under section 344). </w:t>
      </w:r>
    </w:p>
    <w:p w14:paraId="126F49A4" w14:textId="77777777" w:rsidR="00FC36B3" w:rsidRDefault="00FC36B3" w:rsidP="00FC36B3">
      <w:pPr>
        <w:pStyle w:val="Normalparatextwithnumbers"/>
      </w:pPr>
      <w:r>
        <w:t xml:space="preserve">The protection applies generally and extends to other forms of alleged misconduct in making climate-related disclosures related to scenario analysis or scope 3 emissions including actions such as negligent misstatement, breach of statutory duty and breach of fiduciary duties. </w:t>
      </w:r>
    </w:p>
    <w:p w14:paraId="5268CC21" w14:textId="77777777" w:rsidR="00FC36B3" w:rsidRPr="00897155" w:rsidRDefault="00FC36B3" w:rsidP="00FC36B3">
      <w:pPr>
        <w:pStyle w:val="Normalparatextwithnumbers"/>
        <w:rPr>
          <w:rStyle w:val="References"/>
          <w:b w:val="0"/>
          <w:i w:val="0"/>
        </w:rPr>
      </w:pPr>
      <w:r>
        <w:rPr>
          <w:rStyle w:val="References"/>
          <w:b w:val="0"/>
          <w:bCs w:val="0"/>
          <w:i w:val="0"/>
          <w:iCs w:val="0"/>
        </w:rPr>
        <w:t xml:space="preserve">This protection does not apply to legal actions that are civil actions brought by ASIC relating to contraventions of provisions with a fault element and/or where the remedy sought by ASIC is an injunction or declaration. This ensures that any contraventions that are not strict liability offences, or where ASIC does not seek more serious outcomes, can still proceed despite the limited immunity provided in subsection 1706AA(1A). The policy intention is to ensure that during the transitional period, ASIC can undertake a role that promotes education about compliance with the new reporting regime and deter behaviour and reporting practice that is contrary to the policy position. </w:t>
      </w:r>
    </w:p>
    <w:p w14:paraId="196BE6A2" w14:textId="39C6BF10" w:rsidR="00FC36B3" w:rsidRPr="005A3455" w:rsidRDefault="00FC36B3" w:rsidP="00FC36B3">
      <w:pPr>
        <w:pStyle w:val="Normalparatextwithnumbers"/>
        <w:rPr>
          <w:rStyle w:val="References"/>
          <w:b w:val="0"/>
          <w:i w:val="0"/>
        </w:rPr>
      </w:pPr>
      <w:r>
        <w:rPr>
          <w:rStyle w:val="References"/>
          <w:b w:val="0"/>
          <w:bCs w:val="0"/>
          <w:i w:val="0"/>
          <w:iCs w:val="0"/>
        </w:rPr>
        <w:t xml:space="preserve">Accordingly, ASIC may still pursue actions under various sections, including section 1041E (false or misleading statements which include a fault element), but during the transitional period, the </w:t>
      </w:r>
      <w:r w:rsidRPr="00092026">
        <w:t>remedies available to ASIC are limited to declarations and injunctions</w:t>
      </w:r>
      <w:r>
        <w:t>. The approach balances the needs of investors through preservation of ASIC’s ability to pursue litigation to ensure disclosures are accurate and to drive broader compliance with requirements with the needs of the needs of reporting entities adjusting to the new requirements by providing reassurance that entities will not face full financial penalties if disclosures are made with best efforts but prove inaccurate.</w:t>
      </w:r>
      <w:r>
        <w:rPr>
          <w:rStyle w:val="References"/>
          <w:b w:val="0"/>
          <w:bCs w:val="0"/>
          <w:i w:val="0"/>
          <w:iCs w:val="0"/>
        </w:rPr>
        <w:br/>
      </w:r>
      <w:r w:rsidRPr="003D1509">
        <w:rPr>
          <w:rStyle w:val="References"/>
        </w:rPr>
        <w:t xml:space="preserve">[Schedule </w:t>
      </w:r>
      <w:r>
        <w:rPr>
          <w:rStyle w:val="References"/>
        </w:rPr>
        <w:t>#</w:t>
      </w:r>
      <w:r w:rsidRPr="003D1509">
        <w:rPr>
          <w:rStyle w:val="References"/>
        </w:rPr>
        <w:t>,</w:t>
      </w:r>
      <w:r w:rsidR="00542164">
        <w:rPr>
          <w:rStyle w:val="References"/>
        </w:rPr>
        <w:t xml:space="preserve"> </w:t>
      </w:r>
      <w:r>
        <w:rPr>
          <w:rStyle w:val="References"/>
        </w:rPr>
        <w:t>item 1</w:t>
      </w:r>
      <w:r w:rsidR="00EE19BF">
        <w:rPr>
          <w:rStyle w:val="References"/>
        </w:rPr>
        <w:t>2</w:t>
      </w:r>
      <w:r w:rsidR="00EE19BF">
        <w:t>9</w:t>
      </w:r>
      <w:r w:rsidRPr="003D1509">
        <w:rPr>
          <w:rStyle w:val="References"/>
        </w:rPr>
        <w:t xml:space="preserve">, </w:t>
      </w:r>
      <w:r>
        <w:rPr>
          <w:rStyle w:val="References"/>
        </w:rPr>
        <w:t>subsection 170</w:t>
      </w:r>
      <w:r w:rsidR="00EE19BF">
        <w:rPr>
          <w:rStyle w:val="References"/>
        </w:rPr>
        <w:t>5B</w:t>
      </w:r>
      <w:r>
        <w:rPr>
          <w:rStyle w:val="References"/>
        </w:rPr>
        <w:t>(3)</w:t>
      </w:r>
      <w:r w:rsidRPr="003D1509">
        <w:rPr>
          <w:rStyle w:val="References"/>
        </w:rPr>
        <w:t>]</w:t>
      </w:r>
    </w:p>
    <w:p w14:paraId="5B7B83C1" w14:textId="4A8C0430" w:rsidR="00FC36B3" w:rsidRPr="00D348E0" w:rsidRDefault="00FC36B3" w:rsidP="00FC36B3">
      <w:pPr>
        <w:pStyle w:val="Normalparatextwithnumbers"/>
        <w:rPr>
          <w:rStyle w:val="References"/>
          <w:b w:val="0"/>
          <w:i w:val="0"/>
        </w:rPr>
      </w:pPr>
      <w:r>
        <w:t xml:space="preserve">If ASIC considers that a statement an entity makes in a sustainability disclosure report for a financial year commencing between 1 July 2024 and 30 June 2027 is incorrect, </w:t>
      </w:r>
      <w:proofErr w:type="gramStart"/>
      <w:r>
        <w:t>incomplete</w:t>
      </w:r>
      <w:proofErr w:type="gramEnd"/>
      <w:r>
        <w:t xml:space="preserve"> or misleading in any way, ASIC may direct the entity to confirm to ASIC that the statement is correct or complete, explain the statement to ASIC, and correct, complete or amend the statement in accordance with the direction. The entity must comply with that direction.</w:t>
      </w:r>
      <w:r w:rsidR="009F2FC6">
        <w:t xml:space="preserve"> </w:t>
      </w:r>
      <w:r w:rsidR="00145E66">
        <w:t>The penalty for a failure to comply with such direction is 60 penalty units.</w:t>
      </w:r>
      <w:r w:rsidR="00B636C1">
        <w:t xml:space="preserve"> </w:t>
      </w:r>
      <w:r>
        <w:br/>
      </w:r>
      <w:r w:rsidRPr="00D348E0">
        <w:rPr>
          <w:rStyle w:val="References"/>
        </w:rPr>
        <w:t xml:space="preserve">[Schedule </w:t>
      </w:r>
      <w:r>
        <w:rPr>
          <w:rStyle w:val="References"/>
        </w:rPr>
        <w:t>#</w:t>
      </w:r>
      <w:r w:rsidRPr="00D348E0">
        <w:rPr>
          <w:rStyle w:val="References"/>
        </w:rPr>
        <w:t>, item</w:t>
      </w:r>
      <w:r w:rsidR="00145E66">
        <w:rPr>
          <w:rStyle w:val="References"/>
        </w:rPr>
        <w:t>s</w:t>
      </w:r>
      <w:r>
        <w:rPr>
          <w:rStyle w:val="References"/>
        </w:rPr>
        <w:t xml:space="preserve"> </w:t>
      </w:r>
      <w:r w:rsidR="00EE19BF">
        <w:rPr>
          <w:rStyle w:val="References"/>
        </w:rPr>
        <w:t>129</w:t>
      </w:r>
      <w:r w:rsidR="00145E66">
        <w:rPr>
          <w:rStyle w:val="References"/>
        </w:rPr>
        <w:t xml:space="preserve"> and 130</w:t>
      </w:r>
      <w:r>
        <w:rPr>
          <w:rStyle w:val="References"/>
        </w:rPr>
        <w:t>, section 170</w:t>
      </w:r>
      <w:r w:rsidR="00EE19BF">
        <w:rPr>
          <w:rStyle w:val="References"/>
        </w:rPr>
        <w:t>5C</w:t>
      </w:r>
      <w:r w:rsidR="00145E66">
        <w:rPr>
          <w:rStyle w:val="References"/>
        </w:rPr>
        <w:t xml:space="preserve"> and </w:t>
      </w:r>
      <w:r w:rsidR="004834CD">
        <w:rPr>
          <w:rStyle w:val="References"/>
        </w:rPr>
        <w:t>Schedule 3</w:t>
      </w:r>
      <w:r w:rsidRPr="00D348E0">
        <w:rPr>
          <w:rStyle w:val="References"/>
        </w:rPr>
        <w:t xml:space="preserve">] </w:t>
      </w:r>
    </w:p>
    <w:p w14:paraId="2C7A7814" w14:textId="77777777" w:rsidR="00FC36B3" w:rsidRPr="00984272" w:rsidRDefault="00FC36B3" w:rsidP="00FC36B3">
      <w:pPr>
        <w:pStyle w:val="Normalparatextwithnumbers"/>
      </w:pPr>
      <w:r>
        <w:t xml:space="preserve">Allowing ASIC to rectify these errors in reports during the transitional period will enable entities to understand and rectify errors, whist ensuring that information made available in these reports is correct and complete. This also provides ASIC with appropriate oversight over reports as entities must comply with directions to publish accurate </w:t>
      </w:r>
      <w:proofErr w:type="gramStart"/>
      <w:r>
        <w:t>information, or</w:t>
      </w:r>
      <w:proofErr w:type="gramEnd"/>
      <w:r>
        <w:t xml:space="preserve"> justify the accuracy of statements to ASIC and encourages compliance with the new requirements.</w:t>
      </w:r>
      <w:r w:rsidRPr="00D348E0">
        <w:rPr>
          <w:rStyle w:val="References"/>
        </w:rPr>
        <w:t xml:space="preserve"> </w:t>
      </w:r>
    </w:p>
    <w:p w14:paraId="715D5F7E" w14:textId="77777777" w:rsidR="00FC36B3" w:rsidRDefault="00FC36B3" w:rsidP="00FC36B3">
      <w:pPr>
        <w:pStyle w:val="Heading4"/>
        <w:numPr>
          <w:ilvl w:val="3"/>
          <w:numId w:val="2"/>
        </w:numPr>
      </w:pPr>
      <w:r>
        <w:t>Auditing and assurance standards</w:t>
      </w:r>
    </w:p>
    <w:p w14:paraId="262568E0" w14:textId="7B523143" w:rsidR="00FC36B3" w:rsidRDefault="00FC36B3" w:rsidP="00FC36B3">
      <w:pPr>
        <w:pStyle w:val="Normalparatextwithnumbers"/>
      </w:pPr>
      <w:r>
        <w:t xml:space="preserve">The AUASB must make auditing standards in accordance with the Act that provides standards for reviews for companies limited by guarantee. These auditing standards must be made before 1 July 2024. </w:t>
      </w:r>
      <w:r>
        <w:br/>
      </w:r>
      <w:r>
        <w:rPr>
          <w:b/>
          <w:bCs/>
          <w:i/>
          <w:iCs/>
        </w:rPr>
        <w:t>[</w:t>
      </w:r>
      <w:r w:rsidRPr="003D1509">
        <w:rPr>
          <w:rStyle w:val="References"/>
        </w:rPr>
        <w:t xml:space="preserve">Schedule </w:t>
      </w:r>
      <w:r>
        <w:rPr>
          <w:rStyle w:val="References"/>
        </w:rPr>
        <w:t>#</w:t>
      </w:r>
      <w:r w:rsidRPr="003D1509">
        <w:rPr>
          <w:rStyle w:val="References"/>
        </w:rPr>
        <w:t>,</w:t>
      </w:r>
      <w:r w:rsidR="00542164">
        <w:rPr>
          <w:rStyle w:val="References"/>
        </w:rPr>
        <w:t xml:space="preserve"> </w:t>
      </w:r>
      <w:r>
        <w:rPr>
          <w:rStyle w:val="References"/>
        </w:rPr>
        <w:t>item 1</w:t>
      </w:r>
      <w:r w:rsidR="009F2FC6">
        <w:rPr>
          <w:rStyle w:val="References"/>
        </w:rPr>
        <w:t>29</w:t>
      </w:r>
      <w:r w:rsidRPr="003D1509">
        <w:rPr>
          <w:rStyle w:val="References"/>
        </w:rPr>
        <w:t xml:space="preserve">, </w:t>
      </w:r>
      <w:r>
        <w:rPr>
          <w:rStyle w:val="References"/>
        </w:rPr>
        <w:t>section 170</w:t>
      </w:r>
      <w:r w:rsidR="00EE19BF">
        <w:rPr>
          <w:rStyle w:val="References"/>
        </w:rPr>
        <w:t>5</w:t>
      </w:r>
      <w:r w:rsidR="00121E37">
        <w:rPr>
          <w:rStyle w:val="References"/>
        </w:rPr>
        <w:t>D</w:t>
      </w:r>
      <w:r>
        <w:rPr>
          <w:b/>
          <w:bCs/>
          <w:i/>
          <w:iCs/>
        </w:rPr>
        <w:t>]</w:t>
      </w:r>
    </w:p>
    <w:p w14:paraId="043515D9" w14:textId="77777777" w:rsidR="00FC36B3" w:rsidRDefault="00FC36B3" w:rsidP="00FC36B3">
      <w:pPr>
        <w:pStyle w:val="Heading3"/>
        <w:rPr>
          <w:rFonts w:hint="eastAsia"/>
        </w:rPr>
      </w:pPr>
      <w:r>
        <w:t>Review of laws</w:t>
      </w:r>
    </w:p>
    <w:p w14:paraId="0393C95A" w14:textId="77777777" w:rsidR="00FC36B3" w:rsidRDefault="00FC36B3" w:rsidP="00FC36B3">
      <w:pPr>
        <w:pStyle w:val="Normalparatextwithnumbers"/>
      </w:pPr>
      <w:r>
        <w:t xml:space="preserve">To ensure sufficient Ministerial and Parliamentary oversight of this legislation which implements new obligation and reports on a significant cohort of entities, Schedule # must undergo a review. </w:t>
      </w:r>
    </w:p>
    <w:p w14:paraId="38B46431" w14:textId="0862DC25" w:rsidR="00FC36B3" w:rsidRPr="003859F0" w:rsidRDefault="00FC36B3">
      <w:pPr>
        <w:pStyle w:val="Normalparatextwithnumbers"/>
      </w:pPr>
      <w:r>
        <w:t xml:space="preserve">As soon as </w:t>
      </w:r>
      <w:r w:rsidR="00AD2EAC">
        <w:t xml:space="preserve">practicable </w:t>
      </w:r>
      <w:r>
        <w:t xml:space="preserve">after 1 July 2028, a review of the legislation and written report of the outcomes must be prepared. After the report is provided to the Minister, it must be tabled in each House of the Parliament within 15 sitting days of that House. </w:t>
      </w:r>
      <w:r>
        <w:br/>
      </w:r>
      <w:r w:rsidRPr="005239B3">
        <w:rPr>
          <w:b/>
          <w:bCs/>
          <w:i/>
          <w:iCs/>
        </w:rPr>
        <w:t>[</w:t>
      </w:r>
      <w:r w:rsidRPr="003D1509">
        <w:rPr>
          <w:rStyle w:val="References"/>
        </w:rPr>
        <w:t xml:space="preserve">Schedule </w:t>
      </w:r>
      <w:r>
        <w:rPr>
          <w:rStyle w:val="References"/>
        </w:rPr>
        <w:t>#</w:t>
      </w:r>
      <w:r w:rsidRPr="003D1509">
        <w:rPr>
          <w:rStyle w:val="References"/>
        </w:rPr>
        <w:t>,</w:t>
      </w:r>
      <w:r w:rsidR="00542164">
        <w:rPr>
          <w:rStyle w:val="References"/>
        </w:rPr>
        <w:t xml:space="preserve"> </w:t>
      </w:r>
      <w:r>
        <w:rPr>
          <w:rStyle w:val="References"/>
        </w:rPr>
        <w:t>item 1</w:t>
      </w:r>
      <w:r w:rsidR="009F2FC6">
        <w:rPr>
          <w:rStyle w:val="References"/>
        </w:rPr>
        <w:t>29</w:t>
      </w:r>
      <w:r w:rsidRPr="003D1509">
        <w:rPr>
          <w:rStyle w:val="References"/>
        </w:rPr>
        <w:t xml:space="preserve">, </w:t>
      </w:r>
      <w:r>
        <w:rPr>
          <w:rStyle w:val="References"/>
        </w:rPr>
        <w:t>section 17</w:t>
      </w:r>
      <w:r w:rsidR="00B95D4B">
        <w:rPr>
          <w:rStyle w:val="References"/>
        </w:rPr>
        <w:t>05E</w:t>
      </w:r>
      <w:r w:rsidRPr="005239B3">
        <w:rPr>
          <w:b/>
          <w:bCs/>
          <w:i/>
          <w:iCs/>
        </w:rPr>
        <w:t>]</w:t>
      </w:r>
    </w:p>
    <w:p w14:paraId="7B7476F3" w14:textId="3E86C0D1" w:rsidR="00FC36B3" w:rsidRPr="00020288" w:rsidRDefault="00AF4939" w:rsidP="00FC36B3">
      <w:pPr>
        <w:pStyle w:val="Normalparatextwithnumbers"/>
        <w:numPr>
          <w:ilvl w:val="1"/>
          <w:numId w:val="3"/>
        </w:numPr>
      </w:pPr>
      <w:r>
        <w:t>This review</w:t>
      </w:r>
      <w:r w:rsidR="00FC36B3">
        <w:t xml:space="preserve"> </w:t>
      </w:r>
      <w:proofErr w:type="gramStart"/>
      <w:r w:rsidR="00FC36B3">
        <w:t>form</w:t>
      </w:r>
      <w:proofErr w:type="gramEnd"/>
      <w:r w:rsidR="00FC36B3">
        <w:t xml:space="preserve"> an integral piece in ensuring that new legislation and frameworks are operating effectively and in accordance with the intended outcomes. If provides an opportunity for further refinement of legislation where recommendations are provided, and Parliamentary oversight of the process. </w:t>
      </w:r>
      <w:r w:rsidR="00FC36B3" w:rsidRPr="00BD533A">
        <w:rPr>
          <w:rStyle w:val="References"/>
        </w:rPr>
        <w:t xml:space="preserve"> </w:t>
      </w:r>
    </w:p>
    <w:p w14:paraId="3E044F99" w14:textId="77777777" w:rsidR="00FC36B3" w:rsidRPr="00020288" w:rsidRDefault="00FC36B3" w:rsidP="00FC36B3">
      <w:pPr>
        <w:pStyle w:val="Heading2"/>
        <w:rPr>
          <w:rFonts w:hint="eastAsia"/>
        </w:rPr>
      </w:pPr>
      <w:r w:rsidRPr="00020288">
        <w:t xml:space="preserve">Commencement, </w:t>
      </w:r>
      <w:r w:rsidRPr="00AF50CE">
        <w:t>application</w:t>
      </w:r>
      <w:r w:rsidRPr="00020288">
        <w:t>, and transitional provisions</w:t>
      </w:r>
    </w:p>
    <w:p w14:paraId="466E7C38" w14:textId="77777777" w:rsidR="00FC36B3" w:rsidRDefault="00FC36B3" w:rsidP="00FC36B3">
      <w:pPr>
        <w:pStyle w:val="Normalparatextwithnumbers"/>
      </w:pPr>
      <w:r>
        <w:rPr>
          <w:color w:val="2B579A"/>
          <w:shd w:val="clear" w:color="auto" w:fill="E6E6E6"/>
        </w:rPr>
        <w:t>Schedule # to the Bill commences the day after Royal Assent</w:t>
      </w:r>
      <w:r>
        <w:t>.</w:t>
      </w:r>
    </w:p>
    <w:p w14:paraId="17A04FCE" w14:textId="77777777" w:rsidR="00FC36B3" w:rsidRDefault="00FC36B3" w:rsidP="00FC36B3">
      <w:pPr>
        <w:pStyle w:val="Normalparatextwithnumbers"/>
      </w:pPr>
      <w:r>
        <w:t>Under the amendments, t</w:t>
      </w:r>
      <w:r w:rsidRPr="00853265">
        <w:t xml:space="preserve">he requirement to </w:t>
      </w:r>
      <w:r>
        <w:t xml:space="preserve">prepare a sustainability </w:t>
      </w:r>
      <w:r w:rsidRPr="00853265">
        <w:t>report will be</w:t>
      </w:r>
      <w:r>
        <w:t xml:space="preserve"> progressively</w:t>
      </w:r>
      <w:r w:rsidRPr="00853265">
        <w:t xml:space="preserve"> phased in</w:t>
      </w:r>
      <w:r>
        <w:t xml:space="preserve"> for different cohorts, generally based on the size of the entity. An explanation of this phased-in approach is explained in Part 4 of this Chapter, regarding application provisions.</w:t>
      </w:r>
    </w:p>
    <w:bookmarkEnd w:id="5"/>
    <w:bookmarkEnd w:id="44"/>
    <w:bookmarkEnd w:id="45"/>
    <w:bookmarkEnd w:id="46"/>
    <w:bookmarkEnd w:id="47"/>
    <w:bookmarkEnd w:id="48"/>
    <w:p w14:paraId="1232EAC2" w14:textId="77777777" w:rsidR="009F2FC6" w:rsidRDefault="009F2FC6" w:rsidP="009F2FC6">
      <w:pPr>
        <w:pStyle w:val="Normalparatextnonumbers"/>
      </w:pPr>
    </w:p>
    <w:p w14:paraId="3DD1D415" w14:textId="77777777" w:rsidR="009F2FC6" w:rsidRPr="009F2FC6" w:rsidRDefault="009F2FC6" w:rsidP="009F2FC6">
      <w:pPr>
        <w:pStyle w:val="Normalparatextnonumbers"/>
      </w:pPr>
    </w:p>
    <w:sectPr w:rsidR="009F2FC6" w:rsidRPr="009F2FC6" w:rsidSect="00000BFC">
      <w:headerReference w:type="even" r:id="rId17"/>
      <w:headerReference w:type="default" r:id="rId18"/>
      <w:headerReference w:type="first" r:id="rId19"/>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DECE9" w14:textId="77777777" w:rsidR="00DE2AB2" w:rsidRDefault="00DE2AB2">
      <w:pPr>
        <w:spacing w:before="0" w:after="0"/>
      </w:pPr>
      <w:r>
        <w:separator/>
      </w:r>
    </w:p>
  </w:endnote>
  <w:endnote w:type="continuationSeparator" w:id="0">
    <w:p w14:paraId="716698F3" w14:textId="77777777" w:rsidR="00DE2AB2" w:rsidRDefault="00DE2AB2">
      <w:pPr>
        <w:spacing w:before="0" w:after="0"/>
      </w:pPr>
      <w:r>
        <w:continuationSeparator/>
      </w:r>
    </w:p>
  </w:endnote>
  <w:endnote w:type="continuationNotice" w:id="1">
    <w:p w14:paraId="025D5162" w14:textId="77777777" w:rsidR="00DE2AB2" w:rsidRDefault="00DE2AB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56EE2" w14:textId="79612F23" w:rsidR="005506D3" w:rsidRDefault="005506D3" w:rsidP="005506D3">
    <w:pPr>
      <w:pStyle w:val="leftfooter"/>
    </w:pP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4AF64" w14:textId="07F7C46C" w:rsidR="005506D3" w:rsidRDefault="005506D3" w:rsidP="005506D3">
    <w:pPr>
      <w:pStyle w:val="rightfooter"/>
    </w:pPr>
    <w:r>
      <w:fldChar w:fldCharType="begin"/>
    </w:r>
    <w:r>
      <w:instrText xml:space="preserve"> PAGE  \* MERGEFORMAT </w:instrText>
    </w:r>
    <w:r>
      <w:fldChar w:fldCharType="separate"/>
    </w:r>
    <w:r>
      <w:rPr>
        <w:noProof/>
      </w:rPr>
      <w:t>iii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E424" w14:textId="77777777" w:rsidR="007A2DBD" w:rsidRPr="00091474" w:rsidRDefault="007A2DBD" w:rsidP="005506D3">
    <w:pPr>
      <w:pStyle w:val="rightfoo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EAD90" w14:textId="77777777" w:rsidR="00DE2AB2" w:rsidRDefault="00DE2AB2">
      <w:pPr>
        <w:spacing w:before="0" w:after="0"/>
      </w:pPr>
      <w:r>
        <w:separator/>
      </w:r>
    </w:p>
  </w:footnote>
  <w:footnote w:type="continuationSeparator" w:id="0">
    <w:p w14:paraId="5AA0866D" w14:textId="77777777" w:rsidR="00DE2AB2" w:rsidRDefault="00DE2AB2">
      <w:pPr>
        <w:spacing w:before="0" w:after="0"/>
      </w:pPr>
      <w:r>
        <w:continuationSeparator/>
      </w:r>
    </w:p>
  </w:footnote>
  <w:footnote w:type="continuationNotice" w:id="1">
    <w:p w14:paraId="72187BC8" w14:textId="77777777" w:rsidR="00DE2AB2" w:rsidRDefault="00DE2AB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0B6B5" w14:textId="39CBB6B5" w:rsidR="007A2DBD" w:rsidRPr="0070093E" w:rsidRDefault="007A2DBD" w:rsidP="002425D9">
    <w:pPr>
      <w:pStyle w:val="rightheader"/>
      <w:ind w:firstLine="72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61AAE" w14:textId="2A421FCA" w:rsidR="007A2DBD" w:rsidRPr="00816825" w:rsidRDefault="007105AC" w:rsidP="002425D9">
    <w:pPr>
      <w:pStyle w:val="leftheader"/>
    </w:pPr>
    <w:r>
      <w:fldChar w:fldCharType="begin"/>
    </w:r>
    <w:r>
      <w:instrText>STYLEREF  "Heading 1"  \* MERGEFORMAT</w:instrText>
    </w:r>
    <w:r>
      <w:fldChar w:fldCharType="separate"/>
    </w:r>
    <w:r w:rsidRPr="007105AC">
      <w:rPr>
        <w:noProof/>
        <w:lang w:val="en-US"/>
      </w:rPr>
      <w:t>Glossary</w:t>
    </w:r>
    <w:r>
      <w:rPr>
        <w:noProof/>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FC197" w14:textId="77777777" w:rsidR="007A2DBD" w:rsidRPr="00091474" w:rsidRDefault="007A2DBD" w:rsidP="002425D9">
    <w:pPr>
      <w:pStyle w:val="right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439C" w14:textId="77777777" w:rsidR="007A2DBD" w:rsidRDefault="007A2D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2550B" w14:textId="7036CFE0" w:rsidR="007A2DBD" w:rsidRPr="00A74B1A" w:rsidRDefault="007A2DBD" w:rsidP="00A74B1A">
    <w:pPr>
      <w:pStyle w:val="left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BE5B9" w14:textId="0476E3C6" w:rsidR="007A2DBD" w:rsidRPr="00A74B1A" w:rsidRDefault="007105AC" w:rsidP="00A74B1A">
    <w:pPr>
      <w:pStyle w:val="rightheader"/>
    </w:pPr>
    <w:r>
      <w:fldChar w:fldCharType="begin"/>
    </w:r>
    <w:r>
      <w:instrText>STYLEREF "Bill Name" \* MERGEFORMAT</w:instrText>
    </w:r>
    <w:r>
      <w:fldChar w:fldCharType="separate"/>
    </w:r>
    <w:r>
      <w:rPr>
        <w:noProof/>
      </w:rPr>
      <w:t>Treasury Laws Amendment Bill 2024: Climate-related Financial Disclosure</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2C081" w14:textId="77777777" w:rsidR="007A2DBD" w:rsidRDefault="007A2DBD" w:rsidP="00622763">
    <w:pPr>
      <w:pStyle w:val="right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C4382500"/>
    <w:lvl w:ilvl="0">
      <w:start w:val="1"/>
      <w:numFmt w:val="decimal"/>
      <w:pStyle w:val="ListNumber3"/>
      <w:lvlText w:val="%1."/>
      <w:lvlJc w:val="left"/>
      <w:pPr>
        <w:tabs>
          <w:tab w:val="num" w:pos="926"/>
        </w:tabs>
        <w:ind w:left="926" w:hanging="360"/>
      </w:pPr>
    </w:lvl>
  </w:abstractNum>
  <w:abstractNum w:abstractNumId="1" w15:restartNumberingAfterBreak="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B623A1D"/>
    <w:multiLevelType w:val="multilevel"/>
    <w:tmpl w:val="75801E2C"/>
    <w:lvl w:ilvl="0">
      <w:start w:val="1"/>
      <w:numFmt w:val="decimal"/>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360" w:hanging="360"/>
      </w:pPr>
      <w:rPr>
        <w:rFonts w:ascii="Symbol" w:hAnsi="Symbol" w:hint="default"/>
      </w:rPr>
    </w:lvl>
    <w:lvl w:ilvl="2">
      <w:start w:val="1"/>
      <w:numFmt w:val="decimal"/>
      <w:lvlRestart w:val="1"/>
      <w:suff w:val="space"/>
      <w:lvlText w:val="Diagram %1.%3"/>
      <w:lvlJc w:val="left"/>
      <w:pPr>
        <w:ind w:left="1701" w:hanging="1701"/>
      </w:pPr>
      <w:rPr>
        <w:rFonts w:hint="default"/>
      </w:rPr>
    </w:lvl>
    <w:lvl w:ilvl="3">
      <w:start w:val="1"/>
      <w:numFmt w:val="decimal"/>
      <w:lvlRestart w:val="1"/>
      <w:suff w:val="space"/>
      <w:lvlText w:val="Example %1.%4"/>
      <w:lvlJc w:val="left"/>
      <w:pPr>
        <w:ind w:left="1701" w:hanging="1701"/>
      </w:pPr>
      <w:rPr>
        <w:rFonts w:hint="default"/>
      </w:rPr>
    </w:lvl>
    <w:lvl w:ilvl="4">
      <w:start w:val="1"/>
      <w:numFmt w:val="decimal"/>
      <w:lvlRestart w:val="1"/>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9170CA0"/>
    <w:multiLevelType w:val="multilevel"/>
    <w:tmpl w:val="EF900ACA"/>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7B2A33"/>
    <w:multiLevelType w:val="multilevel"/>
    <w:tmpl w:val="476C75A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AF607D"/>
    <w:multiLevelType w:val="multilevel"/>
    <w:tmpl w:val="A2DC753E"/>
    <w:lvl w:ilvl="0">
      <w:start w:val="1"/>
      <w:numFmt w:val="decimal"/>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20" w:hanging="360"/>
      </w:pPr>
      <w:rPr>
        <w:rFonts w:ascii="Symbol" w:hAnsi="Symbol" w:hint="default"/>
      </w:rPr>
    </w:lvl>
    <w:lvl w:ilvl="2">
      <w:start w:val="1"/>
      <w:numFmt w:val="decimal"/>
      <w:lvlRestart w:val="1"/>
      <w:suff w:val="space"/>
      <w:lvlText w:val="Diagram %1.%3"/>
      <w:lvlJc w:val="left"/>
      <w:pPr>
        <w:ind w:left="1701" w:hanging="1701"/>
      </w:pPr>
      <w:rPr>
        <w:rFonts w:hint="default"/>
      </w:rPr>
    </w:lvl>
    <w:lvl w:ilvl="3">
      <w:start w:val="1"/>
      <w:numFmt w:val="decimal"/>
      <w:lvlRestart w:val="1"/>
      <w:suff w:val="space"/>
      <w:lvlText w:val="Example %1.%4"/>
      <w:lvlJc w:val="left"/>
      <w:pPr>
        <w:ind w:left="1701" w:hanging="1701"/>
      </w:pPr>
      <w:rPr>
        <w:rFonts w:hint="default"/>
      </w:rPr>
    </w:lvl>
    <w:lvl w:ilvl="4">
      <w:start w:val="1"/>
      <w:numFmt w:val="decimal"/>
      <w:lvlRestart w:val="1"/>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7D65B99"/>
    <w:multiLevelType w:val="hybridMultilevel"/>
    <w:tmpl w:val="4558A15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91226F0"/>
    <w:multiLevelType w:val="hybridMultilevel"/>
    <w:tmpl w:val="FA52E5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5D2CC9"/>
    <w:multiLevelType w:val="multilevel"/>
    <w:tmpl w:val="535EC408"/>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DC87511"/>
    <w:multiLevelType w:val="multilevel"/>
    <w:tmpl w:val="D4F6620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8F4380"/>
    <w:multiLevelType w:val="multilevel"/>
    <w:tmpl w:val="AD2C177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16" w15:restartNumberingAfterBreak="0">
    <w:nsid w:val="4B053138"/>
    <w:multiLevelType w:val="hybridMultilevel"/>
    <w:tmpl w:val="12A217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9"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3F4FF9"/>
    <w:multiLevelType w:val="hybridMultilevel"/>
    <w:tmpl w:val="D28AA4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BA08E2"/>
    <w:multiLevelType w:val="multilevel"/>
    <w:tmpl w:val="A23A2EB8"/>
    <w:lvl w:ilvl="0">
      <w:start w:val="1"/>
      <w:numFmt w:val="decimal"/>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360" w:hanging="360"/>
      </w:pPr>
      <w:rPr>
        <w:rFonts w:ascii="Symbol" w:hAnsi="Symbol" w:hint="default"/>
      </w:rPr>
    </w:lvl>
    <w:lvl w:ilvl="2">
      <w:start w:val="1"/>
      <w:numFmt w:val="decimal"/>
      <w:lvlRestart w:val="1"/>
      <w:suff w:val="space"/>
      <w:lvlText w:val="Diagram %1.%3"/>
      <w:lvlJc w:val="left"/>
      <w:pPr>
        <w:ind w:left="1701" w:hanging="1701"/>
      </w:pPr>
      <w:rPr>
        <w:rFonts w:hint="default"/>
      </w:rPr>
    </w:lvl>
    <w:lvl w:ilvl="3">
      <w:start w:val="1"/>
      <w:numFmt w:val="decimal"/>
      <w:lvlRestart w:val="1"/>
      <w:suff w:val="space"/>
      <w:lvlText w:val="Example %1.%4"/>
      <w:lvlJc w:val="left"/>
      <w:pPr>
        <w:ind w:left="1701" w:hanging="1701"/>
      </w:pPr>
      <w:rPr>
        <w:rFonts w:hint="default"/>
      </w:rPr>
    </w:lvl>
    <w:lvl w:ilvl="4">
      <w:start w:val="1"/>
      <w:numFmt w:val="decimal"/>
      <w:lvlRestart w:val="1"/>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7A24F44"/>
    <w:multiLevelType w:val="multilevel"/>
    <w:tmpl w:val="69E4A5F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6"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6"/>
  </w:num>
  <w:num w:numId="7">
    <w:abstractNumId w:val="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7"/>
  </w:num>
  <w:num w:numId="9">
    <w:abstractNumId w:val="26"/>
  </w:num>
  <w:num w:numId="10">
    <w:abstractNumId w:val="17"/>
  </w:num>
  <w:num w:numId="11">
    <w:abstractNumId w:val="15"/>
  </w:num>
  <w:num w:numId="12">
    <w:abstractNumId w:val="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24"/>
  </w:num>
  <w:num w:numId="14">
    <w:abstractNumId w:val="19"/>
  </w:num>
  <w:num w:numId="15">
    <w:abstractNumId w:val="21"/>
  </w:num>
  <w:num w:numId="16">
    <w:abstractNumId w:val="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abstractNumId w:val="7"/>
  </w:num>
  <w:num w:numId="18">
    <w:abstractNumId w:val="4"/>
  </w:num>
  <w:num w:numId="19">
    <w:abstractNumId w:val="18"/>
  </w:num>
  <w:num w:numId="20">
    <w:abstractNumId w:val="25"/>
  </w:num>
  <w:num w:numId="21">
    <w:abstractNumId w:val="24"/>
  </w:num>
  <w:num w:numId="22">
    <w:abstractNumId w:val="3"/>
  </w:num>
  <w:num w:numId="23">
    <w:abstractNumId w:val="12"/>
  </w:num>
  <w:num w:numId="24">
    <w:abstractNumId w:val="6"/>
  </w:num>
  <w:num w:numId="25">
    <w:abstractNumId w:val="6"/>
    <w:lvlOverride w:ilvl="0">
      <w:lvl w:ilvl="0">
        <w:numFmt w:val="decimal"/>
        <w:pStyle w:val="Chapterheading"/>
        <w:lvlText w:val=""/>
        <w:lvlJc w:val="left"/>
      </w:lvl>
    </w:lvlOverride>
    <w:lvlOverride w:ilvl="1">
      <w:lvl w:ilvl="1">
        <w:start w:val="1"/>
        <w:numFmt w:val="decimal"/>
        <w:pStyle w:val="Normalparatextwithnumbers"/>
        <w:lvlText w:val="%1.%2"/>
        <w:lvlJc w:val="left"/>
        <w:pPr>
          <w:tabs>
            <w:tab w:val="num" w:pos="709"/>
          </w:tabs>
          <w:ind w:left="709" w:hanging="709"/>
        </w:pPr>
        <w:rPr>
          <w:rFonts w:hint="default"/>
          <w:b w:val="0"/>
          <w:bCs w:val="0"/>
          <w:i w:val="0"/>
          <w:iCs w:val="0"/>
        </w:rPr>
      </w:lvl>
    </w:lvlOverride>
  </w:num>
  <w:num w:numId="26">
    <w:abstractNumId w:val="20"/>
  </w:num>
  <w:num w:numId="27">
    <w:abstractNumId w:val="6"/>
  </w:num>
  <w:num w:numId="28">
    <w:abstractNumId w:val="6"/>
  </w:num>
  <w:num w:numId="29">
    <w:abstractNumId w:val="5"/>
  </w:num>
  <w:num w:numId="30">
    <w:abstractNumId w:val="6"/>
  </w:num>
  <w:num w:numId="31">
    <w:abstractNumId w:val="9"/>
  </w:num>
  <w:num w:numId="32">
    <w:abstractNumId w:val="6"/>
  </w:num>
  <w:num w:numId="33">
    <w:abstractNumId w:val="6"/>
  </w:num>
  <w:num w:numId="34">
    <w:abstractNumId w:val="11"/>
  </w:num>
  <w:num w:numId="35">
    <w:abstractNumId w:val="10"/>
  </w:num>
  <w:num w:numId="36">
    <w:abstractNumId w:val="22"/>
  </w:num>
  <w:num w:numId="37">
    <w:abstractNumId w:val="24"/>
  </w:num>
  <w:num w:numId="38">
    <w:abstractNumId w:val="1"/>
  </w:num>
  <w:num w:numId="39">
    <w:abstractNumId w:val="0"/>
  </w:num>
  <w:num w:numId="40">
    <w:abstractNumId w:val="7"/>
  </w:num>
  <w:num w:numId="41">
    <w:abstractNumId w:val="6"/>
  </w:num>
  <w:num w:numId="42">
    <w:abstractNumId w:val="6"/>
  </w:num>
  <w:num w:numId="43">
    <w:abstractNumId w:val="7"/>
  </w:num>
  <w:num w:numId="44">
    <w:abstractNumId w:val="7"/>
  </w:num>
  <w:num w:numId="45">
    <w:abstractNumId w:val="13"/>
  </w:num>
  <w:num w:numId="46">
    <w:abstractNumId w:val="14"/>
  </w:num>
  <w:num w:numId="47">
    <w:abstractNumId w:val="8"/>
  </w:num>
  <w:num w:numId="48">
    <w:abstractNumId w:val="23"/>
  </w:num>
  <w:num w:numId="49">
    <w:abstractNumId w:val="16"/>
  </w:num>
  <w:num w:numId="50">
    <w:abstractNumId w:val="7"/>
  </w:num>
  <w:num w:numId="51">
    <w:abstractNumId w:val="7"/>
  </w:num>
  <w:num w:numId="52">
    <w:abstractNumId w:val="7"/>
  </w:num>
  <w:num w:numId="53">
    <w:abstractNumId w:val="7"/>
  </w:num>
  <w:num w:numId="54">
    <w:abstractNumId w:val="7"/>
  </w:num>
  <w:num w:numId="55">
    <w:abstractNumId w:val="6"/>
  </w:num>
  <w:num w:numId="56">
    <w:abstractNumId w:val="7"/>
  </w:num>
  <w:num w:numId="57">
    <w:abstractNumId w:val="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116"/>
    <w:rsid w:val="00000554"/>
    <w:rsid w:val="0000063C"/>
    <w:rsid w:val="00000BFC"/>
    <w:rsid w:val="00000D1C"/>
    <w:rsid w:val="000015F6"/>
    <w:rsid w:val="00001B9E"/>
    <w:rsid w:val="000024ED"/>
    <w:rsid w:val="000031A0"/>
    <w:rsid w:val="00003241"/>
    <w:rsid w:val="0000326C"/>
    <w:rsid w:val="000036D5"/>
    <w:rsid w:val="00003A43"/>
    <w:rsid w:val="0000452D"/>
    <w:rsid w:val="00004DC8"/>
    <w:rsid w:val="00004E5E"/>
    <w:rsid w:val="00005AE8"/>
    <w:rsid w:val="00005C91"/>
    <w:rsid w:val="00005D87"/>
    <w:rsid w:val="00005F40"/>
    <w:rsid w:val="00006746"/>
    <w:rsid w:val="0000749B"/>
    <w:rsid w:val="00007656"/>
    <w:rsid w:val="00007967"/>
    <w:rsid w:val="00007FC1"/>
    <w:rsid w:val="00010319"/>
    <w:rsid w:val="00010493"/>
    <w:rsid w:val="000107DF"/>
    <w:rsid w:val="00010E4F"/>
    <w:rsid w:val="00011011"/>
    <w:rsid w:val="00011C32"/>
    <w:rsid w:val="00012790"/>
    <w:rsid w:val="00012852"/>
    <w:rsid w:val="00012ED6"/>
    <w:rsid w:val="00013378"/>
    <w:rsid w:val="0001337E"/>
    <w:rsid w:val="00013802"/>
    <w:rsid w:val="00013F49"/>
    <w:rsid w:val="0001524F"/>
    <w:rsid w:val="00015516"/>
    <w:rsid w:val="00015913"/>
    <w:rsid w:val="00016421"/>
    <w:rsid w:val="000167ED"/>
    <w:rsid w:val="00016D06"/>
    <w:rsid w:val="00016DDB"/>
    <w:rsid w:val="00016FE0"/>
    <w:rsid w:val="000175D3"/>
    <w:rsid w:val="000179E6"/>
    <w:rsid w:val="00017A35"/>
    <w:rsid w:val="00017B8A"/>
    <w:rsid w:val="00020715"/>
    <w:rsid w:val="000207C0"/>
    <w:rsid w:val="00020A5E"/>
    <w:rsid w:val="00020FF5"/>
    <w:rsid w:val="000219D2"/>
    <w:rsid w:val="00021DAA"/>
    <w:rsid w:val="00022726"/>
    <w:rsid w:val="00022D6E"/>
    <w:rsid w:val="00023005"/>
    <w:rsid w:val="00023D46"/>
    <w:rsid w:val="000246E0"/>
    <w:rsid w:val="000246F0"/>
    <w:rsid w:val="00025975"/>
    <w:rsid w:val="00025FC5"/>
    <w:rsid w:val="0002607C"/>
    <w:rsid w:val="00026DC9"/>
    <w:rsid w:val="000274A8"/>
    <w:rsid w:val="00027614"/>
    <w:rsid w:val="0002765E"/>
    <w:rsid w:val="00027A68"/>
    <w:rsid w:val="00027D14"/>
    <w:rsid w:val="00027D57"/>
    <w:rsid w:val="00027ECA"/>
    <w:rsid w:val="00030387"/>
    <w:rsid w:val="00030AB1"/>
    <w:rsid w:val="00031837"/>
    <w:rsid w:val="00031AFC"/>
    <w:rsid w:val="00031CF6"/>
    <w:rsid w:val="00031D2A"/>
    <w:rsid w:val="00032A33"/>
    <w:rsid w:val="00032AE4"/>
    <w:rsid w:val="00032CE9"/>
    <w:rsid w:val="00033346"/>
    <w:rsid w:val="000333E3"/>
    <w:rsid w:val="00033C39"/>
    <w:rsid w:val="00033CDA"/>
    <w:rsid w:val="000341B4"/>
    <w:rsid w:val="000344FB"/>
    <w:rsid w:val="00034906"/>
    <w:rsid w:val="00035152"/>
    <w:rsid w:val="000351DB"/>
    <w:rsid w:val="000356D4"/>
    <w:rsid w:val="00035866"/>
    <w:rsid w:val="00035A64"/>
    <w:rsid w:val="00035E2D"/>
    <w:rsid w:val="00036124"/>
    <w:rsid w:val="00036130"/>
    <w:rsid w:val="00037C4E"/>
    <w:rsid w:val="00040058"/>
    <w:rsid w:val="0004022D"/>
    <w:rsid w:val="000406F4"/>
    <w:rsid w:val="00040786"/>
    <w:rsid w:val="000408A3"/>
    <w:rsid w:val="00041348"/>
    <w:rsid w:val="00041F9A"/>
    <w:rsid w:val="00042836"/>
    <w:rsid w:val="000429FF"/>
    <w:rsid w:val="00042D5B"/>
    <w:rsid w:val="0004321B"/>
    <w:rsid w:val="00043477"/>
    <w:rsid w:val="00043E8E"/>
    <w:rsid w:val="00043FFC"/>
    <w:rsid w:val="0004430F"/>
    <w:rsid w:val="0004443A"/>
    <w:rsid w:val="00044622"/>
    <w:rsid w:val="00044D24"/>
    <w:rsid w:val="000452B9"/>
    <w:rsid w:val="000462FC"/>
    <w:rsid w:val="00046C78"/>
    <w:rsid w:val="0004713E"/>
    <w:rsid w:val="0004734E"/>
    <w:rsid w:val="00047FF2"/>
    <w:rsid w:val="0005061E"/>
    <w:rsid w:val="00050B13"/>
    <w:rsid w:val="00050F30"/>
    <w:rsid w:val="000514FC"/>
    <w:rsid w:val="00051B40"/>
    <w:rsid w:val="00051D2C"/>
    <w:rsid w:val="0005208D"/>
    <w:rsid w:val="00052C89"/>
    <w:rsid w:val="00053610"/>
    <w:rsid w:val="00054260"/>
    <w:rsid w:val="00054A8C"/>
    <w:rsid w:val="00054CEF"/>
    <w:rsid w:val="00054F49"/>
    <w:rsid w:val="00055422"/>
    <w:rsid w:val="00055A76"/>
    <w:rsid w:val="00055B1E"/>
    <w:rsid w:val="00055F39"/>
    <w:rsid w:val="00056D07"/>
    <w:rsid w:val="000570B9"/>
    <w:rsid w:val="00057421"/>
    <w:rsid w:val="000575B2"/>
    <w:rsid w:val="0006011B"/>
    <w:rsid w:val="00060130"/>
    <w:rsid w:val="000601D3"/>
    <w:rsid w:val="0006030E"/>
    <w:rsid w:val="00060493"/>
    <w:rsid w:val="00060498"/>
    <w:rsid w:val="000606B3"/>
    <w:rsid w:val="00060951"/>
    <w:rsid w:val="00060B54"/>
    <w:rsid w:val="00060C05"/>
    <w:rsid w:val="00061B66"/>
    <w:rsid w:val="000625B2"/>
    <w:rsid w:val="00062738"/>
    <w:rsid w:val="00062C67"/>
    <w:rsid w:val="00062CEA"/>
    <w:rsid w:val="00062F79"/>
    <w:rsid w:val="000630E4"/>
    <w:rsid w:val="00063601"/>
    <w:rsid w:val="00063618"/>
    <w:rsid w:val="00063851"/>
    <w:rsid w:val="00063B62"/>
    <w:rsid w:val="0006412E"/>
    <w:rsid w:val="000645E3"/>
    <w:rsid w:val="000647C6"/>
    <w:rsid w:val="00064B5F"/>
    <w:rsid w:val="00064C19"/>
    <w:rsid w:val="00064C86"/>
    <w:rsid w:val="00064E06"/>
    <w:rsid w:val="00065AF7"/>
    <w:rsid w:val="00065B68"/>
    <w:rsid w:val="00065E78"/>
    <w:rsid w:val="00066150"/>
    <w:rsid w:val="000666D5"/>
    <w:rsid w:val="00066708"/>
    <w:rsid w:val="000668AF"/>
    <w:rsid w:val="00066A63"/>
    <w:rsid w:val="00066AAD"/>
    <w:rsid w:val="00066D9E"/>
    <w:rsid w:val="00066F96"/>
    <w:rsid w:val="00067018"/>
    <w:rsid w:val="00067C16"/>
    <w:rsid w:val="00067F5E"/>
    <w:rsid w:val="00071D25"/>
    <w:rsid w:val="00071FC7"/>
    <w:rsid w:val="00072174"/>
    <w:rsid w:val="000725F7"/>
    <w:rsid w:val="00072E70"/>
    <w:rsid w:val="000732FB"/>
    <w:rsid w:val="0007377E"/>
    <w:rsid w:val="00073784"/>
    <w:rsid w:val="00073FCC"/>
    <w:rsid w:val="000742ED"/>
    <w:rsid w:val="0007441A"/>
    <w:rsid w:val="000745A8"/>
    <w:rsid w:val="00074FEA"/>
    <w:rsid w:val="0007621B"/>
    <w:rsid w:val="00076AF3"/>
    <w:rsid w:val="00076CBC"/>
    <w:rsid w:val="00076FC6"/>
    <w:rsid w:val="00077571"/>
    <w:rsid w:val="0007765F"/>
    <w:rsid w:val="0007786D"/>
    <w:rsid w:val="00077C19"/>
    <w:rsid w:val="000801C4"/>
    <w:rsid w:val="000805FB"/>
    <w:rsid w:val="000806D6"/>
    <w:rsid w:val="00081110"/>
    <w:rsid w:val="0008231E"/>
    <w:rsid w:val="00082507"/>
    <w:rsid w:val="000829FD"/>
    <w:rsid w:val="00082CF0"/>
    <w:rsid w:val="00082DF6"/>
    <w:rsid w:val="00084265"/>
    <w:rsid w:val="00084A16"/>
    <w:rsid w:val="00084E20"/>
    <w:rsid w:val="000850E0"/>
    <w:rsid w:val="0008567A"/>
    <w:rsid w:val="000857B0"/>
    <w:rsid w:val="000868E1"/>
    <w:rsid w:val="00086C24"/>
    <w:rsid w:val="0008747A"/>
    <w:rsid w:val="00087609"/>
    <w:rsid w:val="00087F47"/>
    <w:rsid w:val="00087FE9"/>
    <w:rsid w:val="0009004A"/>
    <w:rsid w:val="00090A2C"/>
    <w:rsid w:val="00090A87"/>
    <w:rsid w:val="0009201E"/>
    <w:rsid w:val="000927A1"/>
    <w:rsid w:val="0009338A"/>
    <w:rsid w:val="00093623"/>
    <w:rsid w:val="00094553"/>
    <w:rsid w:val="00094624"/>
    <w:rsid w:val="000946D6"/>
    <w:rsid w:val="00094A73"/>
    <w:rsid w:val="00095955"/>
    <w:rsid w:val="00095C76"/>
    <w:rsid w:val="00095C7D"/>
    <w:rsid w:val="00095E1C"/>
    <w:rsid w:val="000962AA"/>
    <w:rsid w:val="00096E68"/>
    <w:rsid w:val="000973B2"/>
    <w:rsid w:val="000976AF"/>
    <w:rsid w:val="00097EE9"/>
    <w:rsid w:val="000A00D5"/>
    <w:rsid w:val="000A0244"/>
    <w:rsid w:val="000A0C5C"/>
    <w:rsid w:val="000A111E"/>
    <w:rsid w:val="000A1F76"/>
    <w:rsid w:val="000A242F"/>
    <w:rsid w:val="000A26FD"/>
    <w:rsid w:val="000A27BD"/>
    <w:rsid w:val="000A27F6"/>
    <w:rsid w:val="000A2D48"/>
    <w:rsid w:val="000A2F5A"/>
    <w:rsid w:val="000A3230"/>
    <w:rsid w:val="000A32C0"/>
    <w:rsid w:val="000A33F2"/>
    <w:rsid w:val="000A3837"/>
    <w:rsid w:val="000A4CC5"/>
    <w:rsid w:val="000A4EB2"/>
    <w:rsid w:val="000A5549"/>
    <w:rsid w:val="000A764D"/>
    <w:rsid w:val="000A7753"/>
    <w:rsid w:val="000A7B6C"/>
    <w:rsid w:val="000B00D7"/>
    <w:rsid w:val="000B0AC9"/>
    <w:rsid w:val="000B0ACB"/>
    <w:rsid w:val="000B1257"/>
    <w:rsid w:val="000B19E8"/>
    <w:rsid w:val="000B21D4"/>
    <w:rsid w:val="000B2633"/>
    <w:rsid w:val="000B2960"/>
    <w:rsid w:val="000B2ABF"/>
    <w:rsid w:val="000B2F11"/>
    <w:rsid w:val="000B3B0E"/>
    <w:rsid w:val="000B3D45"/>
    <w:rsid w:val="000B4536"/>
    <w:rsid w:val="000B4B38"/>
    <w:rsid w:val="000B4BEC"/>
    <w:rsid w:val="000B53BE"/>
    <w:rsid w:val="000B5683"/>
    <w:rsid w:val="000B6318"/>
    <w:rsid w:val="000B64A0"/>
    <w:rsid w:val="000B6530"/>
    <w:rsid w:val="000B65B1"/>
    <w:rsid w:val="000B6790"/>
    <w:rsid w:val="000B6B3E"/>
    <w:rsid w:val="000B760F"/>
    <w:rsid w:val="000B7D6E"/>
    <w:rsid w:val="000B7EB6"/>
    <w:rsid w:val="000C014E"/>
    <w:rsid w:val="000C0155"/>
    <w:rsid w:val="000C0409"/>
    <w:rsid w:val="000C0D29"/>
    <w:rsid w:val="000C1534"/>
    <w:rsid w:val="000C1CD4"/>
    <w:rsid w:val="000C206C"/>
    <w:rsid w:val="000C228A"/>
    <w:rsid w:val="000C26DC"/>
    <w:rsid w:val="000C2B89"/>
    <w:rsid w:val="000C2E60"/>
    <w:rsid w:val="000C3051"/>
    <w:rsid w:val="000C3129"/>
    <w:rsid w:val="000C334A"/>
    <w:rsid w:val="000C34FC"/>
    <w:rsid w:val="000C3542"/>
    <w:rsid w:val="000C478E"/>
    <w:rsid w:val="000C5147"/>
    <w:rsid w:val="000C542E"/>
    <w:rsid w:val="000C563E"/>
    <w:rsid w:val="000C644C"/>
    <w:rsid w:val="000C67BF"/>
    <w:rsid w:val="000C6882"/>
    <w:rsid w:val="000C74BF"/>
    <w:rsid w:val="000C77FB"/>
    <w:rsid w:val="000C7C70"/>
    <w:rsid w:val="000C7DE8"/>
    <w:rsid w:val="000D01F3"/>
    <w:rsid w:val="000D0593"/>
    <w:rsid w:val="000D08B5"/>
    <w:rsid w:val="000D1036"/>
    <w:rsid w:val="000D143D"/>
    <w:rsid w:val="000D1AEE"/>
    <w:rsid w:val="000D1D07"/>
    <w:rsid w:val="000D22D1"/>
    <w:rsid w:val="000D2337"/>
    <w:rsid w:val="000D306A"/>
    <w:rsid w:val="000D3708"/>
    <w:rsid w:val="000D3DE3"/>
    <w:rsid w:val="000D4CC3"/>
    <w:rsid w:val="000D5037"/>
    <w:rsid w:val="000D535B"/>
    <w:rsid w:val="000D544D"/>
    <w:rsid w:val="000D557F"/>
    <w:rsid w:val="000D5CED"/>
    <w:rsid w:val="000D64E4"/>
    <w:rsid w:val="000D77B3"/>
    <w:rsid w:val="000D7C0E"/>
    <w:rsid w:val="000E0A67"/>
    <w:rsid w:val="000E37EF"/>
    <w:rsid w:val="000E3C00"/>
    <w:rsid w:val="000E3D33"/>
    <w:rsid w:val="000E432B"/>
    <w:rsid w:val="000E4997"/>
    <w:rsid w:val="000E4AB5"/>
    <w:rsid w:val="000E4D39"/>
    <w:rsid w:val="000E4F2C"/>
    <w:rsid w:val="000E521B"/>
    <w:rsid w:val="000E54AC"/>
    <w:rsid w:val="000E5771"/>
    <w:rsid w:val="000E706E"/>
    <w:rsid w:val="000E758A"/>
    <w:rsid w:val="000E797C"/>
    <w:rsid w:val="000F07ED"/>
    <w:rsid w:val="000F0A46"/>
    <w:rsid w:val="000F13A3"/>
    <w:rsid w:val="000F15B7"/>
    <w:rsid w:val="000F1F82"/>
    <w:rsid w:val="000F228C"/>
    <w:rsid w:val="000F2379"/>
    <w:rsid w:val="000F2672"/>
    <w:rsid w:val="000F294C"/>
    <w:rsid w:val="000F2E38"/>
    <w:rsid w:val="000F31A7"/>
    <w:rsid w:val="000F327E"/>
    <w:rsid w:val="000F3CD8"/>
    <w:rsid w:val="000F3D3B"/>
    <w:rsid w:val="000F4394"/>
    <w:rsid w:val="000F4475"/>
    <w:rsid w:val="000F47EB"/>
    <w:rsid w:val="000F4B18"/>
    <w:rsid w:val="000F4F27"/>
    <w:rsid w:val="000F53B1"/>
    <w:rsid w:val="000F58C7"/>
    <w:rsid w:val="000F5C3C"/>
    <w:rsid w:val="000F6791"/>
    <w:rsid w:val="000F67EB"/>
    <w:rsid w:val="000F6A29"/>
    <w:rsid w:val="000F7005"/>
    <w:rsid w:val="000F7030"/>
    <w:rsid w:val="000F7153"/>
    <w:rsid w:val="0010016E"/>
    <w:rsid w:val="0010037F"/>
    <w:rsid w:val="00100962"/>
    <w:rsid w:val="001009C6"/>
    <w:rsid w:val="00101D38"/>
    <w:rsid w:val="00101D45"/>
    <w:rsid w:val="001024F9"/>
    <w:rsid w:val="001025A7"/>
    <w:rsid w:val="0010265F"/>
    <w:rsid w:val="00102900"/>
    <w:rsid w:val="00102F04"/>
    <w:rsid w:val="00103207"/>
    <w:rsid w:val="00103476"/>
    <w:rsid w:val="00103626"/>
    <w:rsid w:val="00103E49"/>
    <w:rsid w:val="00103F60"/>
    <w:rsid w:val="001054A2"/>
    <w:rsid w:val="00105804"/>
    <w:rsid w:val="00105A48"/>
    <w:rsid w:val="00105CC1"/>
    <w:rsid w:val="00105E85"/>
    <w:rsid w:val="00106478"/>
    <w:rsid w:val="001064C7"/>
    <w:rsid w:val="0010693E"/>
    <w:rsid w:val="00106FDC"/>
    <w:rsid w:val="00107F56"/>
    <w:rsid w:val="00110166"/>
    <w:rsid w:val="001109BF"/>
    <w:rsid w:val="001109CA"/>
    <w:rsid w:val="00110E48"/>
    <w:rsid w:val="001112E3"/>
    <w:rsid w:val="00111A2D"/>
    <w:rsid w:val="00111CE1"/>
    <w:rsid w:val="00112258"/>
    <w:rsid w:val="00112941"/>
    <w:rsid w:val="00112B73"/>
    <w:rsid w:val="00112FB9"/>
    <w:rsid w:val="00113107"/>
    <w:rsid w:val="00113891"/>
    <w:rsid w:val="00113AB1"/>
    <w:rsid w:val="00113ADC"/>
    <w:rsid w:val="00113E15"/>
    <w:rsid w:val="0011427C"/>
    <w:rsid w:val="0011459A"/>
    <w:rsid w:val="001148EB"/>
    <w:rsid w:val="00114B18"/>
    <w:rsid w:val="00115509"/>
    <w:rsid w:val="001155A3"/>
    <w:rsid w:val="001156DA"/>
    <w:rsid w:val="001159C6"/>
    <w:rsid w:val="0011622F"/>
    <w:rsid w:val="0011665A"/>
    <w:rsid w:val="00116BDB"/>
    <w:rsid w:val="00116BEA"/>
    <w:rsid w:val="001171A6"/>
    <w:rsid w:val="00117719"/>
    <w:rsid w:val="001177A7"/>
    <w:rsid w:val="00117806"/>
    <w:rsid w:val="00117F3E"/>
    <w:rsid w:val="001201B8"/>
    <w:rsid w:val="00121D66"/>
    <w:rsid w:val="00121E37"/>
    <w:rsid w:val="001227A2"/>
    <w:rsid w:val="001239B9"/>
    <w:rsid w:val="001239BB"/>
    <w:rsid w:val="0012429E"/>
    <w:rsid w:val="00124776"/>
    <w:rsid w:val="00124B6C"/>
    <w:rsid w:val="00124FF0"/>
    <w:rsid w:val="001252D7"/>
    <w:rsid w:val="00125688"/>
    <w:rsid w:val="0012671E"/>
    <w:rsid w:val="00126BF6"/>
    <w:rsid w:val="00126D0B"/>
    <w:rsid w:val="0012738C"/>
    <w:rsid w:val="00127535"/>
    <w:rsid w:val="00130639"/>
    <w:rsid w:val="001314F5"/>
    <w:rsid w:val="00132393"/>
    <w:rsid w:val="001326BF"/>
    <w:rsid w:val="00132717"/>
    <w:rsid w:val="0013328A"/>
    <w:rsid w:val="00133375"/>
    <w:rsid w:val="001344EA"/>
    <w:rsid w:val="00134B4C"/>
    <w:rsid w:val="00135646"/>
    <w:rsid w:val="001356A7"/>
    <w:rsid w:val="00135A50"/>
    <w:rsid w:val="0013602B"/>
    <w:rsid w:val="00136EF1"/>
    <w:rsid w:val="00137969"/>
    <w:rsid w:val="00137B6C"/>
    <w:rsid w:val="00137E12"/>
    <w:rsid w:val="00140A42"/>
    <w:rsid w:val="00140B0F"/>
    <w:rsid w:val="001413F6"/>
    <w:rsid w:val="0014160A"/>
    <w:rsid w:val="001416DF"/>
    <w:rsid w:val="00141701"/>
    <w:rsid w:val="00141795"/>
    <w:rsid w:val="00141A4A"/>
    <w:rsid w:val="00141A65"/>
    <w:rsid w:val="00142329"/>
    <w:rsid w:val="0014289B"/>
    <w:rsid w:val="001429AC"/>
    <w:rsid w:val="001430E5"/>
    <w:rsid w:val="00143FB8"/>
    <w:rsid w:val="001440D8"/>
    <w:rsid w:val="00144233"/>
    <w:rsid w:val="00144CD0"/>
    <w:rsid w:val="00145178"/>
    <w:rsid w:val="0014598B"/>
    <w:rsid w:val="00145B44"/>
    <w:rsid w:val="00145E66"/>
    <w:rsid w:val="001460F8"/>
    <w:rsid w:val="0014629D"/>
    <w:rsid w:val="001464A4"/>
    <w:rsid w:val="00146947"/>
    <w:rsid w:val="00146B42"/>
    <w:rsid w:val="00146CB1"/>
    <w:rsid w:val="0014780A"/>
    <w:rsid w:val="00147AC9"/>
    <w:rsid w:val="00147D48"/>
    <w:rsid w:val="00150276"/>
    <w:rsid w:val="00150DF4"/>
    <w:rsid w:val="0015109E"/>
    <w:rsid w:val="00151AC2"/>
    <w:rsid w:val="00151D56"/>
    <w:rsid w:val="00152C96"/>
    <w:rsid w:val="00152F5F"/>
    <w:rsid w:val="001532CA"/>
    <w:rsid w:val="001534BE"/>
    <w:rsid w:val="001545CD"/>
    <w:rsid w:val="00154716"/>
    <w:rsid w:val="00154C77"/>
    <w:rsid w:val="00154E10"/>
    <w:rsid w:val="00154ED2"/>
    <w:rsid w:val="001550BE"/>
    <w:rsid w:val="00155645"/>
    <w:rsid w:val="00155EFE"/>
    <w:rsid w:val="001565FE"/>
    <w:rsid w:val="001569BA"/>
    <w:rsid w:val="00156FCA"/>
    <w:rsid w:val="00157552"/>
    <w:rsid w:val="00157FCF"/>
    <w:rsid w:val="001600E2"/>
    <w:rsid w:val="00160184"/>
    <w:rsid w:val="00160233"/>
    <w:rsid w:val="00160487"/>
    <w:rsid w:val="0016190A"/>
    <w:rsid w:val="00161DCD"/>
    <w:rsid w:val="001622AE"/>
    <w:rsid w:val="00162C59"/>
    <w:rsid w:val="00163222"/>
    <w:rsid w:val="00163452"/>
    <w:rsid w:val="00163457"/>
    <w:rsid w:val="00163622"/>
    <w:rsid w:val="00163803"/>
    <w:rsid w:val="00163A32"/>
    <w:rsid w:val="00164812"/>
    <w:rsid w:val="00164CCE"/>
    <w:rsid w:val="00165334"/>
    <w:rsid w:val="0016589F"/>
    <w:rsid w:val="0016642C"/>
    <w:rsid w:val="0016688A"/>
    <w:rsid w:val="00166C8B"/>
    <w:rsid w:val="0016719C"/>
    <w:rsid w:val="00167292"/>
    <w:rsid w:val="00167804"/>
    <w:rsid w:val="00170936"/>
    <w:rsid w:val="001709BC"/>
    <w:rsid w:val="00170C78"/>
    <w:rsid w:val="00171284"/>
    <w:rsid w:val="0017133D"/>
    <w:rsid w:val="00171BF1"/>
    <w:rsid w:val="001726C2"/>
    <w:rsid w:val="001727D8"/>
    <w:rsid w:val="001731F8"/>
    <w:rsid w:val="00173E66"/>
    <w:rsid w:val="001741A2"/>
    <w:rsid w:val="0017428E"/>
    <w:rsid w:val="00174D31"/>
    <w:rsid w:val="00174DB2"/>
    <w:rsid w:val="0017550D"/>
    <w:rsid w:val="0017560D"/>
    <w:rsid w:val="00175EA4"/>
    <w:rsid w:val="001773AF"/>
    <w:rsid w:val="00177CF3"/>
    <w:rsid w:val="001800C7"/>
    <w:rsid w:val="00180326"/>
    <w:rsid w:val="00180E13"/>
    <w:rsid w:val="001810D8"/>
    <w:rsid w:val="001814E4"/>
    <w:rsid w:val="00182B3B"/>
    <w:rsid w:val="00182C7C"/>
    <w:rsid w:val="00183E0E"/>
    <w:rsid w:val="0018415D"/>
    <w:rsid w:val="00184A40"/>
    <w:rsid w:val="0018534A"/>
    <w:rsid w:val="00185B5E"/>
    <w:rsid w:val="00186E76"/>
    <w:rsid w:val="001870A7"/>
    <w:rsid w:val="0018744B"/>
    <w:rsid w:val="0018744C"/>
    <w:rsid w:val="0019062D"/>
    <w:rsid w:val="001906DC"/>
    <w:rsid w:val="00190A66"/>
    <w:rsid w:val="00190F32"/>
    <w:rsid w:val="0019112D"/>
    <w:rsid w:val="001913B5"/>
    <w:rsid w:val="0019166E"/>
    <w:rsid w:val="00191A1C"/>
    <w:rsid w:val="00192035"/>
    <w:rsid w:val="001920CD"/>
    <w:rsid w:val="001922FA"/>
    <w:rsid w:val="00192886"/>
    <w:rsid w:val="00193365"/>
    <w:rsid w:val="00193397"/>
    <w:rsid w:val="001938CD"/>
    <w:rsid w:val="00193A43"/>
    <w:rsid w:val="001943B8"/>
    <w:rsid w:val="0019456F"/>
    <w:rsid w:val="001950E6"/>
    <w:rsid w:val="00195628"/>
    <w:rsid w:val="00195D1C"/>
    <w:rsid w:val="001968D2"/>
    <w:rsid w:val="00196BF1"/>
    <w:rsid w:val="00196CA8"/>
    <w:rsid w:val="0019719A"/>
    <w:rsid w:val="001972FC"/>
    <w:rsid w:val="00197CDF"/>
    <w:rsid w:val="001A00B1"/>
    <w:rsid w:val="001A02BE"/>
    <w:rsid w:val="001A045D"/>
    <w:rsid w:val="001A0983"/>
    <w:rsid w:val="001A11D4"/>
    <w:rsid w:val="001A11E0"/>
    <w:rsid w:val="001A144B"/>
    <w:rsid w:val="001A180B"/>
    <w:rsid w:val="001A1B37"/>
    <w:rsid w:val="001A2768"/>
    <w:rsid w:val="001A27C4"/>
    <w:rsid w:val="001A2C68"/>
    <w:rsid w:val="001A3DDE"/>
    <w:rsid w:val="001A4148"/>
    <w:rsid w:val="001A4335"/>
    <w:rsid w:val="001A476C"/>
    <w:rsid w:val="001A4FAC"/>
    <w:rsid w:val="001A57BE"/>
    <w:rsid w:val="001A57C7"/>
    <w:rsid w:val="001A6963"/>
    <w:rsid w:val="001A77EA"/>
    <w:rsid w:val="001A7ADE"/>
    <w:rsid w:val="001B0465"/>
    <w:rsid w:val="001B07FA"/>
    <w:rsid w:val="001B1306"/>
    <w:rsid w:val="001B16D4"/>
    <w:rsid w:val="001B1F4A"/>
    <w:rsid w:val="001B2944"/>
    <w:rsid w:val="001B34CE"/>
    <w:rsid w:val="001B393C"/>
    <w:rsid w:val="001B39D1"/>
    <w:rsid w:val="001B3A0F"/>
    <w:rsid w:val="001B3B92"/>
    <w:rsid w:val="001B3EFD"/>
    <w:rsid w:val="001B554C"/>
    <w:rsid w:val="001B5958"/>
    <w:rsid w:val="001B5D1B"/>
    <w:rsid w:val="001B6B15"/>
    <w:rsid w:val="001B735F"/>
    <w:rsid w:val="001B7B48"/>
    <w:rsid w:val="001C0A2C"/>
    <w:rsid w:val="001C174F"/>
    <w:rsid w:val="001C1B11"/>
    <w:rsid w:val="001C1FB9"/>
    <w:rsid w:val="001C2CDA"/>
    <w:rsid w:val="001C34EA"/>
    <w:rsid w:val="001C48C2"/>
    <w:rsid w:val="001C4CA2"/>
    <w:rsid w:val="001C5324"/>
    <w:rsid w:val="001C5437"/>
    <w:rsid w:val="001C55A1"/>
    <w:rsid w:val="001C5711"/>
    <w:rsid w:val="001C575D"/>
    <w:rsid w:val="001C5CBF"/>
    <w:rsid w:val="001C5DC8"/>
    <w:rsid w:val="001C65D2"/>
    <w:rsid w:val="001C736E"/>
    <w:rsid w:val="001D05F3"/>
    <w:rsid w:val="001D05FF"/>
    <w:rsid w:val="001D0928"/>
    <w:rsid w:val="001D188C"/>
    <w:rsid w:val="001D1A5C"/>
    <w:rsid w:val="001D1C0E"/>
    <w:rsid w:val="001D2FF5"/>
    <w:rsid w:val="001D3307"/>
    <w:rsid w:val="001D3DE2"/>
    <w:rsid w:val="001D43C9"/>
    <w:rsid w:val="001D4487"/>
    <w:rsid w:val="001D49D7"/>
    <w:rsid w:val="001D4AEF"/>
    <w:rsid w:val="001D4D47"/>
    <w:rsid w:val="001D4F24"/>
    <w:rsid w:val="001D5384"/>
    <w:rsid w:val="001D5601"/>
    <w:rsid w:val="001D5AEA"/>
    <w:rsid w:val="001D5FBB"/>
    <w:rsid w:val="001D628E"/>
    <w:rsid w:val="001D62B1"/>
    <w:rsid w:val="001D69D1"/>
    <w:rsid w:val="001D73E7"/>
    <w:rsid w:val="001D7B42"/>
    <w:rsid w:val="001D7D5A"/>
    <w:rsid w:val="001E0117"/>
    <w:rsid w:val="001E01BF"/>
    <w:rsid w:val="001E0221"/>
    <w:rsid w:val="001E078D"/>
    <w:rsid w:val="001E12E7"/>
    <w:rsid w:val="001E1DFB"/>
    <w:rsid w:val="001E2472"/>
    <w:rsid w:val="001E24D5"/>
    <w:rsid w:val="001E2AC0"/>
    <w:rsid w:val="001E4430"/>
    <w:rsid w:val="001E4527"/>
    <w:rsid w:val="001E510E"/>
    <w:rsid w:val="001E56D5"/>
    <w:rsid w:val="001E5CDC"/>
    <w:rsid w:val="001E5E56"/>
    <w:rsid w:val="001E6499"/>
    <w:rsid w:val="001E6CD7"/>
    <w:rsid w:val="001E6D9D"/>
    <w:rsid w:val="001F0E70"/>
    <w:rsid w:val="001F17EF"/>
    <w:rsid w:val="001F1E0F"/>
    <w:rsid w:val="001F352F"/>
    <w:rsid w:val="001F35BE"/>
    <w:rsid w:val="001F3ECA"/>
    <w:rsid w:val="001F41A3"/>
    <w:rsid w:val="001F4298"/>
    <w:rsid w:val="001F44A4"/>
    <w:rsid w:val="001F4F2B"/>
    <w:rsid w:val="001F670B"/>
    <w:rsid w:val="001F6AA8"/>
    <w:rsid w:val="001F6FFC"/>
    <w:rsid w:val="0020011E"/>
    <w:rsid w:val="00200336"/>
    <w:rsid w:val="00200BAB"/>
    <w:rsid w:val="002018DA"/>
    <w:rsid w:val="002023E5"/>
    <w:rsid w:val="00202D7A"/>
    <w:rsid w:val="00203A26"/>
    <w:rsid w:val="002042A5"/>
    <w:rsid w:val="00204460"/>
    <w:rsid w:val="002049CE"/>
    <w:rsid w:val="002052C3"/>
    <w:rsid w:val="002053D5"/>
    <w:rsid w:val="002057EF"/>
    <w:rsid w:val="00205FF4"/>
    <w:rsid w:val="00206522"/>
    <w:rsid w:val="00206824"/>
    <w:rsid w:val="00206BA5"/>
    <w:rsid w:val="00206C57"/>
    <w:rsid w:val="00207B63"/>
    <w:rsid w:val="0021069E"/>
    <w:rsid w:val="00210987"/>
    <w:rsid w:val="00210C4B"/>
    <w:rsid w:val="00210E5C"/>
    <w:rsid w:val="002111D9"/>
    <w:rsid w:val="00211256"/>
    <w:rsid w:val="00211578"/>
    <w:rsid w:val="00211DF2"/>
    <w:rsid w:val="00211FF3"/>
    <w:rsid w:val="00212692"/>
    <w:rsid w:val="002132E7"/>
    <w:rsid w:val="00213CC9"/>
    <w:rsid w:val="00213D74"/>
    <w:rsid w:val="002144D7"/>
    <w:rsid w:val="00215410"/>
    <w:rsid w:val="002154E2"/>
    <w:rsid w:val="00215876"/>
    <w:rsid w:val="002159B9"/>
    <w:rsid w:val="00215B91"/>
    <w:rsid w:val="00215F9C"/>
    <w:rsid w:val="002166E1"/>
    <w:rsid w:val="00217C78"/>
    <w:rsid w:val="00220579"/>
    <w:rsid w:val="00220B76"/>
    <w:rsid w:val="0022243D"/>
    <w:rsid w:val="002224F2"/>
    <w:rsid w:val="0022271D"/>
    <w:rsid w:val="0022284F"/>
    <w:rsid w:val="00222917"/>
    <w:rsid w:val="00222AEE"/>
    <w:rsid w:val="002253DF"/>
    <w:rsid w:val="00225E02"/>
    <w:rsid w:val="002264B4"/>
    <w:rsid w:val="0022723E"/>
    <w:rsid w:val="002272AA"/>
    <w:rsid w:val="00227397"/>
    <w:rsid w:val="00227C26"/>
    <w:rsid w:val="002301EE"/>
    <w:rsid w:val="00230438"/>
    <w:rsid w:val="00230630"/>
    <w:rsid w:val="00230A1B"/>
    <w:rsid w:val="00230BF5"/>
    <w:rsid w:val="00230C17"/>
    <w:rsid w:val="00231C46"/>
    <w:rsid w:val="00232242"/>
    <w:rsid w:val="00232247"/>
    <w:rsid w:val="00232AE7"/>
    <w:rsid w:val="00232AE9"/>
    <w:rsid w:val="00232CA7"/>
    <w:rsid w:val="00232E72"/>
    <w:rsid w:val="00233158"/>
    <w:rsid w:val="00233324"/>
    <w:rsid w:val="00233860"/>
    <w:rsid w:val="00233A5C"/>
    <w:rsid w:val="00233DAE"/>
    <w:rsid w:val="00233EC8"/>
    <w:rsid w:val="0023409D"/>
    <w:rsid w:val="00234676"/>
    <w:rsid w:val="00234703"/>
    <w:rsid w:val="00234711"/>
    <w:rsid w:val="002347B4"/>
    <w:rsid w:val="00234CCF"/>
    <w:rsid w:val="00234FF0"/>
    <w:rsid w:val="0023535F"/>
    <w:rsid w:val="00235F4C"/>
    <w:rsid w:val="00236124"/>
    <w:rsid w:val="002361B0"/>
    <w:rsid w:val="002363F0"/>
    <w:rsid w:val="00236599"/>
    <w:rsid w:val="00236DAC"/>
    <w:rsid w:val="00236ED0"/>
    <w:rsid w:val="00237291"/>
    <w:rsid w:val="002372D3"/>
    <w:rsid w:val="002376DA"/>
    <w:rsid w:val="00237C0D"/>
    <w:rsid w:val="00237DF2"/>
    <w:rsid w:val="00240301"/>
    <w:rsid w:val="002406CB"/>
    <w:rsid w:val="00240A6B"/>
    <w:rsid w:val="00241160"/>
    <w:rsid w:val="00241D76"/>
    <w:rsid w:val="002425D9"/>
    <w:rsid w:val="00242B2A"/>
    <w:rsid w:val="00243741"/>
    <w:rsid w:val="00243849"/>
    <w:rsid w:val="00243910"/>
    <w:rsid w:val="00243D60"/>
    <w:rsid w:val="00243EEF"/>
    <w:rsid w:val="00244088"/>
    <w:rsid w:val="0024414F"/>
    <w:rsid w:val="00244A64"/>
    <w:rsid w:val="00245126"/>
    <w:rsid w:val="002461EA"/>
    <w:rsid w:val="00246514"/>
    <w:rsid w:val="00246697"/>
    <w:rsid w:val="002467CD"/>
    <w:rsid w:val="00246871"/>
    <w:rsid w:val="002470CC"/>
    <w:rsid w:val="0024784F"/>
    <w:rsid w:val="00250844"/>
    <w:rsid w:val="0025087E"/>
    <w:rsid w:val="00250DB4"/>
    <w:rsid w:val="00251111"/>
    <w:rsid w:val="0025148C"/>
    <w:rsid w:val="0025197F"/>
    <w:rsid w:val="00252DD0"/>
    <w:rsid w:val="002533D3"/>
    <w:rsid w:val="002535C3"/>
    <w:rsid w:val="00253C57"/>
    <w:rsid w:val="00253D45"/>
    <w:rsid w:val="0025403A"/>
    <w:rsid w:val="002541BA"/>
    <w:rsid w:val="00254560"/>
    <w:rsid w:val="00254CED"/>
    <w:rsid w:val="00254F1C"/>
    <w:rsid w:val="002551D6"/>
    <w:rsid w:val="00255D55"/>
    <w:rsid w:val="00255EEE"/>
    <w:rsid w:val="002562CE"/>
    <w:rsid w:val="00256AC0"/>
    <w:rsid w:val="002573D2"/>
    <w:rsid w:val="002602A0"/>
    <w:rsid w:val="00260B8B"/>
    <w:rsid w:val="002614E9"/>
    <w:rsid w:val="00261A52"/>
    <w:rsid w:val="00261D8D"/>
    <w:rsid w:val="00261F19"/>
    <w:rsid w:val="00262423"/>
    <w:rsid w:val="00262474"/>
    <w:rsid w:val="002626DB"/>
    <w:rsid w:val="002629E2"/>
    <w:rsid w:val="00263107"/>
    <w:rsid w:val="002641E3"/>
    <w:rsid w:val="002642C2"/>
    <w:rsid w:val="00264845"/>
    <w:rsid w:val="002653FF"/>
    <w:rsid w:val="002656C2"/>
    <w:rsid w:val="00265A07"/>
    <w:rsid w:val="00265BEF"/>
    <w:rsid w:val="0026682A"/>
    <w:rsid w:val="00267DAD"/>
    <w:rsid w:val="00267E7F"/>
    <w:rsid w:val="0027000D"/>
    <w:rsid w:val="002700EE"/>
    <w:rsid w:val="002701E7"/>
    <w:rsid w:val="002704BC"/>
    <w:rsid w:val="00270E58"/>
    <w:rsid w:val="00271098"/>
    <w:rsid w:val="00271A28"/>
    <w:rsid w:val="00271AE6"/>
    <w:rsid w:val="00272B45"/>
    <w:rsid w:val="00272B6D"/>
    <w:rsid w:val="0027322A"/>
    <w:rsid w:val="0027332B"/>
    <w:rsid w:val="00273A15"/>
    <w:rsid w:val="00274082"/>
    <w:rsid w:val="00274120"/>
    <w:rsid w:val="002743CE"/>
    <w:rsid w:val="0027451F"/>
    <w:rsid w:val="00274844"/>
    <w:rsid w:val="0027484B"/>
    <w:rsid w:val="002748DD"/>
    <w:rsid w:val="00274D5C"/>
    <w:rsid w:val="00274F5A"/>
    <w:rsid w:val="00274F77"/>
    <w:rsid w:val="00275052"/>
    <w:rsid w:val="0027516E"/>
    <w:rsid w:val="0027553D"/>
    <w:rsid w:val="00275A1D"/>
    <w:rsid w:val="00276649"/>
    <w:rsid w:val="00276753"/>
    <w:rsid w:val="00276BDB"/>
    <w:rsid w:val="00276F89"/>
    <w:rsid w:val="00277504"/>
    <w:rsid w:val="00277809"/>
    <w:rsid w:val="00277845"/>
    <w:rsid w:val="00280544"/>
    <w:rsid w:val="0028064B"/>
    <w:rsid w:val="00280871"/>
    <w:rsid w:val="002809AD"/>
    <w:rsid w:val="00280DFF"/>
    <w:rsid w:val="00280FA9"/>
    <w:rsid w:val="00280FD4"/>
    <w:rsid w:val="00282D5F"/>
    <w:rsid w:val="00283884"/>
    <w:rsid w:val="0028420F"/>
    <w:rsid w:val="0028489A"/>
    <w:rsid w:val="002849AA"/>
    <w:rsid w:val="00284AF1"/>
    <w:rsid w:val="00284FA2"/>
    <w:rsid w:val="00285047"/>
    <w:rsid w:val="002851C9"/>
    <w:rsid w:val="002852E9"/>
    <w:rsid w:val="00285587"/>
    <w:rsid w:val="00285B8C"/>
    <w:rsid w:val="00285B92"/>
    <w:rsid w:val="002863A9"/>
    <w:rsid w:val="002872AB"/>
    <w:rsid w:val="002877EA"/>
    <w:rsid w:val="00290E88"/>
    <w:rsid w:val="002921FD"/>
    <w:rsid w:val="002925CE"/>
    <w:rsid w:val="00292733"/>
    <w:rsid w:val="00293048"/>
    <w:rsid w:val="002935AC"/>
    <w:rsid w:val="00293642"/>
    <w:rsid w:val="00293B45"/>
    <w:rsid w:val="00293B58"/>
    <w:rsid w:val="00293DAA"/>
    <w:rsid w:val="00293E67"/>
    <w:rsid w:val="002942AC"/>
    <w:rsid w:val="0029446D"/>
    <w:rsid w:val="002945E4"/>
    <w:rsid w:val="00294957"/>
    <w:rsid w:val="00294E77"/>
    <w:rsid w:val="00294FA7"/>
    <w:rsid w:val="00295088"/>
    <w:rsid w:val="0029536C"/>
    <w:rsid w:val="00296159"/>
    <w:rsid w:val="00296549"/>
    <w:rsid w:val="0029676B"/>
    <w:rsid w:val="00296A38"/>
    <w:rsid w:val="00297019"/>
    <w:rsid w:val="00297081"/>
    <w:rsid w:val="002972C6"/>
    <w:rsid w:val="0029763E"/>
    <w:rsid w:val="00297FA3"/>
    <w:rsid w:val="002A06B9"/>
    <w:rsid w:val="002A10E5"/>
    <w:rsid w:val="002A1468"/>
    <w:rsid w:val="002A1645"/>
    <w:rsid w:val="002A16D3"/>
    <w:rsid w:val="002A1AA1"/>
    <w:rsid w:val="002A2137"/>
    <w:rsid w:val="002A21FF"/>
    <w:rsid w:val="002A2504"/>
    <w:rsid w:val="002A2B9B"/>
    <w:rsid w:val="002A2E0F"/>
    <w:rsid w:val="002A3969"/>
    <w:rsid w:val="002A3AE3"/>
    <w:rsid w:val="002A3BA5"/>
    <w:rsid w:val="002A3EB8"/>
    <w:rsid w:val="002A436B"/>
    <w:rsid w:val="002A43E4"/>
    <w:rsid w:val="002A47A6"/>
    <w:rsid w:val="002A4AAD"/>
    <w:rsid w:val="002A4B9D"/>
    <w:rsid w:val="002A4DB7"/>
    <w:rsid w:val="002A4DBF"/>
    <w:rsid w:val="002A50E1"/>
    <w:rsid w:val="002A52E5"/>
    <w:rsid w:val="002A5C52"/>
    <w:rsid w:val="002A6009"/>
    <w:rsid w:val="002A6573"/>
    <w:rsid w:val="002A7154"/>
    <w:rsid w:val="002A7586"/>
    <w:rsid w:val="002B0494"/>
    <w:rsid w:val="002B0550"/>
    <w:rsid w:val="002B06E6"/>
    <w:rsid w:val="002B080D"/>
    <w:rsid w:val="002B0B67"/>
    <w:rsid w:val="002B0FC6"/>
    <w:rsid w:val="002B1272"/>
    <w:rsid w:val="002B13DC"/>
    <w:rsid w:val="002B1D9E"/>
    <w:rsid w:val="002B20A3"/>
    <w:rsid w:val="002B27A1"/>
    <w:rsid w:val="002B2C58"/>
    <w:rsid w:val="002B2CCE"/>
    <w:rsid w:val="002B543F"/>
    <w:rsid w:val="002B55BF"/>
    <w:rsid w:val="002B59DE"/>
    <w:rsid w:val="002B5AB1"/>
    <w:rsid w:val="002B5DA2"/>
    <w:rsid w:val="002B5F4F"/>
    <w:rsid w:val="002B623C"/>
    <w:rsid w:val="002B6A7E"/>
    <w:rsid w:val="002B6E32"/>
    <w:rsid w:val="002B6F60"/>
    <w:rsid w:val="002B7B91"/>
    <w:rsid w:val="002B7DA2"/>
    <w:rsid w:val="002C0175"/>
    <w:rsid w:val="002C025A"/>
    <w:rsid w:val="002C0E45"/>
    <w:rsid w:val="002C1312"/>
    <w:rsid w:val="002C13C4"/>
    <w:rsid w:val="002C19A6"/>
    <w:rsid w:val="002C1DDF"/>
    <w:rsid w:val="002C3384"/>
    <w:rsid w:val="002C4326"/>
    <w:rsid w:val="002C461F"/>
    <w:rsid w:val="002C466B"/>
    <w:rsid w:val="002C4AAF"/>
    <w:rsid w:val="002C4FCC"/>
    <w:rsid w:val="002C5C02"/>
    <w:rsid w:val="002C5C6A"/>
    <w:rsid w:val="002C5D78"/>
    <w:rsid w:val="002C6D89"/>
    <w:rsid w:val="002C7128"/>
    <w:rsid w:val="002C78D6"/>
    <w:rsid w:val="002C793F"/>
    <w:rsid w:val="002C7A65"/>
    <w:rsid w:val="002C7BE7"/>
    <w:rsid w:val="002D01D4"/>
    <w:rsid w:val="002D0549"/>
    <w:rsid w:val="002D080A"/>
    <w:rsid w:val="002D093C"/>
    <w:rsid w:val="002D1460"/>
    <w:rsid w:val="002D1A24"/>
    <w:rsid w:val="002D1FB3"/>
    <w:rsid w:val="002D26F0"/>
    <w:rsid w:val="002D2837"/>
    <w:rsid w:val="002D319D"/>
    <w:rsid w:val="002D3737"/>
    <w:rsid w:val="002D3994"/>
    <w:rsid w:val="002D3BD8"/>
    <w:rsid w:val="002D481D"/>
    <w:rsid w:val="002D4B48"/>
    <w:rsid w:val="002D4BBB"/>
    <w:rsid w:val="002D4DA4"/>
    <w:rsid w:val="002D5A47"/>
    <w:rsid w:val="002D5E56"/>
    <w:rsid w:val="002D5E7C"/>
    <w:rsid w:val="002D6359"/>
    <w:rsid w:val="002D75C1"/>
    <w:rsid w:val="002D75DA"/>
    <w:rsid w:val="002D7E20"/>
    <w:rsid w:val="002D7EEC"/>
    <w:rsid w:val="002E0012"/>
    <w:rsid w:val="002E086D"/>
    <w:rsid w:val="002E0974"/>
    <w:rsid w:val="002E0F2F"/>
    <w:rsid w:val="002E150A"/>
    <w:rsid w:val="002E2861"/>
    <w:rsid w:val="002E28DB"/>
    <w:rsid w:val="002E2F5A"/>
    <w:rsid w:val="002E36A9"/>
    <w:rsid w:val="002E37AF"/>
    <w:rsid w:val="002E3FD9"/>
    <w:rsid w:val="002E407E"/>
    <w:rsid w:val="002E40AC"/>
    <w:rsid w:val="002E46F4"/>
    <w:rsid w:val="002E4AD2"/>
    <w:rsid w:val="002E4AF4"/>
    <w:rsid w:val="002E5007"/>
    <w:rsid w:val="002E5661"/>
    <w:rsid w:val="002E5C64"/>
    <w:rsid w:val="002E5E2C"/>
    <w:rsid w:val="002E60C8"/>
    <w:rsid w:val="002E6402"/>
    <w:rsid w:val="002E6C31"/>
    <w:rsid w:val="002E6F72"/>
    <w:rsid w:val="002E7044"/>
    <w:rsid w:val="002E742B"/>
    <w:rsid w:val="002E7503"/>
    <w:rsid w:val="002E7723"/>
    <w:rsid w:val="002E77B4"/>
    <w:rsid w:val="002E7FCF"/>
    <w:rsid w:val="002F027D"/>
    <w:rsid w:val="002F04CC"/>
    <w:rsid w:val="002F076C"/>
    <w:rsid w:val="002F07FE"/>
    <w:rsid w:val="002F0EB9"/>
    <w:rsid w:val="002F1917"/>
    <w:rsid w:val="002F1CB0"/>
    <w:rsid w:val="002F1CB8"/>
    <w:rsid w:val="002F22AA"/>
    <w:rsid w:val="002F28BC"/>
    <w:rsid w:val="002F4017"/>
    <w:rsid w:val="002F4932"/>
    <w:rsid w:val="002F4B60"/>
    <w:rsid w:val="002F528B"/>
    <w:rsid w:val="002F529C"/>
    <w:rsid w:val="002F5302"/>
    <w:rsid w:val="002F624D"/>
    <w:rsid w:val="002F695A"/>
    <w:rsid w:val="002F69CB"/>
    <w:rsid w:val="002F6AF7"/>
    <w:rsid w:val="002F76D4"/>
    <w:rsid w:val="002F7D7B"/>
    <w:rsid w:val="00301282"/>
    <w:rsid w:val="00301BFE"/>
    <w:rsid w:val="0030265D"/>
    <w:rsid w:val="00302F49"/>
    <w:rsid w:val="0030311B"/>
    <w:rsid w:val="0030384C"/>
    <w:rsid w:val="00303F97"/>
    <w:rsid w:val="0030435B"/>
    <w:rsid w:val="003044C6"/>
    <w:rsid w:val="00304987"/>
    <w:rsid w:val="00306243"/>
    <w:rsid w:val="0030660D"/>
    <w:rsid w:val="00306860"/>
    <w:rsid w:val="00306E06"/>
    <w:rsid w:val="003071F1"/>
    <w:rsid w:val="00307AF7"/>
    <w:rsid w:val="00307B13"/>
    <w:rsid w:val="00307F10"/>
    <w:rsid w:val="003103B4"/>
    <w:rsid w:val="0031061D"/>
    <w:rsid w:val="003108B9"/>
    <w:rsid w:val="00310C5D"/>
    <w:rsid w:val="00310F9F"/>
    <w:rsid w:val="00311012"/>
    <w:rsid w:val="00311B04"/>
    <w:rsid w:val="00311BA9"/>
    <w:rsid w:val="00312095"/>
    <w:rsid w:val="003122C3"/>
    <w:rsid w:val="0031265C"/>
    <w:rsid w:val="003126B9"/>
    <w:rsid w:val="00312BFD"/>
    <w:rsid w:val="00312F69"/>
    <w:rsid w:val="00313539"/>
    <w:rsid w:val="00314228"/>
    <w:rsid w:val="003144B8"/>
    <w:rsid w:val="003145AA"/>
    <w:rsid w:val="00314614"/>
    <w:rsid w:val="00314BE7"/>
    <w:rsid w:val="00314ED5"/>
    <w:rsid w:val="00315191"/>
    <w:rsid w:val="003152FC"/>
    <w:rsid w:val="00315D81"/>
    <w:rsid w:val="003164ED"/>
    <w:rsid w:val="0031662F"/>
    <w:rsid w:val="0031685C"/>
    <w:rsid w:val="00316D8A"/>
    <w:rsid w:val="003171DD"/>
    <w:rsid w:val="003176D4"/>
    <w:rsid w:val="00317CF5"/>
    <w:rsid w:val="003201AE"/>
    <w:rsid w:val="00320D1F"/>
    <w:rsid w:val="00321303"/>
    <w:rsid w:val="0032190B"/>
    <w:rsid w:val="003219C8"/>
    <w:rsid w:val="003219F8"/>
    <w:rsid w:val="00321A58"/>
    <w:rsid w:val="0032230D"/>
    <w:rsid w:val="003225F4"/>
    <w:rsid w:val="00322B3E"/>
    <w:rsid w:val="00322D49"/>
    <w:rsid w:val="00322D74"/>
    <w:rsid w:val="003232EA"/>
    <w:rsid w:val="0032345A"/>
    <w:rsid w:val="00323A76"/>
    <w:rsid w:val="003241E6"/>
    <w:rsid w:val="0032446E"/>
    <w:rsid w:val="003244DB"/>
    <w:rsid w:val="003256A0"/>
    <w:rsid w:val="00325C0A"/>
    <w:rsid w:val="00325DCC"/>
    <w:rsid w:val="00325EE9"/>
    <w:rsid w:val="00325F7E"/>
    <w:rsid w:val="00326375"/>
    <w:rsid w:val="003263F6"/>
    <w:rsid w:val="0032675F"/>
    <w:rsid w:val="00326989"/>
    <w:rsid w:val="003269CE"/>
    <w:rsid w:val="00326E2A"/>
    <w:rsid w:val="003277BF"/>
    <w:rsid w:val="00327957"/>
    <w:rsid w:val="00327F34"/>
    <w:rsid w:val="00330435"/>
    <w:rsid w:val="00330F00"/>
    <w:rsid w:val="0033179E"/>
    <w:rsid w:val="003322F0"/>
    <w:rsid w:val="00332557"/>
    <w:rsid w:val="00332B11"/>
    <w:rsid w:val="00332B7B"/>
    <w:rsid w:val="00332B7E"/>
    <w:rsid w:val="00333702"/>
    <w:rsid w:val="003338C7"/>
    <w:rsid w:val="003338F2"/>
    <w:rsid w:val="003350E7"/>
    <w:rsid w:val="003351C1"/>
    <w:rsid w:val="003359EC"/>
    <w:rsid w:val="00335A16"/>
    <w:rsid w:val="00335BC4"/>
    <w:rsid w:val="00335C67"/>
    <w:rsid w:val="003362C0"/>
    <w:rsid w:val="003368DB"/>
    <w:rsid w:val="00336B8E"/>
    <w:rsid w:val="00336BF5"/>
    <w:rsid w:val="003377D8"/>
    <w:rsid w:val="00337873"/>
    <w:rsid w:val="00337D63"/>
    <w:rsid w:val="00337E4C"/>
    <w:rsid w:val="00337EBC"/>
    <w:rsid w:val="00340DB9"/>
    <w:rsid w:val="00341CDE"/>
    <w:rsid w:val="00341D82"/>
    <w:rsid w:val="00341E10"/>
    <w:rsid w:val="003425DC"/>
    <w:rsid w:val="003427BE"/>
    <w:rsid w:val="003434CA"/>
    <w:rsid w:val="00343739"/>
    <w:rsid w:val="003447F3"/>
    <w:rsid w:val="00345B07"/>
    <w:rsid w:val="00346051"/>
    <w:rsid w:val="00346A86"/>
    <w:rsid w:val="00346D0B"/>
    <w:rsid w:val="00347061"/>
    <w:rsid w:val="0034757B"/>
    <w:rsid w:val="003475A0"/>
    <w:rsid w:val="00347AF1"/>
    <w:rsid w:val="00347CD2"/>
    <w:rsid w:val="003504C0"/>
    <w:rsid w:val="0035083D"/>
    <w:rsid w:val="00350C45"/>
    <w:rsid w:val="00350DF1"/>
    <w:rsid w:val="003510A8"/>
    <w:rsid w:val="003510D6"/>
    <w:rsid w:val="003511C2"/>
    <w:rsid w:val="00351274"/>
    <w:rsid w:val="00351453"/>
    <w:rsid w:val="0035162A"/>
    <w:rsid w:val="003518E6"/>
    <w:rsid w:val="00351BD5"/>
    <w:rsid w:val="00351C7F"/>
    <w:rsid w:val="00351D4D"/>
    <w:rsid w:val="00351E10"/>
    <w:rsid w:val="00351F29"/>
    <w:rsid w:val="00352D81"/>
    <w:rsid w:val="0035331E"/>
    <w:rsid w:val="00353B96"/>
    <w:rsid w:val="00354585"/>
    <w:rsid w:val="00354647"/>
    <w:rsid w:val="003547DF"/>
    <w:rsid w:val="00354CF4"/>
    <w:rsid w:val="00354D33"/>
    <w:rsid w:val="0035500E"/>
    <w:rsid w:val="003556BF"/>
    <w:rsid w:val="00356154"/>
    <w:rsid w:val="0035667A"/>
    <w:rsid w:val="00356B2D"/>
    <w:rsid w:val="00356F6F"/>
    <w:rsid w:val="00357283"/>
    <w:rsid w:val="00357ADA"/>
    <w:rsid w:val="00357FEF"/>
    <w:rsid w:val="00360158"/>
    <w:rsid w:val="00360511"/>
    <w:rsid w:val="003607C9"/>
    <w:rsid w:val="00360A75"/>
    <w:rsid w:val="0036116F"/>
    <w:rsid w:val="003618A0"/>
    <w:rsid w:val="00362736"/>
    <w:rsid w:val="00362A4C"/>
    <w:rsid w:val="00362B2A"/>
    <w:rsid w:val="00363118"/>
    <w:rsid w:val="0036328E"/>
    <w:rsid w:val="0036348F"/>
    <w:rsid w:val="003636A5"/>
    <w:rsid w:val="00363FC6"/>
    <w:rsid w:val="00364623"/>
    <w:rsid w:val="00364FA9"/>
    <w:rsid w:val="00365585"/>
    <w:rsid w:val="00365C33"/>
    <w:rsid w:val="00366D20"/>
    <w:rsid w:val="00366E9C"/>
    <w:rsid w:val="00366F6A"/>
    <w:rsid w:val="00367318"/>
    <w:rsid w:val="00367510"/>
    <w:rsid w:val="0036778D"/>
    <w:rsid w:val="0036790F"/>
    <w:rsid w:val="003700BB"/>
    <w:rsid w:val="003704FD"/>
    <w:rsid w:val="00370510"/>
    <w:rsid w:val="00370C3E"/>
    <w:rsid w:val="00370CAE"/>
    <w:rsid w:val="003720EE"/>
    <w:rsid w:val="00372B99"/>
    <w:rsid w:val="00372D14"/>
    <w:rsid w:val="003731D2"/>
    <w:rsid w:val="00373986"/>
    <w:rsid w:val="0037401D"/>
    <w:rsid w:val="00374A0D"/>
    <w:rsid w:val="00374A64"/>
    <w:rsid w:val="00374A9D"/>
    <w:rsid w:val="00374CE0"/>
    <w:rsid w:val="003750D9"/>
    <w:rsid w:val="003756D2"/>
    <w:rsid w:val="00375F0E"/>
    <w:rsid w:val="00376207"/>
    <w:rsid w:val="00376CB8"/>
    <w:rsid w:val="0037732D"/>
    <w:rsid w:val="003776F1"/>
    <w:rsid w:val="00377B9D"/>
    <w:rsid w:val="003808AA"/>
    <w:rsid w:val="00380977"/>
    <w:rsid w:val="00380F8A"/>
    <w:rsid w:val="003810E8"/>
    <w:rsid w:val="003816A1"/>
    <w:rsid w:val="0038214C"/>
    <w:rsid w:val="00382360"/>
    <w:rsid w:val="003825BB"/>
    <w:rsid w:val="00382D81"/>
    <w:rsid w:val="00382DBF"/>
    <w:rsid w:val="003833C0"/>
    <w:rsid w:val="003837B6"/>
    <w:rsid w:val="0038433C"/>
    <w:rsid w:val="00384CE9"/>
    <w:rsid w:val="003851FC"/>
    <w:rsid w:val="0038538D"/>
    <w:rsid w:val="00385564"/>
    <w:rsid w:val="003859F0"/>
    <w:rsid w:val="00385C14"/>
    <w:rsid w:val="00385EF4"/>
    <w:rsid w:val="00385F82"/>
    <w:rsid w:val="003861AD"/>
    <w:rsid w:val="00387064"/>
    <w:rsid w:val="00387402"/>
    <w:rsid w:val="00387435"/>
    <w:rsid w:val="00387518"/>
    <w:rsid w:val="003875B0"/>
    <w:rsid w:val="00390AB0"/>
    <w:rsid w:val="00390D61"/>
    <w:rsid w:val="00391FA4"/>
    <w:rsid w:val="003921B8"/>
    <w:rsid w:val="0039232D"/>
    <w:rsid w:val="00392478"/>
    <w:rsid w:val="003926EC"/>
    <w:rsid w:val="00392851"/>
    <w:rsid w:val="003929E2"/>
    <w:rsid w:val="003929F7"/>
    <w:rsid w:val="00392A24"/>
    <w:rsid w:val="00393364"/>
    <w:rsid w:val="003933DF"/>
    <w:rsid w:val="0039391C"/>
    <w:rsid w:val="00393AE6"/>
    <w:rsid w:val="00394234"/>
    <w:rsid w:val="003951E2"/>
    <w:rsid w:val="00396022"/>
    <w:rsid w:val="00396257"/>
    <w:rsid w:val="003963AE"/>
    <w:rsid w:val="003965DE"/>
    <w:rsid w:val="003971ED"/>
    <w:rsid w:val="00397BB7"/>
    <w:rsid w:val="00397BCF"/>
    <w:rsid w:val="00397BD0"/>
    <w:rsid w:val="003A0372"/>
    <w:rsid w:val="003A0A56"/>
    <w:rsid w:val="003A0D45"/>
    <w:rsid w:val="003A17D6"/>
    <w:rsid w:val="003A1F9F"/>
    <w:rsid w:val="003A22CF"/>
    <w:rsid w:val="003A2614"/>
    <w:rsid w:val="003A2D6F"/>
    <w:rsid w:val="003A3B67"/>
    <w:rsid w:val="003A3BFC"/>
    <w:rsid w:val="003A43D1"/>
    <w:rsid w:val="003A5B4C"/>
    <w:rsid w:val="003A5CDA"/>
    <w:rsid w:val="003A5D8E"/>
    <w:rsid w:val="003A664F"/>
    <w:rsid w:val="003A685F"/>
    <w:rsid w:val="003A7232"/>
    <w:rsid w:val="003A7F1D"/>
    <w:rsid w:val="003B0177"/>
    <w:rsid w:val="003B1781"/>
    <w:rsid w:val="003B1944"/>
    <w:rsid w:val="003B1FCC"/>
    <w:rsid w:val="003B2082"/>
    <w:rsid w:val="003B270B"/>
    <w:rsid w:val="003B2E0B"/>
    <w:rsid w:val="003B2E2A"/>
    <w:rsid w:val="003B2ECB"/>
    <w:rsid w:val="003B36C1"/>
    <w:rsid w:val="003B42CB"/>
    <w:rsid w:val="003B44FA"/>
    <w:rsid w:val="003B45EF"/>
    <w:rsid w:val="003B4739"/>
    <w:rsid w:val="003B47B2"/>
    <w:rsid w:val="003B6642"/>
    <w:rsid w:val="003B6773"/>
    <w:rsid w:val="003B68AB"/>
    <w:rsid w:val="003B6C18"/>
    <w:rsid w:val="003B70A1"/>
    <w:rsid w:val="003B773D"/>
    <w:rsid w:val="003B7DA6"/>
    <w:rsid w:val="003B7DE3"/>
    <w:rsid w:val="003C0AA6"/>
    <w:rsid w:val="003C0CC5"/>
    <w:rsid w:val="003C0EFD"/>
    <w:rsid w:val="003C12A2"/>
    <w:rsid w:val="003C147E"/>
    <w:rsid w:val="003C15CA"/>
    <w:rsid w:val="003C1AC0"/>
    <w:rsid w:val="003C217F"/>
    <w:rsid w:val="003C2543"/>
    <w:rsid w:val="003C345A"/>
    <w:rsid w:val="003C4154"/>
    <w:rsid w:val="003C432F"/>
    <w:rsid w:val="003C468A"/>
    <w:rsid w:val="003C56AF"/>
    <w:rsid w:val="003C5C7D"/>
    <w:rsid w:val="003C6471"/>
    <w:rsid w:val="003C6D34"/>
    <w:rsid w:val="003C6FFD"/>
    <w:rsid w:val="003C7521"/>
    <w:rsid w:val="003C7E74"/>
    <w:rsid w:val="003D0D2F"/>
    <w:rsid w:val="003D0F0B"/>
    <w:rsid w:val="003D1509"/>
    <w:rsid w:val="003D1547"/>
    <w:rsid w:val="003D1E72"/>
    <w:rsid w:val="003D22E3"/>
    <w:rsid w:val="003D2331"/>
    <w:rsid w:val="003D2C35"/>
    <w:rsid w:val="003D3ECF"/>
    <w:rsid w:val="003D40DC"/>
    <w:rsid w:val="003D4DCB"/>
    <w:rsid w:val="003D4F9E"/>
    <w:rsid w:val="003D60AC"/>
    <w:rsid w:val="003D64A0"/>
    <w:rsid w:val="003D6A3C"/>
    <w:rsid w:val="003D7A8F"/>
    <w:rsid w:val="003D7AC4"/>
    <w:rsid w:val="003D7D58"/>
    <w:rsid w:val="003E09E6"/>
    <w:rsid w:val="003E0BE8"/>
    <w:rsid w:val="003E1158"/>
    <w:rsid w:val="003E1C88"/>
    <w:rsid w:val="003E1FD3"/>
    <w:rsid w:val="003E237E"/>
    <w:rsid w:val="003E295E"/>
    <w:rsid w:val="003E2CB3"/>
    <w:rsid w:val="003E374B"/>
    <w:rsid w:val="003E3815"/>
    <w:rsid w:val="003E44DD"/>
    <w:rsid w:val="003E49EE"/>
    <w:rsid w:val="003E52A2"/>
    <w:rsid w:val="003E532C"/>
    <w:rsid w:val="003E5CD0"/>
    <w:rsid w:val="003E5EB6"/>
    <w:rsid w:val="003E680F"/>
    <w:rsid w:val="003E717C"/>
    <w:rsid w:val="003E73A8"/>
    <w:rsid w:val="003E7722"/>
    <w:rsid w:val="003E786B"/>
    <w:rsid w:val="003E7E1C"/>
    <w:rsid w:val="003E7FEC"/>
    <w:rsid w:val="003F01D6"/>
    <w:rsid w:val="003F0548"/>
    <w:rsid w:val="003F0AA5"/>
    <w:rsid w:val="003F186B"/>
    <w:rsid w:val="003F1AD7"/>
    <w:rsid w:val="003F1DE1"/>
    <w:rsid w:val="003F1E14"/>
    <w:rsid w:val="003F238B"/>
    <w:rsid w:val="003F2BD4"/>
    <w:rsid w:val="003F2FF1"/>
    <w:rsid w:val="003F3113"/>
    <w:rsid w:val="003F3251"/>
    <w:rsid w:val="003F4837"/>
    <w:rsid w:val="003F4EF7"/>
    <w:rsid w:val="003F4F34"/>
    <w:rsid w:val="003F4F60"/>
    <w:rsid w:val="003F55E9"/>
    <w:rsid w:val="003F5728"/>
    <w:rsid w:val="003F5D52"/>
    <w:rsid w:val="003F6069"/>
    <w:rsid w:val="003F6478"/>
    <w:rsid w:val="003F6544"/>
    <w:rsid w:val="003F6C81"/>
    <w:rsid w:val="003F7100"/>
    <w:rsid w:val="003F7206"/>
    <w:rsid w:val="003F7C3D"/>
    <w:rsid w:val="003F7D05"/>
    <w:rsid w:val="004000D2"/>
    <w:rsid w:val="004002DE"/>
    <w:rsid w:val="0040059B"/>
    <w:rsid w:val="00400B9A"/>
    <w:rsid w:val="00401325"/>
    <w:rsid w:val="0040134D"/>
    <w:rsid w:val="00403B44"/>
    <w:rsid w:val="00403EA3"/>
    <w:rsid w:val="00404165"/>
    <w:rsid w:val="00404295"/>
    <w:rsid w:val="00404B44"/>
    <w:rsid w:val="00404BA9"/>
    <w:rsid w:val="00404C99"/>
    <w:rsid w:val="004051F4"/>
    <w:rsid w:val="0040558C"/>
    <w:rsid w:val="00405B35"/>
    <w:rsid w:val="004064FE"/>
    <w:rsid w:val="0040691D"/>
    <w:rsid w:val="004069C6"/>
    <w:rsid w:val="00406B7B"/>
    <w:rsid w:val="00406C32"/>
    <w:rsid w:val="00406E51"/>
    <w:rsid w:val="00407051"/>
    <w:rsid w:val="00407200"/>
    <w:rsid w:val="004079C4"/>
    <w:rsid w:val="00410D99"/>
    <w:rsid w:val="004113F2"/>
    <w:rsid w:val="004114B0"/>
    <w:rsid w:val="00411EAB"/>
    <w:rsid w:val="00412101"/>
    <w:rsid w:val="00412787"/>
    <w:rsid w:val="004127A7"/>
    <w:rsid w:val="00412AB2"/>
    <w:rsid w:val="00413463"/>
    <w:rsid w:val="0041346C"/>
    <w:rsid w:val="004135F8"/>
    <w:rsid w:val="004136EE"/>
    <w:rsid w:val="0041387B"/>
    <w:rsid w:val="00413B45"/>
    <w:rsid w:val="00413B49"/>
    <w:rsid w:val="00413C23"/>
    <w:rsid w:val="00414017"/>
    <w:rsid w:val="00415394"/>
    <w:rsid w:val="00415BBF"/>
    <w:rsid w:val="004160B3"/>
    <w:rsid w:val="00416315"/>
    <w:rsid w:val="0041634B"/>
    <w:rsid w:val="0041693E"/>
    <w:rsid w:val="0041702C"/>
    <w:rsid w:val="0041734F"/>
    <w:rsid w:val="0042021E"/>
    <w:rsid w:val="00420428"/>
    <w:rsid w:val="004209B1"/>
    <w:rsid w:val="00420AB7"/>
    <w:rsid w:val="00422110"/>
    <w:rsid w:val="00422206"/>
    <w:rsid w:val="0042271E"/>
    <w:rsid w:val="004233FA"/>
    <w:rsid w:val="00423B35"/>
    <w:rsid w:val="00423D22"/>
    <w:rsid w:val="00423E60"/>
    <w:rsid w:val="00425118"/>
    <w:rsid w:val="00425878"/>
    <w:rsid w:val="00425D3C"/>
    <w:rsid w:val="00425E3B"/>
    <w:rsid w:val="0042660A"/>
    <w:rsid w:val="00426950"/>
    <w:rsid w:val="00426B8B"/>
    <w:rsid w:val="004270C6"/>
    <w:rsid w:val="004274BF"/>
    <w:rsid w:val="0042762F"/>
    <w:rsid w:val="00427EDF"/>
    <w:rsid w:val="00427F2F"/>
    <w:rsid w:val="00430A32"/>
    <w:rsid w:val="00430CD0"/>
    <w:rsid w:val="004314FB"/>
    <w:rsid w:val="00431B71"/>
    <w:rsid w:val="00432132"/>
    <w:rsid w:val="0043245B"/>
    <w:rsid w:val="00432536"/>
    <w:rsid w:val="00432798"/>
    <w:rsid w:val="0043285A"/>
    <w:rsid w:val="00432FF1"/>
    <w:rsid w:val="0043330B"/>
    <w:rsid w:val="00433348"/>
    <w:rsid w:val="004339D6"/>
    <w:rsid w:val="00434CF2"/>
    <w:rsid w:val="00434DC2"/>
    <w:rsid w:val="004351B9"/>
    <w:rsid w:val="004354BC"/>
    <w:rsid w:val="004354FF"/>
    <w:rsid w:val="00435CFC"/>
    <w:rsid w:val="00435F04"/>
    <w:rsid w:val="004364D1"/>
    <w:rsid w:val="00436B51"/>
    <w:rsid w:val="0043711B"/>
    <w:rsid w:val="00437DBB"/>
    <w:rsid w:val="00440084"/>
    <w:rsid w:val="004401F6"/>
    <w:rsid w:val="0044026D"/>
    <w:rsid w:val="0044059F"/>
    <w:rsid w:val="004409B5"/>
    <w:rsid w:val="00440B6D"/>
    <w:rsid w:val="00441059"/>
    <w:rsid w:val="004411F1"/>
    <w:rsid w:val="004418A7"/>
    <w:rsid w:val="00441B22"/>
    <w:rsid w:val="004421DC"/>
    <w:rsid w:val="00442A22"/>
    <w:rsid w:val="004432FA"/>
    <w:rsid w:val="0044337A"/>
    <w:rsid w:val="00443539"/>
    <w:rsid w:val="004439AF"/>
    <w:rsid w:val="00443D6D"/>
    <w:rsid w:val="00443DAF"/>
    <w:rsid w:val="00444101"/>
    <w:rsid w:val="00444393"/>
    <w:rsid w:val="004448FD"/>
    <w:rsid w:val="0044517A"/>
    <w:rsid w:val="00445577"/>
    <w:rsid w:val="00445EB1"/>
    <w:rsid w:val="00446132"/>
    <w:rsid w:val="004464B3"/>
    <w:rsid w:val="004464E4"/>
    <w:rsid w:val="004466E3"/>
    <w:rsid w:val="00446975"/>
    <w:rsid w:val="00446F19"/>
    <w:rsid w:val="004473CE"/>
    <w:rsid w:val="00447969"/>
    <w:rsid w:val="00447B9B"/>
    <w:rsid w:val="00447EDD"/>
    <w:rsid w:val="0045034D"/>
    <w:rsid w:val="00450DEA"/>
    <w:rsid w:val="004510DE"/>
    <w:rsid w:val="004519EC"/>
    <w:rsid w:val="00451D97"/>
    <w:rsid w:val="00451DB6"/>
    <w:rsid w:val="00451E6B"/>
    <w:rsid w:val="004521C6"/>
    <w:rsid w:val="00452303"/>
    <w:rsid w:val="00452AFE"/>
    <w:rsid w:val="00453A20"/>
    <w:rsid w:val="00453BB6"/>
    <w:rsid w:val="004541D3"/>
    <w:rsid w:val="0045456F"/>
    <w:rsid w:val="0045494D"/>
    <w:rsid w:val="00454A4E"/>
    <w:rsid w:val="0045655C"/>
    <w:rsid w:val="004569C1"/>
    <w:rsid w:val="00456B58"/>
    <w:rsid w:val="00456DA5"/>
    <w:rsid w:val="004570D4"/>
    <w:rsid w:val="004572FD"/>
    <w:rsid w:val="00457CD6"/>
    <w:rsid w:val="00457E75"/>
    <w:rsid w:val="004600CE"/>
    <w:rsid w:val="004603EF"/>
    <w:rsid w:val="004604FD"/>
    <w:rsid w:val="0046079E"/>
    <w:rsid w:val="00460C63"/>
    <w:rsid w:val="00460E3E"/>
    <w:rsid w:val="00461AAD"/>
    <w:rsid w:val="00462432"/>
    <w:rsid w:val="0046274E"/>
    <w:rsid w:val="004629FC"/>
    <w:rsid w:val="00462EF3"/>
    <w:rsid w:val="00462F40"/>
    <w:rsid w:val="00463A08"/>
    <w:rsid w:val="00463A57"/>
    <w:rsid w:val="004647A2"/>
    <w:rsid w:val="00464FEE"/>
    <w:rsid w:val="00465500"/>
    <w:rsid w:val="00465EBB"/>
    <w:rsid w:val="00466230"/>
    <w:rsid w:val="00466846"/>
    <w:rsid w:val="00467169"/>
    <w:rsid w:val="00467933"/>
    <w:rsid w:val="00467CEF"/>
    <w:rsid w:val="00470525"/>
    <w:rsid w:val="00470EAB"/>
    <w:rsid w:val="004714E0"/>
    <w:rsid w:val="00471757"/>
    <w:rsid w:val="004719AF"/>
    <w:rsid w:val="00471C66"/>
    <w:rsid w:val="00472950"/>
    <w:rsid w:val="00473C12"/>
    <w:rsid w:val="00474AD6"/>
    <w:rsid w:val="00474DBB"/>
    <w:rsid w:val="004751C0"/>
    <w:rsid w:val="00475472"/>
    <w:rsid w:val="0047593B"/>
    <w:rsid w:val="00475E80"/>
    <w:rsid w:val="00475FB5"/>
    <w:rsid w:val="00476246"/>
    <w:rsid w:val="0047711A"/>
    <w:rsid w:val="0047747F"/>
    <w:rsid w:val="00477C04"/>
    <w:rsid w:val="004800D8"/>
    <w:rsid w:val="00480118"/>
    <w:rsid w:val="0048047E"/>
    <w:rsid w:val="00481186"/>
    <w:rsid w:val="004812D5"/>
    <w:rsid w:val="0048164D"/>
    <w:rsid w:val="004817F5"/>
    <w:rsid w:val="00482110"/>
    <w:rsid w:val="00482190"/>
    <w:rsid w:val="00482928"/>
    <w:rsid w:val="00482BDE"/>
    <w:rsid w:val="00482D31"/>
    <w:rsid w:val="0048343E"/>
    <w:rsid w:val="004834CD"/>
    <w:rsid w:val="004839AD"/>
    <w:rsid w:val="004839E2"/>
    <w:rsid w:val="00483D22"/>
    <w:rsid w:val="00485088"/>
    <w:rsid w:val="0048515D"/>
    <w:rsid w:val="004853BB"/>
    <w:rsid w:val="004859DB"/>
    <w:rsid w:val="00485BEF"/>
    <w:rsid w:val="00485FD0"/>
    <w:rsid w:val="00486464"/>
    <w:rsid w:val="00486B79"/>
    <w:rsid w:val="00486EC3"/>
    <w:rsid w:val="00487442"/>
    <w:rsid w:val="0048773B"/>
    <w:rsid w:val="004919F4"/>
    <w:rsid w:val="0049215F"/>
    <w:rsid w:val="0049257B"/>
    <w:rsid w:val="00492729"/>
    <w:rsid w:val="0049297F"/>
    <w:rsid w:val="004929C7"/>
    <w:rsid w:val="00492C88"/>
    <w:rsid w:val="00492DA9"/>
    <w:rsid w:val="00493169"/>
    <w:rsid w:val="0049341B"/>
    <w:rsid w:val="0049346E"/>
    <w:rsid w:val="00493779"/>
    <w:rsid w:val="004937CF"/>
    <w:rsid w:val="00493DAA"/>
    <w:rsid w:val="004944AB"/>
    <w:rsid w:val="004946EB"/>
    <w:rsid w:val="00494A58"/>
    <w:rsid w:val="00494F6E"/>
    <w:rsid w:val="00495277"/>
    <w:rsid w:val="004957A6"/>
    <w:rsid w:val="0049581F"/>
    <w:rsid w:val="0049602B"/>
    <w:rsid w:val="004961B4"/>
    <w:rsid w:val="00496242"/>
    <w:rsid w:val="004962A4"/>
    <w:rsid w:val="00496642"/>
    <w:rsid w:val="0049693C"/>
    <w:rsid w:val="00496B61"/>
    <w:rsid w:val="00496C21"/>
    <w:rsid w:val="004971E2"/>
    <w:rsid w:val="0049737B"/>
    <w:rsid w:val="00497C7C"/>
    <w:rsid w:val="00497F01"/>
    <w:rsid w:val="004A02A0"/>
    <w:rsid w:val="004A074B"/>
    <w:rsid w:val="004A07BE"/>
    <w:rsid w:val="004A0B6E"/>
    <w:rsid w:val="004A2BF1"/>
    <w:rsid w:val="004A2E28"/>
    <w:rsid w:val="004A3163"/>
    <w:rsid w:val="004A316D"/>
    <w:rsid w:val="004A336E"/>
    <w:rsid w:val="004A4155"/>
    <w:rsid w:val="004A43C8"/>
    <w:rsid w:val="004A4C0F"/>
    <w:rsid w:val="004A5112"/>
    <w:rsid w:val="004A5B46"/>
    <w:rsid w:val="004A5D01"/>
    <w:rsid w:val="004A5E88"/>
    <w:rsid w:val="004A6276"/>
    <w:rsid w:val="004A645B"/>
    <w:rsid w:val="004A66A9"/>
    <w:rsid w:val="004A7121"/>
    <w:rsid w:val="004A7831"/>
    <w:rsid w:val="004A78D3"/>
    <w:rsid w:val="004A7BBB"/>
    <w:rsid w:val="004B1514"/>
    <w:rsid w:val="004B17BB"/>
    <w:rsid w:val="004B1B4E"/>
    <w:rsid w:val="004B1C70"/>
    <w:rsid w:val="004B1F33"/>
    <w:rsid w:val="004B1FE4"/>
    <w:rsid w:val="004B201E"/>
    <w:rsid w:val="004B2660"/>
    <w:rsid w:val="004B31D9"/>
    <w:rsid w:val="004B3D2A"/>
    <w:rsid w:val="004B3D2E"/>
    <w:rsid w:val="004B3F23"/>
    <w:rsid w:val="004B4A03"/>
    <w:rsid w:val="004B4FC5"/>
    <w:rsid w:val="004B4FE1"/>
    <w:rsid w:val="004B51CC"/>
    <w:rsid w:val="004B5327"/>
    <w:rsid w:val="004B5D4C"/>
    <w:rsid w:val="004B5F9F"/>
    <w:rsid w:val="004B6811"/>
    <w:rsid w:val="004B68FD"/>
    <w:rsid w:val="004B6E6C"/>
    <w:rsid w:val="004B717C"/>
    <w:rsid w:val="004B7395"/>
    <w:rsid w:val="004C0459"/>
    <w:rsid w:val="004C0927"/>
    <w:rsid w:val="004C0AF2"/>
    <w:rsid w:val="004C0DFD"/>
    <w:rsid w:val="004C1E2E"/>
    <w:rsid w:val="004C200C"/>
    <w:rsid w:val="004C20A1"/>
    <w:rsid w:val="004C2CB3"/>
    <w:rsid w:val="004C2DFA"/>
    <w:rsid w:val="004C2FA3"/>
    <w:rsid w:val="004C2FED"/>
    <w:rsid w:val="004C30DF"/>
    <w:rsid w:val="004C3230"/>
    <w:rsid w:val="004C349E"/>
    <w:rsid w:val="004C3654"/>
    <w:rsid w:val="004C36D7"/>
    <w:rsid w:val="004C3890"/>
    <w:rsid w:val="004C3A5D"/>
    <w:rsid w:val="004C3E2D"/>
    <w:rsid w:val="004C49DE"/>
    <w:rsid w:val="004C4BAF"/>
    <w:rsid w:val="004C4E52"/>
    <w:rsid w:val="004C52F3"/>
    <w:rsid w:val="004C584A"/>
    <w:rsid w:val="004C5A83"/>
    <w:rsid w:val="004C61A3"/>
    <w:rsid w:val="004C6BC5"/>
    <w:rsid w:val="004C6F51"/>
    <w:rsid w:val="004C7C6E"/>
    <w:rsid w:val="004C7D9D"/>
    <w:rsid w:val="004C7E98"/>
    <w:rsid w:val="004D020B"/>
    <w:rsid w:val="004D0CF5"/>
    <w:rsid w:val="004D4398"/>
    <w:rsid w:val="004D523B"/>
    <w:rsid w:val="004D5E32"/>
    <w:rsid w:val="004D5FBA"/>
    <w:rsid w:val="004D61EF"/>
    <w:rsid w:val="004D6359"/>
    <w:rsid w:val="004D642F"/>
    <w:rsid w:val="004D658A"/>
    <w:rsid w:val="004D67D9"/>
    <w:rsid w:val="004D6A77"/>
    <w:rsid w:val="004D6E1F"/>
    <w:rsid w:val="004D7048"/>
    <w:rsid w:val="004D717B"/>
    <w:rsid w:val="004D7344"/>
    <w:rsid w:val="004D781A"/>
    <w:rsid w:val="004E015C"/>
    <w:rsid w:val="004E02D6"/>
    <w:rsid w:val="004E0BCD"/>
    <w:rsid w:val="004E0F47"/>
    <w:rsid w:val="004E1184"/>
    <w:rsid w:val="004E1EFD"/>
    <w:rsid w:val="004E204C"/>
    <w:rsid w:val="004E25CF"/>
    <w:rsid w:val="004E2EC7"/>
    <w:rsid w:val="004E3829"/>
    <w:rsid w:val="004E3853"/>
    <w:rsid w:val="004E38BF"/>
    <w:rsid w:val="004E3E7C"/>
    <w:rsid w:val="004E3FBC"/>
    <w:rsid w:val="004E51B8"/>
    <w:rsid w:val="004E527B"/>
    <w:rsid w:val="004E576C"/>
    <w:rsid w:val="004E5A3F"/>
    <w:rsid w:val="004E6A49"/>
    <w:rsid w:val="004E6B00"/>
    <w:rsid w:val="004E6B12"/>
    <w:rsid w:val="004E72AE"/>
    <w:rsid w:val="004E7A98"/>
    <w:rsid w:val="004E7F2D"/>
    <w:rsid w:val="004E7F72"/>
    <w:rsid w:val="004F02C7"/>
    <w:rsid w:val="004F0BF0"/>
    <w:rsid w:val="004F1BD1"/>
    <w:rsid w:val="004F1C3E"/>
    <w:rsid w:val="004F2101"/>
    <w:rsid w:val="004F23C3"/>
    <w:rsid w:val="004F304C"/>
    <w:rsid w:val="004F38D2"/>
    <w:rsid w:val="004F3A5B"/>
    <w:rsid w:val="004F41BF"/>
    <w:rsid w:val="004F4881"/>
    <w:rsid w:val="004F4B51"/>
    <w:rsid w:val="004F4D5F"/>
    <w:rsid w:val="004F50CE"/>
    <w:rsid w:val="004F53C8"/>
    <w:rsid w:val="004F6075"/>
    <w:rsid w:val="004F7427"/>
    <w:rsid w:val="004F7C15"/>
    <w:rsid w:val="00500453"/>
    <w:rsid w:val="00500961"/>
    <w:rsid w:val="005012E0"/>
    <w:rsid w:val="005013DD"/>
    <w:rsid w:val="00501D2D"/>
    <w:rsid w:val="00502304"/>
    <w:rsid w:val="00502616"/>
    <w:rsid w:val="00502739"/>
    <w:rsid w:val="005035D5"/>
    <w:rsid w:val="00503C56"/>
    <w:rsid w:val="00503E24"/>
    <w:rsid w:val="00504269"/>
    <w:rsid w:val="00505347"/>
    <w:rsid w:val="00505849"/>
    <w:rsid w:val="0050628D"/>
    <w:rsid w:val="00506503"/>
    <w:rsid w:val="005066F5"/>
    <w:rsid w:val="00506B7A"/>
    <w:rsid w:val="00507B30"/>
    <w:rsid w:val="00510187"/>
    <w:rsid w:val="005107DC"/>
    <w:rsid w:val="00510BDF"/>
    <w:rsid w:val="00510D8D"/>
    <w:rsid w:val="00510E8F"/>
    <w:rsid w:val="005111CD"/>
    <w:rsid w:val="00511427"/>
    <w:rsid w:val="005119A2"/>
    <w:rsid w:val="00511DC0"/>
    <w:rsid w:val="005122A8"/>
    <w:rsid w:val="0051257C"/>
    <w:rsid w:val="0051264E"/>
    <w:rsid w:val="005128D3"/>
    <w:rsid w:val="00512ACC"/>
    <w:rsid w:val="00512E3C"/>
    <w:rsid w:val="005131F4"/>
    <w:rsid w:val="00513F58"/>
    <w:rsid w:val="0051428A"/>
    <w:rsid w:val="00514951"/>
    <w:rsid w:val="00514EBC"/>
    <w:rsid w:val="00516291"/>
    <w:rsid w:val="005164F0"/>
    <w:rsid w:val="00516AC9"/>
    <w:rsid w:val="00516CDE"/>
    <w:rsid w:val="005178F0"/>
    <w:rsid w:val="005179D8"/>
    <w:rsid w:val="00517D6E"/>
    <w:rsid w:val="00517D83"/>
    <w:rsid w:val="005206B5"/>
    <w:rsid w:val="0052095C"/>
    <w:rsid w:val="005218E7"/>
    <w:rsid w:val="005225EF"/>
    <w:rsid w:val="00522DAA"/>
    <w:rsid w:val="0052300B"/>
    <w:rsid w:val="00523517"/>
    <w:rsid w:val="0052360A"/>
    <w:rsid w:val="00523983"/>
    <w:rsid w:val="005239B3"/>
    <w:rsid w:val="00524049"/>
    <w:rsid w:val="005244D1"/>
    <w:rsid w:val="005247EB"/>
    <w:rsid w:val="005253B0"/>
    <w:rsid w:val="0052634E"/>
    <w:rsid w:val="00526890"/>
    <w:rsid w:val="00526B1C"/>
    <w:rsid w:val="00526E2B"/>
    <w:rsid w:val="005275AB"/>
    <w:rsid w:val="00530141"/>
    <w:rsid w:val="005308B8"/>
    <w:rsid w:val="00530B4F"/>
    <w:rsid w:val="0053100D"/>
    <w:rsid w:val="00531384"/>
    <w:rsid w:val="00531C67"/>
    <w:rsid w:val="00531F13"/>
    <w:rsid w:val="0053238E"/>
    <w:rsid w:val="0053287A"/>
    <w:rsid w:val="00533322"/>
    <w:rsid w:val="00533471"/>
    <w:rsid w:val="005334E4"/>
    <w:rsid w:val="0053363B"/>
    <w:rsid w:val="00533F6A"/>
    <w:rsid w:val="005346FE"/>
    <w:rsid w:val="005356CB"/>
    <w:rsid w:val="00535827"/>
    <w:rsid w:val="00535941"/>
    <w:rsid w:val="00535A7C"/>
    <w:rsid w:val="00535AD3"/>
    <w:rsid w:val="00535CB0"/>
    <w:rsid w:val="0053607D"/>
    <w:rsid w:val="00536128"/>
    <w:rsid w:val="00536261"/>
    <w:rsid w:val="0053634A"/>
    <w:rsid w:val="005367EE"/>
    <w:rsid w:val="00536B30"/>
    <w:rsid w:val="0053760E"/>
    <w:rsid w:val="00537945"/>
    <w:rsid w:val="00537A3F"/>
    <w:rsid w:val="00537CE9"/>
    <w:rsid w:val="005404CF"/>
    <w:rsid w:val="005404ED"/>
    <w:rsid w:val="00541756"/>
    <w:rsid w:val="00542164"/>
    <w:rsid w:val="00542299"/>
    <w:rsid w:val="005428F9"/>
    <w:rsid w:val="00542D88"/>
    <w:rsid w:val="00542F7E"/>
    <w:rsid w:val="0054499A"/>
    <w:rsid w:val="00544B08"/>
    <w:rsid w:val="00544E01"/>
    <w:rsid w:val="00545ACA"/>
    <w:rsid w:val="0054625C"/>
    <w:rsid w:val="005462ED"/>
    <w:rsid w:val="00546449"/>
    <w:rsid w:val="005466B2"/>
    <w:rsid w:val="005468CF"/>
    <w:rsid w:val="00546D3C"/>
    <w:rsid w:val="00546F46"/>
    <w:rsid w:val="005475D2"/>
    <w:rsid w:val="0054788D"/>
    <w:rsid w:val="00547A96"/>
    <w:rsid w:val="00547A9A"/>
    <w:rsid w:val="00547C5D"/>
    <w:rsid w:val="00547D13"/>
    <w:rsid w:val="005506D3"/>
    <w:rsid w:val="005507F1"/>
    <w:rsid w:val="00550918"/>
    <w:rsid w:val="00550A18"/>
    <w:rsid w:val="00550B4B"/>
    <w:rsid w:val="00550C67"/>
    <w:rsid w:val="00550C7C"/>
    <w:rsid w:val="005510C8"/>
    <w:rsid w:val="005513B8"/>
    <w:rsid w:val="00551460"/>
    <w:rsid w:val="005515C0"/>
    <w:rsid w:val="0055233C"/>
    <w:rsid w:val="005529B2"/>
    <w:rsid w:val="00552BFB"/>
    <w:rsid w:val="0055371E"/>
    <w:rsid w:val="0055382D"/>
    <w:rsid w:val="00554079"/>
    <w:rsid w:val="0055428A"/>
    <w:rsid w:val="0055540C"/>
    <w:rsid w:val="00555907"/>
    <w:rsid w:val="00555BFF"/>
    <w:rsid w:val="0055612A"/>
    <w:rsid w:val="00556952"/>
    <w:rsid w:val="00557544"/>
    <w:rsid w:val="00557B03"/>
    <w:rsid w:val="00560188"/>
    <w:rsid w:val="0056131D"/>
    <w:rsid w:val="00562171"/>
    <w:rsid w:val="005626FA"/>
    <w:rsid w:val="005627CC"/>
    <w:rsid w:val="005629E9"/>
    <w:rsid w:val="00562C62"/>
    <w:rsid w:val="005631C7"/>
    <w:rsid w:val="0056396A"/>
    <w:rsid w:val="0056399F"/>
    <w:rsid w:val="00563E16"/>
    <w:rsid w:val="00564018"/>
    <w:rsid w:val="00564388"/>
    <w:rsid w:val="00564537"/>
    <w:rsid w:val="005649A8"/>
    <w:rsid w:val="005660E6"/>
    <w:rsid w:val="0056675C"/>
    <w:rsid w:val="005669B9"/>
    <w:rsid w:val="00566AC7"/>
    <w:rsid w:val="005672AA"/>
    <w:rsid w:val="00567AD4"/>
    <w:rsid w:val="00567F2A"/>
    <w:rsid w:val="0057003D"/>
    <w:rsid w:val="00570318"/>
    <w:rsid w:val="0057058A"/>
    <w:rsid w:val="0057082C"/>
    <w:rsid w:val="00570BDD"/>
    <w:rsid w:val="00571209"/>
    <w:rsid w:val="005713BB"/>
    <w:rsid w:val="0057163B"/>
    <w:rsid w:val="00571A9B"/>
    <w:rsid w:val="00571CDB"/>
    <w:rsid w:val="00572153"/>
    <w:rsid w:val="00572938"/>
    <w:rsid w:val="00573158"/>
    <w:rsid w:val="00573517"/>
    <w:rsid w:val="00574364"/>
    <w:rsid w:val="00574A53"/>
    <w:rsid w:val="00575E73"/>
    <w:rsid w:val="00576544"/>
    <w:rsid w:val="00577414"/>
    <w:rsid w:val="00577468"/>
    <w:rsid w:val="00580080"/>
    <w:rsid w:val="00581624"/>
    <w:rsid w:val="00581D6D"/>
    <w:rsid w:val="00581D95"/>
    <w:rsid w:val="00582D3D"/>
    <w:rsid w:val="00583436"/>
    <w:rsid w:val="00583573"/>
    <w:rsid w:val="00583749"/>
    <w:rsid w:val="005837AA"/>
    <w:rsid w:val="00583EB3"/>
    <w:rsid w:val="00583F9E"/>
    <w:rsid w:val="0058405E"/>
    <w:rsid w:val="00584168"/>
    <w:rsid w:val="00584556"/>
    <w:rsid w:val="0058467B"/>
    <w:rsid w:val="005849EC"/>
    <w:rsid w:val="00584F6B"/>
    <w:rsid w:val="0058561C"/>
    <w:rsid w:val="00585748"/>
    <w:rsid w:val="00585779"/>
    <w:rsid w:val="00585E9C"/>
    <w:rsid w:val="00586EC4"/>
    <w:rsid w:val="005873EA"/>
    <w:rsid w:val="00587733"/>
    <w:rsid w:val="00587A00"/>
    <w:rsid w:val="00587B8D"/>
    <w:rsid w:val="00590209"/>
    <w:rsid w:val="00590853"/>
    <w:rsid w:val="005909DA"/>
    <w:rsid w:val="00590A8C"/>
    <w:rsid w:val="00590CC8"/>
    <w:rsid w:val="00590DEF"/>
    <w:rsid w:val="005911D6"/>
    <w:rsid w:val="005916DA"/>
    <w:rsid w:val="005917A6"/>
    <w:rsid w:val="0059200B"/>
    <w:rsid w:val="00592771"/>
    <w:rsid w:val="00593012"/>
    <w:rsid w:val="005946DD"/>
    <w:rsid w:val="0059477B"/>
    <w:rsid w:val="00594FBD"/>
    <w:rsid w:val="00595531"/>
    <w:rsid w:val="00595AFF"/>
    <w:rsid w:val="005975FA"/>
    <w:rsid w:val="00597E98"/>
    <w:rsid w:val="005A04BB"/>
    <w:rsid w:val="005A0923"/>
    <w:rsid w:val="005A0FC0"/>
    <w:rsid w:val="005A12A9"/>
    <w:rsid w:val="005A170C"/>
    <w:rsid w:val="005A1863"/>
    <w:rsid w:val="005A1F8F"/>
    <w:rsid w:val="005A23FC"/>
    <w:rsid w:val="005A2481"/>
    <w:rsid w:val="005A257D"/>
    <w:rsid w:val="005A25A7"/>
    <w:rsid w:val="005A2B33"/>
    <w:rsid w:val="005A2D08"/>
    <w:rsid w:val="005A30DD"/>
    <w:rsid w:val="005A3455"/>
    <w:rsid w:val="005A3AA3"/>
    <w:rsid w:val="005A424D"/>
    <w:rsid w:val="005A50BF"/>
    <w:rsid w:val="005A5A41"/>
    <w:rsid w:val="005A5F56"/>
    <w:rsid w:val="005A62C0"/>
    <w:rsid w:val="005A6755"/>
    <w:rsid w:val="005A6791"/>
    <w:rsid w:val="005A6B8A"/>
    <w:rsid w:val="005A6CB2"/>
    <w:rsid w:val="005A7819"/>
    <w:rsid w:val="005A7931"/>
    <w:rsid w:val="005A7B1E"/>
    <w:rsid w:val="005B00A4"/>
    <w:rsid w:val="005B033F"/>
    <w:rsid w:val="005B0828"/>
    <w:rsid w:val="005B0D8C"/>
    <w:rsid w:val="005B1095"/>
    <w:rsid w:val="005B13F8"/>
    <w:rsid w:val="005B17AD"/>
    <w:rsid w:val="005B1E08"/>
    <w:rsid w:val="005B2BE6"/>
    <w:rsid w:val="005B325A"/>
    <w:rsid w:val="005B46BE"/>
    <w:rsid w:val="005B4A49"/>
    <w:rsid w:val="005B586D"/>
    <w:rsid w:val="005B5A10"/>
    <w:rsid w:val="005B6BCB"/>
    <w:rsid w:val="005B6BDC"/>
    <w:rsid w:val="005B6EF1"/>
    <w:rsid w:val="005B6F48"/>
    <w:rsid w:val="005B70A3"/>
    <w:rsid w:val="005B72A7"/>
    <w:rsid w:val="005C03C5"/>
    <w:rsid w:val="005C03CB"/>
    <w:rsid w:val="005C060D"/>
    <w:rsid w:val="005C07BE"/>
    <w:rsid w:val="005C08DE"/>
    <w:rsid w:val="005C099E"/>
    <w:rsid w:val="005C14E1"/>
    <w:rsid w:val="005C1EF7"/>
    <w:rsid w:val="005C1F2A"/>
    <w:rsid w:val="005C22B5"/>
    <w:rsid w:val="005C2927"/>
    <w:rsid w:val="005C2BD1"/>
    <w:rsid w:val="005C303A"/>
    <w:rsid w:val="005C321E"/>
    <w:rsid w:val="005C33E6"/>
    <w:rsid w:val="005C39BE"/>
    <w:rsid w:val="005C3F59"/>
    <w:rsid w:val="005C4B2C"/>
    <w:rsid w:val="005C4C6D"/>
    <w:rsid w:val="005C4FF1"/>
    <w:rsid w:val="005C521F"/>
    <w:rsid w:val="005C52B4"/>
    <w:rsid w:val="005C5856"/>
    <w:rsid w:val="005C5BB8"/>
    <w:rsid w:val="005C6503"/>
    <w:rsid w:val="005C6619"/>
    <w:rsid w:val="005C69B7"/>
    <w:rsid w:val="005C6F25"/>
    <w:rsid w:val="005C7454"/>
    <w:rsid w:val="005D05B1"/>
    <w:rsid w:val="005D060E"/>
    <w:rsid w:val="005D06B9"/>
    <w:rsid w:val="005D0844"/>
    <w:rsid w:val="005D0853"/>
    <w:rsid w:val="005D0ED6"/>
    <w:rsid w:val="005D0F52"/>
    <w:rsid w:val="005D1492"/>
    <w:rsid w:val="005D169F"/>
    <w:rsid w:val="005D1C11"/>
    <w:rsid w:val="005D235B"/>
    <w:rsid w:val="005D23C2"/>
    <w:rsid w:val="005D25D5"/>
    <w:rsid w:val="005D2ABC"/>
    <w:rsid w:val="005D4049"/>
    <w:rsid w:val="005D4230"/>
    <w:rsid w:val="005D4C0E"/>
    <w:rsid w:val="005D56FB"/>
    <w:rsid w:val="005D5F12"/>
    <w:rsid w:val="005D6051"/>
    <w:rsid w:val="005D627C"/>
    <w:rsid w:val="005D62EA"/>
    <w:rsid w:val="005D65A0"/>
    <w:rsid w:val="005D6A42"/>
    <w:rsid w:val="005D7466"/>
    <w:rsid w:val="005D7B0E"/>
    <w:rsid w:val="005E05FC"/>
    <w:rsid w:val="005E0A21"/>
    <w:rsid w:val="005E0BBC"/>
    <w:rsid w:val="005E0C08"/>
    <w:rsid w:val="005E0D18"/>
    <w:rsid w:val="005E0E48"/>
    <w:rsid w:val="005E14E7"/>
    <w:rsid w:val="005E1542"/>
    <w:rsid w:val="005E1EDD"/>
    <w:rsid w:val="005E2707"/>
    <w:rsid w:val="005E325E"/>
    <w:rsid w:val="005E366D"/>
    <w:rsid w:val="005E3982"/>
    <w:rsid w:val="005E4339"/>
    <w:rsid w:val="005E44D5"/>
    <w:rsid w:val="005E54A3"/>
    <w:rsid w:val="005E560B"/>
    <w:rsid w:val="005E582E"/>
    <w:rsid w:val="005E5E9D"/>
    <w:rsid w:val="005E6448"/>
    <w:rsid w:val="005E64E9"/>
    <w:rsid w:val="005E69C4"/>
    <w:rsid w:val="005E7343"/>
    <w:rsid w:val="005E751D"/>
    <w:rsid w:val="005E7654"/>
    <w:rsid w:val="005E7DDD"/>
    <w:rsid w:val="005E7E82"/>
    <w:rsid w:val="005F06BA"/>
    <w:rsid w:val="005F06C7"/>
    <w:rsid w:val="005F0CCC"/>
    <w:rsid w:val="005F12BC"/>
    <w:rsid w:val="005F134B"/>
    <w:rsid w:val="005F13AF"/>
    <w:rsid w:val="005F1FE8"/>
    <w:rsid w:val="005F217C"/>
    <w:rsid w:val="005F2A81"/>
    <w:rsid w:val="005F2B0D"/>
    <w:rsid w:val="005F30D2"/>
    <w:rsid w:val="005F35EA"/>
    <w:rsid w:val="005F3EB2"/>
    <w:rsid w:val="005F43B1"/>
    <w:rsid w:val="005F47E8"/>
    <w:rsid w:val="005F4927"/>
    <w:rsid w:val="005F4C98"/>
    <w:rsid w:val="005F50E1"/>
    <w:rsid w:val="005F52EB"/>
    <w:rsid w:val="005F5767"/>
    <w:rsid w:val="005F58BF"/>
    <w:rsid w:val="005F6265"/>
    <w:rsid w:val="005F66F6"/>
    <w:rsid w:val="005F6EA1"/>
    <w:rsid w:val="005F72DE"/>
    <w:rsid w:val="005F7BE4"/>
    <w:rsid w:val="006008E3"/>
    <w:rsid w:val="00601284"/>
    <w:rsid w:val="0060163D"/>
    <w:rsid w:val="00601998"/>
    <w:rsid w:val="00602B8A"/>
    <w:rsid w:val="0060301A"/>
    <w:rsid w:val="0060305B"/>
    <w:rsid w:val="0060320B"/>
    <w:rsid w:val="00603269"/>
    <w:rsid w:val="006033FD"/>
    <w:rsid w:val="0060353A"/>
    <w:rsid w:val="00603B7E"/>
    <w:rsid w:val="006042C2"/>
    <w:rsid w:val="00604FD0"/>
    <w:rsid w:val="00605158"/>
    <w:rsid w:val="00605570"/>
    <w:rsid w:val="00605864"/>
    <w:rsid w:val="006058A9"/>
    <w:rsid w:val="00605AA4"/>
    <w:rsid w:val="006062B8"/>
    <w:rsid w:val="00606375"/>
    <w:rsid w:val="00606569"/>
    <w:rsid w:val="00607410"/>
    <w:rsid w:val="006077C7"/>
    <w:rsid w:val="00607A6B"/>
    <w:rsid w:val="00607E8C"/>
    <w:rsid w:val="00607E93"/>
    <w:rsid w:val="006104AC"/>
    <w:rsid w:val="0061079F"/>
    <w:rsid w:val="00610BF1"/>
    <w:rsid w:val="00611808"/>
    <w:rsid w:val="00611CBA"/>
    <w:rsid w:val="00612023"/>
    <w:rsid w:val="006122F3"/>
    <w:rsid w:val="00612B91"/>
    <w:rsid w:val="00612CA7"/>
    <w:rsid w:val="00613393"/>
    <w:rsid w:val="00613697"/>
    <w:rsid w:val="00613A25"/>
    <w:rsid w:val="00613ACE"/>
    <w:rsid w:val="00614133"/>
    <w:rsid w:val="0061468C"/>
    <w:rsid w:val="00614AED"/>
    <w:rsid w:val="00614BD9"/>
    <w:rsid w:val="00614CDB"/>
    <w:rsid w:val="00614DE5"/>
    <w:rsid w:val="00615105"/>
    <w:rsid w:val="006158C8"/>
    <w:rsid w:val="0061599E"/>
    <w:rsid w:val="00615A96"/>
    <w:rsid w:val="00615A9B"/>
    <w:rsid w:val="00615B10"/>
    <w:rsid w:val="00615D44"/>
    <w:rsid w:val="00616083"/>
    <w:rsid w:val="006167F6"/>
    <w:rsid w:val="00616B62"/>
    <w:rsid w:val="00616BA5"/>
    <w:rsid w:val="00616C80"/>
    <w:rsid w:val="00616DE9"/>
    <w:rsid w:val="006171B6"/>
    <w:rsid w:val="00617828"/>
    <w:rsid w:val="00617D2E"/>
    <w:rsid w:val="00617D3C"/>
    <w:rsid w:val="00620772"/>
    <w:rsid w:val="00621182"/>
    <w:rsid w:val="00622763"/>
    <w:rsid w:val="00622D66"/>
    <w:rsid w:val="00623395"/>
    <w:rsid w:val="006233D5"/>
    <w:rsid w:val="006235C8"/>
    <w:rsid w:val="006236F5"/>
    <w:rsid w:val="00624390"/>
    <w:rsid w:val="00624905"/>
    <w:rsid w:val="00624A35"/>
    <w:rsid w:val="00624ACA"/>
    <w:rsid w:val="00624FD2"/>
    <w:rsid w:val="00625B3D"/>
    <w:rsid w:val="006266E2"/>
    <w:rsid w:val="00626974"/>
    <w:rsid w:val="00626B68"/>
    <w:rsid w:val="00626C1E"/>
    <w:rsid w:val="00626F74"/>
    <w:rsid w:val="006271A3"/>
    <w:rsid w:val="006275AF"/>
    <w:rsid w:val="00627D7D"/>
    <w:rsid w:val="00627FB9"/>
    <w:rsid w:val="0063038D"/>
    <w:rsid w:val="00630633"/>
    <w:rsid w:val="00630725"/>
    <w:rsid w:val="00630E39"/>
    <w:rsid w:val="00632601"/>
    <w:rsid w:val="00632833"/>
    <w:rsid w:val="00633A78"/>
    <w:rsid w:val="0063406C"/>
    <w:rsid w:val="006343F9"/>
    <w:rsid w:val="006346BD"/>
    <w:rsid w:val="00634F57"/>
    <w:rsid w:val="006350BA"/>
    <w:rsid w:val="00635597"/>
    <w:rsid w:val="00635A94"/>
    <w:rsid w:val="00635B57"/>
    <w:rsid w:val="00635D02"/>
    <w:rsid w:val="0063683B"/>
    <w:rsid w:val="00636954"/>
    <w:rsid w:val="00637C90"/>
    <w:rsid w:val="006400F5"/>
    <w:rsid w:val="00640444"/>
    <w:rsid w:val="00640823"/>
    <w:rsid w:val="0064132A"/>
    <w:rsid w:val="00641E25"/>
    <w:rsid w:val="00642420"/>
    <w:rsid w:val="0064263B"/>
    <w:rsid w:val="00642C8A"/>
    <w:rsid w:val="00643947"/>
    <w:rsid w:val="0064416E"/>
    <w:rsid w:val="00644364"/>
    <w:rsid w:val="0064442F"/>
    <w:rsid w:val="00644F3B"/>
    <w:rsid w:val="00645808"/>
    <w:rsid w:val="0064604A"/>
    <w:rsid w:val="00647265"/>
    <w:rsid w:val="0064785F"/>
    <w:rsid w:val="00647905"/>
    <w:rsid w:val="006479AC"/>
    <w:rsid w:val="00647F2B"/>
    <w:rsid w:val="006502BC"/>
    <w:rsid w:val="006507BB"/>
    <w:rsid w:val="0065163B"/>
    <w:rsid w:val="00651A40"/>
    <w:rsid w:val="00652190"/>
    <w:rsid w:val="006521A3"/>
    <w:rsid w:val="006523F5"/>
    <w:rsid w:val="006526D0"/>
    <w:rsid w:val="00652933"/>
    <w:rsid w:val="006529F0"/>
    <w:rsid w:val="00652D66"/>
    <w:rsid w:val="00652F07"/>
    <w:rsid w:val="00653420"/>
    <w:rsid w:val="00653D3E"/>
    <w:rsid w:val="00654083"/>
    <w:rsid w:val="006543E0"/>
    <w:rsid w:val="00654B18"/>
    <w:rsid w:val="00654BB9"/>
    <w:rsid w:val="00654CBE"/>
    <w:rsid w:val="00654D31"/>
    <w:rsid w:val="00654D68"/>
    <w:rsid w:val="00654EAF"/>
    <w:rsid w:val="0065501D"/>
    <w:rsid w:val="0065549E"/>
    <w:rsid w:val="00655735"/>
    <w:rsid w:val="00657109"/>
    <w:rsid w:val="0065798D"/>
    <w:rsid w:val="00657EE5"/>
    <w:rsid w:val="00660242"/>
    <w:rsid w:val="006607CF"/>
    <w:rsid w:val="00660ABE"/>
    <w:rsid w:val="00661E01"/>
    <w:rsid w:val="006623A9"/>
    <w:rsid w:val="006628F3"/>
    <w:rsid w:val="00662A29"/>
    <w:rsid w:val="00662CD6"/>
    <w:rsid w:val="00663B00"/>
    <w:rsid w:val="00663CA4"/>
    <w:rsid w:val="00664599"/>
    <w:rsid w:val="006647AE"/>
    <w:rsid w:val="00666421"/>
    <w:rsid w:val="0066674C"/>
    <w:rsid w:val="0066694E"/>
    <w:rsid w:val="00666AD2"/>
    <w:rsid w:val="00666D47"/>
    <w:rsid w:val="00667141"/>
    <w:rsid w:val="0066778E"/>
    <w:rsid w:val="006679FB"/>
    <w:rsid w:val="0067083C"/>
    <w:rsid w:val="00671764"/>
    <w:rsid w:val="00671814"/>
    <w:rsid w:val="006718C6"/>
    <w:rsid w:val="00671E8E"/>
    <w:rsid w:val="00672042"/>
    <w:rsid w:val="0067211F"/>
    <w:rsid w:val="006725C5"/>
    <w:rsid w:val="0067309C"/>
    <w:rsid w:val="006733F3"/>
    <w:rsid w:val="006740C5"/>
    <w:rsid w:val="00674986"/>
    <w:rsid w:val="00675A58"/>
    <w:rsid w:val="00675CFC"/>
    <w:rsid w:val="006760AB"/>
    <w:rsid w:val="00676150"/>
    <w:rsid w:val="0067655E"/>
    <w:rsid w:val="00676AF7"/>
    <w:rsid w:val="00676BCE"/>
    <w:rsid w:val="00676E4E"/>
    <w:rsid w:val="00677C74"/>
    <w:rsid w:val="00677C79"/>
    <w:rsid w:val="00680512"/>
    <w:rsid w:val="006806C7"/>
    <w:rsid w:val="00680A63"/>
    <w:rsid w:val="00680A9A"/>
    <w:rsid w:val="00680B8F"/>
    <w:rsid w:val="00680C79"/>
    <w:rsid w:val="00680FF6"/>
    <w:rsid w:val="006818F5"/>
    <w:rsid w:val="00681CFF"/>
    <w:rsid w:val="00682AAE"/>
    <w:rsid w:val="00682EFF"/>
    <w:rsid w:val="00683238"/>
    <w:rsid w:val="00683847"/>
    <w:rsid w:val="00684900"/>
    <w:rsid w:val="00684B9E"/>
    <w:rsid w:val="00685207"/>
    <w:rsid w:val="0068634C"/>
    <w:rsid w:val="006866A8"/>
    <w:rsid w:val="00686898"/>
    <w:rsid w:val="00686C94"/>
    <w:rsid w:val="00686E95"/>
    <w:rsid w:val="006872FC"/>
    <w:rsid w:val="0068734A"/>
    <w:rsid w:val="00687435"/>
    <w:rsid w:val="00687663"/>
    <w:rsid w:val="006878DF"/>
    <w:rsid w:val="00687B1D"/>
    <w:rsid w:val="00687BCE"/>
    <w:rsid w:val="00687DDC"/>
    <w:rsid w:val="00687EF0"/>
    <w:rsid w:val="0069010E"/>
    <w:rsid w:val="0069056A"/>
    <w:rsid w:val="00690937"/>
    <w:rsid w:val="00691124"/>
    <w:rsid w:val="00691636"/>
    <w:rsid w:val="0069188F"/>
    <w:rsid w:val="00693CE9"/>
    <w:rsid w:val="00694371"/>
    <w:rsid w:val="006943A3"/>
    <w:rsid w:val="00694BC6"/>
    <w:rsid w:val="0069608F"/>
    <w:rsid w:val="006A0FAB"/>
    <w:rsid w:val="006A0FFA"/>
    <w:rsid w:val="006A14BC"/>
    <w:rsid w:val="006A1ADA"/>
    <w:rsid w:val="006A1B34"/>
    <w:rsid w:val="006A203F"/>
    <w:rsid w:val="006A2545"/>
    <w:rsid w:val="006A2913"/>
    <w:rsid w:val="006A2BC6"/>
    <w:rsid w:val="006A2CAF"/>
    <w:rsid w:val="006A2FE4"/>
    <w:rsid w:val="006A4585"/>
    <w:rsid w:val="006A4E17"/>
    <w:rsid w:val="006A526F"/>
    <w:rsid w:val="006A539A"/>
    <w:rsid w:val="006A786A"/>
    <w:rsid w:val="006A7AED"/>
    <w:rsid w:val="006B0403"/>
    <w:rsid w:val="006B05D0"/>
    <w:rsid w:val="006B0897"/>
    <w:rsid w:val="006B0ADA"/>
    <w:rsid w:val="006B0C9E"/>
    <w:rsid w:val="006B0E66"/>
    <w:rsid w:val="006B1B30"/>
    <w:rsid w:val="006B2961"/>
    <w:rsid w:val="006B3146"/>
    <w:rsid w:val="006B31E7"/>
    <w:rsid w:val="006B34CF"/>
    <w:rsid w:val="006B40AE"/>
    <w:rsid w:val="006B4294"/>
    <w:rsid w:val="006B4EEF"/>
    <w:rsid w:val="006B5165"/>
    <w:rsid w:val="006B590F"/>
    <w:rsid w:val="006B5B75"/>
    <w:rsid w:val="006B7333"/>
    <w:rsid w:val="006B7419"/>
    <w:rsid w:val="006B7714"/>
    <w:rsid w:val="006B7A42"/>
    <w:rsid w:val="006B7BEF"/>
    <w:rsid w:val="006B7E31"/>
    <w:rsid w:val="006C03AE"/>
    <w:rsid w:val="006C0602"/>
    <w:rsid w:val="006C09AE"/>
    <w:rsid w:val="006C0A24"/>
    <w:rsid w:val="006C0F03"/>
    <w:rsid w:val="006C0F21"/>
    <w:rsid w:val="006C1094"/>
    <w:rsid w:val="006C1271"/>
    <w:rsid w:val="006C142D"/>
    <w:rsid w:val="006C174F"/>
    <w:rsid w:val="006C192F"/>
    <w:rsid w:val="006C1F5F"/>
    <w:rsid w:val="006C222C"/>
    <w:rsid w:val="006C24B0"/>
    <w:rsid w:val="006C2997"/>
    <w:rsid w:val="006C342E"/>
    <w:rsid w:val="006C35D6"/>
    <w:rsid w:val="006C3A5F"/>
    <w:rsid w:val="006C3CB5"/>
    <w:rsid w:val="006C40A4"/>
    <w:rsid w:val="006C4DF3"/>
    <w:rsid w:val="006C516D"/>
    <w:rsid w:val="006C58E6"/>
    <w:rsid w:val="006C596D"/>
    <w:rsid w:val="006C5B15"/>
    <w:rsid w:val="006C5FB5"/>
    <w:rsid w:val="006C6007"/>
    <w:rsid w:val="006C67F6"/>
    <w:rsid w:val="006C6A71"/>
    <w:rsid w:val="006C7307"/>
    <w:rsid w:val="006C77C6"/>
    <w:rsid w:val="006C786E"/>
    <w:rsid w:val="006C78B0"/>
    <w:rsid w:val="006D0516"/>
    <w:rsid w:val="006D0A60"/>
    <w:rsid w:val="006D0C59"/>
    <w:rsid w:val="006D1998"/>
    <w:rsid w:val="006D1F4B"/>
    <w:rsid w:val="006D279E"/>
    <w:rsid w:val="006D3813"/>
    <w:rsid w:val="006D3AA9"/>
    <w:rsid w:val="006D45DA"/>
    <w:rsid w:val="006D46D7"/>
    <w:rsid w:val="006D591F"/>
    <w:rsid w:val="006D600B"/>
    <w:rsid w:val="006D715B"/>
    <w:rsid w:val="006D7C21"/>
    <w:rsid w:val="006E0237"/>
    <w:rsid w:val="006E09F5"/>
    <w:rsid w:val="006E1080"/>
    <w:rsid w:val="006E142B"/>
    <w:rsid w:val="006E1526"/>
    <w:rsid w:val="006E1F65"/>
    <w:rsid w:val="006E2085"/>
    <w:rsid w:val="006E3A45"/>
    <w:rsid w:val="006E4356"/>
    <w:rsid w:val="006E4D01"/>
    <w:rsid w:val="006E4E86"/>
    <w:rsid w:val="006E5645"/>
    <w:rsid w:val="006E59AE"/>
    <w:rsid w:val="006E66EF"/>
    <w:rsid w:val="006E699E"/>
    <w:rsid w:val="006E6C95"/>
    <w:rsid w:val="006E7E02"/>
    <w:rsid w:val="006F1162"/>
    <w:rsid w:val="006F1452"/>
    <w:rsid w:val="006F1D39"/>
    <w:rsid w:val="006F1DD1"/>
    <w:rsid w:val="006F2217"/>
    <w:rsid w:val="006F23B0"/>
    <w:rsid w:val="006F2513"/>
    <w:rsid w:val="006F2921"/>
    <w:rsid w:val="006F30F7"/>
    <w:rsid w:val="006F366E"/>
    <w:rsid w:val="006F43BF"/>
    <w:rsid w:val="006F45B3"/>
    <w:rsid w:val="006F48CF"/>
    <w:rsid w:val="006F50CD"/>
    <w:rsid w:val="006F563D"/>
    <w:rsid w:val="006F6B33"/>
    <w:rsid w:val="006F7475"/>
    <w:rsid w:val="006F7A4B"/>
    <w:rsid w:val="006F7BCA"/>
    <w:rsid w:val="006F7C73"/>
    <w:rsid w:val="006F7DB4"/>
    <w:rsid w:val="006F7DC0"/>
    <w:rsid w:val="007005AA"/>
    <w:rsid w:val="00700730"/>
    <w:rsid w:val="00700732"/>
    <w:rsid w:val="00700B5E"/>
    <w:rsid w:val="00700D59"/>
    <w:rsid w:val="00701291"/>
    <w:rsid w:val="00701374"/>
    <w:rsid w:val="00703F87"/>
    <w:rsid w:val="00704186"/>
    <w:rsid w:val="00704302"/>
    <w:rsid w:val="0070447D"/>
    <w:rsid w:val="00704545"/>
    <w:rsid w:val="007046FC"/>
    <w:rsid w:val="007048F5"/>
    <w:rsid w:val="00705F93"/>
    <w:rsid w:val="007066CC"/>
    <w:rsid w:val="00707159"/>
    <w:rsid w:val="007077D5"/>
    <w:rsid w:val="007078BB"/>
    <w:rsid w:val="00707E20"/>
    <w:rsid w:val="00710170"/>
    <w:rsid w:val="0071024F"/>
    <w:rsid w:val="007103F4"/>
    <w:rsid w:val="007105AC"/>
    <w:rsid w:val="0071063A"/>
    <w:rsid w:val="00710EE9"/>
    <w:rsid w:val="00711EA8"/>
    <w:rsid w:val="007124F3"/>
    <w:rsid w:val="007129C3"/>
    <w:rsid w:val="00712ED3"/>
    <w:rsid w:val="00713148"/>
    <w:rsid w:val="007131AE"/>
    <w:rsid w:val="0071349C"/>
    <w:rsid w:val="007145E8"/>
    <w:rsid w:val="007149A0"/>
    <w:rsid w:val="00715F7B"/>
    <w:rsid w:val="00716AEB"/>
    <w:rsid w:val="00716E73"/>
    <w:rsid w:val="00716EE4"/>
    <w:rsid w:val="00716F3D"/>
    <w:rsid w:val="00716F8B"/>
    <w:rsid w:val="00717185"/>
    <w:rsid w:val="007174F6"/>
    <w:rsid w:val="00717B3F"/>
    <w:rsid w:val="00717FB6"/>
    <w:rsid w:val="007203C0"/>
    <w:rsid w:val="007204E7"/>
    <w:rsid w:val="00720514"/>
    <w:rsid w:val="007208C0"/>
    <w:rsid w:val="00720AEC"/>
    <w:rsid w:val="007211CD"/>
    <w:rsid w:val="007215F8"/>
    <w:rsid w:val="00722BE4"/>
    <w:rsid w:val="0072303D"/>
    <w:rsid w:val="0072321F"/>
    <w:rsid w:val="00723277"/>
    <w:rsid w:val="0072364A"/>
    <w:rsid w:val="00723947"/>
    <w:rsid w:val="007239C8"/>
    <w:rsid w:val="00724433"/>
    <w:rsid w:val="00724583"/>
    <w:rsid w:val="007246E5"/>
    <w:rsid w:val="0072498B"/>
    <w:rsid w:val="00724A80"/>
    <w:rsid w:val="00724B5C"/>
    <w:rsid w:val="00724B78"/>
    <w:rsid w:val="00725394"/>
    <w:rsid w:val="0072571F"/>
    <w:rsid w:val="00725B58"/>
    <w:rsid w:val="00726D26"/>
    <w:rsid w:val="00727D8E"/>
    <w:rsid w:val="00730000"/>
    <w:rsid w:val="00730473"/>
    <w:rsid w:val="00730494"/>
    <w:rsid w:val="0073097B"/>
    <w:rsid w:val="00730EB5"/>
    <w:rsid w:val="00731244"/>
    <w:rsid w:val="00731480"/>
    <w:rsid w:val="007316F6"/>
    <w:rsid w:val="00731885"/>
    <w:rsid w:val="00731BE4"/>
    <w:rsid w:val="00732031"/>
    <w:rsid w:val="00732322"/>
    <w:rsid w:val="007323C9"/>
    <w:rsid w:val="0073326A"/>
    <w:rsid w:val="00733877"/>
    <w:rsid w:val="00734238"/>
    <w:rsid w:val="00734C23"/>
    <w:rsid w:val="00734ED9"/>
    <w:rsid w:val="00734FF0"/>
    <w:rsid w:val="007351DF"/>
    <w:rsid w:val="00735442"/>
    <w:rsid w:val="0073551E"/>
    <w:rsid w:val="0073563E"/>
    <w:rsid w:val="0073571B"/>
    <w:rsid w:val="00735813"/>
    <w:rsid w:val="00735A35"/>
    <w:rsid w:val="0073633D"/>
    <w:rsid w:val="0073663A"/>
    <w:rsid w:val="0073683E"/>
    <w:rsid w:val="00736898"/>
    <w:rsid w:val="00736B25"/>
    <w:rsid w:val="00736C8D"/>
    <w:rsid w:val="00736F87"/>
    <w:rsid w:val="007379D0"/>
    <w:rsid w:val="00737B47"/>
    <w:rsid w:val="00737D92"/>
    <w:rsid w:val="0074002F"/>
    <w:rsid w:val="00740083"/>
    <w:rsid w:val="0074014A"/>
    <w:rsid w:val="007402D1"/>
    <w:rsid w:val="00740368"/>
    <w:rsid w:val="00740E36"/>
    <w:rsid w:val="007417D3"/>
    <w:rsid w:val="007419B4"/>
    <w:rsid w:val="00741C5C"/>
    <w:rsid w:val="007420BD"/>
    <w:rsid w:val="007420F1"/>
    <w:rsid w:val="007426A8"/>
    <w:rsid w:val="00742842"/>
    <w:rsid w:val="00742BD8"/>
    <w:rsid w:val="00742E34"/>
    <w:rsid w:val="00742EB8"/>
    <w:rsid w:val="007434E5"/>
    <w:rsid w:val="00743DE2"/>
    <w:rsid w:val="007441A2"/>
    <w:rsid w:val="00744FE8"/>
    <w:rsid w:val="00745056"/>
    <w:rsid w:val="0074585F"/>
    <w:rsid w:val="00745876"/>
    <w:rsid w:val="00745AC7"/>
    <w:rsid w:val="00745BBD"/>
    <w:rsid w:val="00745D90"/>
    <w:rsid w:val="00745FC8"/>
    <w:rsid w:val="007462C0"/>
    <w:rsid w:val="007464A1"/>
    <w:rsid w:val="00746A52"/>
    <w:rsid w:val="00746DB9"/>
    <w:rsid w:val="00746F5E"/>
    <w:rsid w:val="00747168"/>
    <w:rsid w:val="007476E6"/>
    <w:rsid w:val="007479A1"/>
    <w:rsid w:val="00747CB9"/>
    <w:rsid w:val="00751668"/>
    <w:rsid w:val="00751A9F"/>
    <w:rsid w:val="0075207B"/>
    <w:rsid w:val="007520E2"/>
    <w:rsid w:val="00752137"/>
    <w:rsid w:val="00752165"/>
    <w:rsid w:val="00752190"/>
    <w:rsid w:val="0075269E"/>
    <w:rsid w:val="00752D2F"/>
    <w:rsid w:val="007533C6"/>
    <w:rsid w:val="00753754"/>
    <w:rsid w:val="00753A6F"/>
    <w:rsid w:val="00753B4E"/>
    <w:rsid w:val="00753D28"/>
    <w:rsid w:val="00753EF2"/>
    <w:rsid w:val="00754067"/>
    <w:rsid w:val="00754A99"/>
    <w:rsid w:val="00754E0C"/>
    <w:rsid w:val="0075529E"/>
    <w:rsid w:val="00755BA4"/>
    <w:rsid w:val="00756057"/>
    <w:rsid w:val="00756726"/>
    <w:rsid w:val="00756796"/>
    <w:rsid w:val="0075736D"/>
    <w:rsid w:val="00757389"/>
    <w:rsid w:val="00757E6A"/>
    <w:rsid w:val="007600F7"/>
    <w:rsid w:val="007609F4"/>
    <w:rsid w:val="00760D1F"/>
    <w:rsid w:val="0076163D"/>
    <w:rsid w:val="00761D70"/>
    <w:rsid w:val="00761F18"/>
    <w:rsid w:val="00762372"/>
    <w:rsid w:val="00762AAC"/>
    <w:rsid w:val="00762D6E"/>
    <w:rsid w:val="00762E6D"/>
    <w:rsid w:val="00762FA6"/>
    <w:rsid w:val="007632C2"/>
    <w:rsid w:val="00763484"/>
    <w:rsid w:val="007638DF"/>
    <w:rsid w:val="00764181"/>
    <w:rsid w:val="00764721"/>
    <w:rsid w:val="0076480A"/>
    <w:rsid w:val="00764D0F"/>
    <w:rsid w:val="00764F4B"/>
    <w:rsid w:val="007667B2"/>
    <w:rsid w:val="00766A16"/>
    <w:rsid w:val="00766AE2"/>
    <w:rsid w:val="00766B37"/>
    <w:rsid w:val="00766EBF"/>
    <w:rsid w:val="0076756A"/>
    <w:rsid w:val="007713EF"/>
    <w:rsid w:val="00771958"/>
    <w:rsid w:val="00771B34"/>
    <w:rsid w:val="007734B2"/>
    <w:rsid w:val="00773716"/>
    <w:rsid w:val="007743DA"/>
    <w:rsid w:val="00774571"/>
    <w:rsid w:val="00775A02"/>
    <w:rsid w:val="00775A85"/>
    <w:rsid w:val="00776255"/>
    <w:rsid w:val="00776A00"/>
    <w:rsid w:val="00776B0C"/>
    <w:rsid w:val="007773EF"/>
    <w:rsid w:val="007774EB"/>
    <w:rsid w:val="007779EC"/>
    <w:rsid w:val="00777A92"/>
    <w:rsid w:val="00777D18"/>
    <w:rsid w:val="00780BED"/>
    <w:rsid w:val="0078187B"/>
    <w:rsid w:val="00781A4D"/>
    <w:rsid w:val="00781FA2"/>
    <w:rsid w:val="00782582"/>
    <w:rsid w:val="00782C2F"/>
    <w:rsid w:val="007832B6"/>
    <w:rsid w:val="007835B9"/>
    <w:rsid w:val="00783907"/>
    <w:rsid w:val="00783F68"/>
    <w:rsid w:val="007845C3"/>
    <w:rsid w:val="00784CE8"/>
    <w:rsid w:val="00784EB4"/>
    <w:rsid w:val="007850A3"/>
    <w:rsid w:val="0078515A"/>
    <w:rsid w:val="0078581C"/>
    <w:rsid w:val="00785991"/>
    <w:rsid w:val="007860EA"/>
    <w:rsid w:val="007868A5"/>
    <w:rsid w:val="00786BBC"/>
    <w:rsid w:val="00786FF4"/>
    <w:rsid w:val="0078761B"/>
    <w:rsid w:val="00787EE5"/>
    <w:rsid w:val="00790E82"/>
    <w:rsid w:val="0079238D"/>
    <w:rsid w:val="007926BA"/>
    <w:rsid w:val="0079276C"/>
    <w:rsid w:val="00792CD4"/>
    <w:rsid w:val="00792EA5"/>
    <w:rsid w:val="007931A7"/>
    <w:rsid w:val="007931F2"/>
    <w:rsid w:val="007937AA"/>
    <w:rsid w:val="00793AE9"/>
    <w:rsid w:val="00793BA1"/>
    <w:rsid w:val="00794AD4"/>
    <w:rsid w:val="00794EC7"/>
    <w:rsid w:val="007950C7"/>
    <w:rsid w:val="0079693E"/>
    <w:rsid w:val="00796B3A"/>
    <w:rsid w:val="00796CED"/>
    <w:rsid w:val="00797193"/>
    <w:rsid w:val="0079764E"/>
    <w:rsid w:val="00797B12"/>
    <w:rsid w:val="00797B97"/>
    <w:rsid w:val="007A0045"/>
    <w:rsid w:val="007A0060"/>
    <w:rsid w:val="007A06CD"/>
    <w:rsid w:val="007A07D8"/>
    <w:rsid w:val="007A0896"/>
    <w:rsid w:val="007A2DBD"/>
    <w:rsid w:val="007A2FBC"/>
    <w:rsid w:val="007A3B0F"/>
    <w:rsid w:val="007A3D75"/>
    <w:rsid w:val="007A3DE0"/>
    <w:rsid w:val="007A4066"/>
    <w:rsid w:val="007A409F"/>
    <w:rsid w:val="007A45FA"/>
    <w:rsid w:val="007A634A"/>
    <w:rsid w:val="007A69ED"/>
    <w:rsid w:val="007A6F38"/>
    <w:rsid w:val="007A6FFF"/>
    <w:rsid w:val="007A724A"/>
    <w:rsid w:val="007A7B0A"/>
    <w:rsid w:val="007A7B25"/>
    <w:rsid w:val="007A7F75"/>
    <w:rsid w:val="007B0135"/>
    <w:rsid w:val="007B0A52"/>
    <w:rsid w:val="007B1509"/>
    <w:rsid w:val="007B1662"/>
    <w:rsid w:val="007B1C76"/>
    <w:rsid w:val="007B2378"/>
    <w:rsid w:val="007B2509"/>
    <w:rsid w:val="007B294E"/>
    <w:rsid w:val="007B2A00"/>
    <w:rsid w:val="007B2AFF"/>
    <w:rsid w:val="007B2F78"/>
    <w:rsid w:val="007B333E"/>
    <w:rsid w:val="007B3413"/>
    <w:rsid w:val="007B3689"/>
    <w:rsid w:val="007B39AE"/>
    <w:rsid w:val="007B3EDE"/>
    <w:rsid w:val="007B4767"/>
    <w:rsid w:val="007B4A3F"/>
    <w:rsid w:val="007B5E54"/>
    <w:rsid w:val="007B6304"/>
    <w:rsid w:val="007B6643"/>
    <w:rsid w:val="007B67F2"/>
    <w:rsid w:val="007B6934"/>
    <w:rsid w:val="007B6E39"/>
    <w:rsid w:val="007B6F8E"/>
    <w:rsid w:val="007B70B4"/>
    <w:rsid w:val="007B760C"/>
    <w:rsid w:val="007B7641"/>
    <w:rsid w:val="007B7D5E"/>
    <w:rsid w:val="007C0649"/>
    <w:rsid w:val="007C07D0"/>
    <w:rsid w:val="007C1071"/>
    <w:rsid w:val="007C1F94"/>
    <w:rsid w:val="007C263B"/>
    <w:rsid w:val="007C2B98"/>
    <w:rsid w:val="007C2DF4"/>
    <w:rsid w:val="007C2E92"/>
    <w:rsid w:val="007C2F06"/>
    <w:rsid w:val="007C3233"/>
    <w:rsid w:val="007C3485"/>
    <w:rsid w:val="007C3641"/>
    <w:rsid w:val="007C3A45"/>
    <w:rsid w:val="007C3A69"/>
    <w:rsid w:val="007C3D2F"/>
    <w:rsid w:val="007C3E43"/>
    <w:rsid w:val="007C3F05"/>
    <w:rsid w:val="007C3FE2"/>
    <w:rsid w:val="007C41CF"/>
    <w:rsid w:val="007C4252"/>
    <w:rsid w:val="007C43DB"/>
    <w:rsid w:val="007C46EC"/>
    <w:rsid w:val="007C5862"/>
    <w:rsid w:val="007C5A13"/>
    <w:rsid w:val="007C5A5D"/>
    <w:rsid w:val="007C5BA0"/>
    <w:rsid w:val="007C5C2F"/>
    <w:rsid w:val="007C6255"/>
    <w:rsid w:val="007C628F"/>
    <w:rsid w:val="007C6371"/>
    <w:rsid w:val="007C6663"/>
    <w:rsid w:val="007C6C12"/>
    <w:rsid w:val="007C74D1"/>
    <w:rsid w:val="007C7832"/>
    <w:rsid w:val="007C7931"/>
    <w:rsid w:val="007C7C2F"/>
    <w:rsid w:val="007D0737"/>
    <w:rsid w:val="007D07C1"/>
    <w:rsid w:val="007D0C34"/>
    <w:rsid w:val="007D1835"/>
    <w:rsid w:val="007D223F"/>
    <w:rsid w:val="007D2466"/>
    <w:rsid w:val="007D2A76"/>
    <w:rsid w:val="007D3727"/>
    <w:rsid w:val="007D3A84"/>
    <w:rsid w:val="007D41C4"/>
    <w:rsid w:val="007D4291"/>
    <w:rsid w:val="007D430F"/>
    <w:rsid w:val="007D472C"/>
    <w:rsid w:val="007D4853"/>
    <w:rsid w:val="007D4BAB"/>
    <w:rsid w:val="007D4C89"/>
    <w:rsid w:val="007D5992"/>
    <w:rsid w:val="007D5B82"/>
    <w:rsid w:val="007D6052"/>
    <w:rsid w:val="007D6292"/>
    <w:rsid w:val="007D66A1"/>
    <w:rsid w:val="007D6A54"/>
    <w:rsid w:val="007D6BE6"/>
    <w:rsid w:val="007D7123"/>
    <w:rsid w:val="007D71A6"/>
    <w:rsid w:val="007D72BF"/>
    <w:rsid w:val="007D7662"/>
    <w:rsid w:val="007E1178"/>
    <w:rsid w:val="007E126A"/>
    <w:rsid w:val="007E1C8B"/>
    <w:rsid w:val="007E1DE6"/>
    <w:rsid w:val="007E1E67"/>
    <w:rsid w:val="007E1ED8"/>
    <w:rsid w:val="007E2268"/>
    <w:rsid w:val="007E2E92"/>
    <w:rsid w:val="007E3A5F"/>
    <w:rsid w:val="007E4708"/>
    <w:rsid w:val="007E4763"/>
    <w:rsid w:val="007E4957"/>
    <w:rsid w:val="007E49A2"/>
    <w:rsid w:val="007E4EE6"/>
    <w:rsid w:val="007E60C2"/>
    <w:rsid w:val="007E62B0"/>
    <w:rsid w:val="007E6353"/>
    <w:rsid w:val="007E689E"/>
    <w:rsid w:val="007E700D"/>
    <w:rsid w:val="007E771C"/>
    <w:rsid w:val="007E793B"/>
    <w:rsid w:val="007E7E48"/>
    <w:rsid w:val="007F00F6"/>
    <w:rsid w:val="007F03D2"/>
    <w:rsid w:val="007F0953"/>
    <w:rsid w:val="007F0E4F"/>
    <w:rsid w:val="007F1003"/>
    <w:rsid w:val="007F11B5"/>
    <w:rsid w:val="007F1803"/>
    <w:rsid w:val="007F19EC"/>
    <w:rsid w:val="007F21A7"/>
    <w:rsid w:val="007F277A"/>
    <w:rsid w:val="007F27CE"/>
    <w:rsid w:val="007F2F94"/>
    <w:rsid w:val="007F37A8"/>
    <w:rsid w:val="007F3B53"/>
    <w:rsid w:val="007F4377"/>
    <w:rsid w:val="007F43E2"/>
    <w:rsid w:val="007F4940"/>
    <w:rsid w:val="007F509C"/>
    <w:rsid w:val="007F560B"/>
    <w:rsid w:val="007F5E10"/>
    <w:rsid w:val="007F5E36"/>
    <w:rsid w:val="007F6D3C"/>
    <w:rsid w:val="007F792F"/>
    <w:rsid w:val="008005F4"/>
    <w:rsid w:val="00800A18"/>
    <w:rsid w:val="00800D4B"/>
    <w:rsid w:val="00800EE0"/>
    <w:rsid w:val="00801969"/>
    <w:rsid w:val="00801977"/>
    <w:rsid w:val="00801F65"/>
    <w:rsid w:val="008021DD"/>
    <w:rsid w:val="00802D2E"/>
    <w:rsid w:val="00802F8C"/>
    <w:rsid w:val="00803347"/>
    <w:rsid w:val="008034E6"/>
    <w:rsid w:val="0080368B"/>
    <w:rsid w:val="00803C62"/>
    <w:rsid w:val="0080442C"/>
    <w:rsid w:val="0080459B"/>
    <w:rsid w:val="00805A76"/>
    <w:rsid w:val="00805AFF"/>
    <w:rsid w:val="00805F21"/>
    <w:rsid w:val="0080615E"/>
    <w:rsid w:val="008061D2"/>
    <w:rsid w:val="00806DC6"/>
    <w:rsid w:val="00807C2B"/>
    <w:rsid w:val="00807C85"/>
    <w:rsid w:val="008100E4"/>
    <w:rsid w:val="00810AE2"/>
    <w:rsid w:val="00810D01"/>
    <w:rsid w:val="008111C7"/>
    <w:rsid w:val="008117B7"/>
    <w:rsid w:val="00811807"/>
    <w:rsid w:val="00811F24"/>
    <w:rsid w:val="00812764"/>
    <w:rsid w:val="00812AB8"/>
    <w:rsid w:val="00812B38"/>
    <w:rsid w:val="00813158"/>
    <w:rsid w:val="00813173"/>
    <w:rsid w:val="008132B7"/>
    <w:rsid w:val="008134D6"/>
    <w:rsid w:val="00813587"/>
    <w:rsid w:val="00813ACE"/>
    <w:rsid w:val="00813D4F"/>
    <w:rsid w:val="008142D1"/>
    <w:rsid w:val="00814FCB"/>
    <w:rsid w:val="0081509B"/>
    <w:rsid w:val="0081675B"/>
    <w:rsid w:val="00817216"/>
    <w:rsid w:val="0081730E"/>
    <w:rsid w:val="0081760B"/>
    <w:rsid w:val="00817676"/>
    <w:rsid w:val="0081782A"/>
    <w:rsid w:val="00817B48"/>
    <w:rsid w:val="00817F5F"/>
    <w:rsid w:val="00820141"/>
    <w:rsid w:val="00820518"/>
    <w:rsid w:val="00820881"/>
    <w:rsid w:val="00820EF4"/>
    <w:rsid w:val="00821CDE"/>
    <w:rsid w:val="008223B3"/>
    <w:rsid w:val="00822615"/>
    <w:rsid w:val="0082284C"/>
    <w:rsid w:val="00822CF2"/>
    <w:rsid w:val="0082322A"/>
    <w:rsid w:val="0082343A"/>
    <w:rsid w:val="00823494"/>
    <w:rsid w:val="00823767"/>
    <w:rsid w:val="00824004"/>
    <w:rsid w:val="00824426"/>
    <w:rsid w:val="00824505"/>
    <w:rsid w:val="00824C3D"/>
    <w:rsid w:val="00825102"/>
    <w:rsid w:val="008253BD"/>
    <w:rsid w:val="008258A3"/>
    <w:rsid w:val="00825A8C"/>
    <w:rsid w:val="00825E7B"/>
    <w:rsid w:val="0082678A"/>
    <w:rsid w:val="0082761F"/>
    <w:rsid w:val="00827846"/>
    <w:rsid w:val="00827923"/>
    <w:rsid w:val="00827B1C"/>
    <w:rsid w:val="00827D8B"/>
    <w:rsid w:val="0083013D"/>
    <w:rsid w:val="008308F8"/>
    <w:rsid w:val="0083097C"/>
    <w:rsid w:val="0083172D"/>
    <w:rsid w:val="00831BBF"/>
    <w:rsid w:val="00831C3E"/>
    <w:rsid w:val="00832127"/>
    <w:rsid w:val="00832D29"/>
    <w:rsid w:val="00832FD6"/>
    <w:rsid w:val="00834169"/>
    <w:rsid w:val="00834314"/>
    <w:rsid w:val="0083444F"/>
    <w:rsid w:val="00834559"/>
    <w:rsid w:val="008345B5"/>
    <w:rsid w:val="00834C90"/>
    <w:rsid w:val="008352B0"/>
    <w:rsid w:val="00835CA7"/>
    <w:rsid w:val="00835E6E"/>
    <w:rsid w:val="00836299"/>
    <w:rsid w:val="00836386"/>
    <w:rsid w:val="00836CA9"/>
    <w:rsid w:val="00836EC6"/>
    <w:rsid w:val="0083748C"/>
    <w:rsid w:val="0083797C"/>
    <w:rsid w:val="00840882"/>
    <w:rsid w:val="00840DF5"/>
    <w:rsid w:val="008410EC"/>
    <w:rsid w:val="00841443"/>
    <w:rsid w:val="0084159A"/>
    <w:rsid w:val="0084166D"/>
    <w:rsid w:val="0084171A"/>
    <w:rsid w:val="00841E1E"/>
    <w:rsid w:val="00842688"/>
    <w:rsid w:val="00843723"/>
    <w:rsid w:val="00843888"/>
    <w:rsid w:val="00843ABA"/>
    <w:rsid w:val="00843E9C"/>
    <w:rsid w:val="00845565"/>
    <w:rsid w:val="00845C20"/>
    <w:rsid w:val="00845CE5"/>
    <w:rsid w:val="008467A8"/>
    <w:rsid w:val="00846C1E"/>
    <w:rsid w:val="008478F5"/>
    <w:rsid w:val="00850366"/>
    <w:rsid w:val="008507AA"/>
    <w:rsid w:val="008509E3"/>
    <w:rsid w:val="00850CCD"/>
    <w:rsid w:val="00850D20"/>
    <w:rsid w:val="00850F6F"/>
    <w:rsid w:val="00851135"/>
    <w:rsid w:val="008513B0"/>
    <w:rsid w:val="00851647"/>
    <w:rsid w:val="0085191D"/>
    <w:rsid w:val="00851B1F"/>
    <w:rsid w:val="00851CDB"/>
    <w:rsid w:val="00851E0E"/>
    <w:rsid w:val="00851E8B"/>
    <w:rsid w:val="008520D7"/>
    <w:rsid w:val="00852595"/>
    <w:rsid w:val="008526CA"/>
    <w:rsid w:val="008528BD"/>
    <w:rsid w:val="00852B9D"/>
    <w:rsid w:val="00852FB9"/>
    <w:rsid w:val="00853199"/>
    <w:rsid w:val="00853639"/>
    <w:rsid w:val="00853EB0"/>
    <w:rsid w:val="00854531"/>
    <w:rsid w:val="0085462A"/>
    <w:rsid w:val="00854E36"/>
    <w:rsid w:val="00854EAB"/>
    <w:rsid w:val="0085596F"/>
    <w:rsid w:val="00855B59"/>
    <w:rsid w:val="00856C64"/>
    <w:rsid w:val="0086004C"/>
    <w:rsid w:val="0086040C"/>
    <w:rsid w:val="008604DD"/>
    <w:rsid w:val="00861967"/>
    <w:rsid w:val="008625B3"/>
    <w:rsid w:val="00862E60"/>
    <w:rsid w:val="00862F5C"/>
    <w:rsid w:val="00863509"/>
    <w:rsid w:val="0086350A"/>
    <w:rsid w:val="00863DF7"/>
    <w:rsid w:val="0086426B"/>
    <w:rsid w:val="008648B8"/>
    <w:rsid w:val="00864B03"/>
    <w:rsid w:val="0086523D"/>
    <w:rsid w:val="008679A3"/>
    <w:rsid w:val="00870071"/>
    <w:rsid w:val="008703E6"/>
    <w:rsid w:val="0087089F"/>
    <w:rsid w:val="008709DE"/>
    <w:rsid w:val="008709E4"/>
    <w:rsid w:val="00870EE3"/>
    <w:rsid w:val="0087147C"/>
    <w:rsid w:val="008718A7"/>
    <w:rsid w:val="008727ED"/>
    <w:rsid w:val="00872AE8"/>
    <w:rsid w:val="00873025"/>
    <w:rsid w:val="00873094"/>
    <w:rsid w:val="00873368"/>
    <w:rsid w:val="00873927"/>
    <w:rsid w:val="00873989"/>
    <w:rsid w:val="008743A0"/>
    <w:rsid w:val="00874DA4"/>
    <w:rsid w:val="00874E16"/>
    <w:rsid w:val="00875189"/>
    <w:rsid w:val="00875226"/>
    <w:rsid w:val="008753E0"/>
    <w:rsid w:val="00875729"/>
    <w:rsid w:val="008760F5"/>
    <w:rsid w:val="008763A8"/>
    <w:rsid w:val="0087708E"/>
    <w:rsid w:val="00877724"/>
    <w:rsid w:val="00880039"/>
    <w:rsid w:val="008801FB"/>
    <w:rsid w:val="00880715"/>
    <w:rsid w:val="00880DE7"/>
    <w:rsid w:val="00880E0B"/>
    <w:rsid w:val="0088123B"/>
    <w:rsid w:val="008812AC"/>
    <w:rsid w:val="00881939"/>
    <w:rsid w:val="00881D5A"/>
    <w:rsid w:val="008826FB"/>
    <w:rsid w:val="00882A5E"/>
    <w:rsid w:val="00882CE8"/>
    <w:rsid w:val="00883339"/>
    <w:rsid w:val="00883A1C"/>
    <w:rsid w:val="008845E5"/>
    <w:rsid w:val="00885233"/>
    <w:rsid w:val="008854E6"/>
    <w:rsid w:val="0088567C"/>
    <w:rsid w:val="00885BF1"/>
    <w:rsid w:val="00886034"/>
    <w:rsid w:val="00886489"/>
    <w:rsid w:val="00887236"/>
    <w:rsid w:val="00887401"/>
    <w:rsid w:val="00887FE0"/>
    <w:rsid w:val="0089079F"/>
    <w:rsid w:val="00890BD5"/>
    <w:rsid w:val="00890DDA"/>
    <w:rsid w:val="00891164"/>
    <w:rsid w:val="008914C0"/>
    <w:rsid w:val="0089173B"/>
    <w:rsid w:val="00891D39"/>
    <w:rsid w:val="008934DA"/>
    <w:rsid w:val="0089355B"/>
    <w:rsid w:val="00894801"/>
    <w:rsid w:val="00894E6F"/>
    <w:rsid w:val="00894F01"/>
    <w:rsid w:val="00895BFB"/>
    <w:rsid w:val="00895EAD"/>
    <w:rsid w:val="00896A66"/>
    <w:rsid w:val="00897155"/>
    <w:rsid w:val="008975E3"/>
    <w:rsid w:val="00897704"/>
    <w:rsid w:val="008977F6"/>
    <w:rsid w:val="008A0323"/>
    <w:rsid w:val="008A05CA"/>
    <w:rsid w:val="008A062B"/>
    <w:rsid w:val="008A0F92"/>
    <w:rsid w:val="008A1190"/>
    <w:rsid w:val="008A1663"/>
    <w:rsid w:val="008A19C4"/>
    <w:rsid w:val="008A21DF"/>
    <w:rsid w:val="008A2D1B"/>
    <w:rsid w:val="008A2D7F"/>
    <w:rsid w:val="008A3B2A"/>
    <w:rsid w:val="008A3B5F"/>
    <w:rsid w:val="008A44DB"/>
    <w:rsid w:val="008A456D"/>
    <w:rsid w:val="008A4656"/>
    <w:rsid w:val="008A486C"/>
    <w:rsid w:val="008A49F7"/>
    <w:rsid w:val="008A5130"/>
    <w:rsid w:val="008A516F"/>
    <w:rsid w:val="008A5A27"/>
    <w:rsid w:val="008A5AE8"/>
    <w:rsid w:val="008A5B8E"/>
    <w:rsid w:val="008A5C7E"/>
    <w:rsid w:val="008A6009"/>
    <w:rsid w:val="008A63A4"/>
    <w:rsid w:val="008A6664"/>
    <w:rsid w:val="008A6CD7"/>
    <w:rsid w:val="008A7116"/>
    <w:rsid w:val="008A773D"/>
    <w:rsid w:val="008A7765"/>
    <w:rsid w:val="008A7A38"/>
    <w:rsid w:val="008A7E73"/>
    <w:rsid w:val="008B11F1"/>
    <w:rsid w:val="008B12DB"/>
    <w:rsid w:val="008B13FD"/>
    <w:rsid w:val="008B191F"/>
    <w:rsid w:val="008B279E"/>
    <w:rsid w:val="008B2915"/>
    <w:rsid w:val="008B2946"/>
    <w:rsid w:val="008B2AAB"/>
    <w:rsid w:val="008B37BD"/>
    <w:rsid w:val="008B4126"/>
    <w:rsid w:val="008B46A5"/>
    <w:rsid w:val="008B4D98"/>
    <w:rsid w:val="008B4DEE"/>
    <w:rsid w:val="008B5264"/>
    <w:rsid w:val="008B545C"/>
    <w:rsid w:val="008B63F7"/>
    <w:rsid w:val="008B64C4"/>
    <w:rsid w:val="008B70DC"/>
    <w:rsid w:val="008B73FF"/>
    <w:rsid w:val="008B7BE2"/>
    <w:rsid w:val="008B7F84"/>
    <w:rsid w:val="008C0455"/>
    <w:rsid w:val="008C14BF"/>
    <w:rsid w:val="008C2041"/>
    <w:rsid w:val="008C2160"/>
    <w:rsid w:val="008C27CF"/>
    <w:rsid w:val="008C311B"/>
    <w:rsid w:val="008C3242"/>
    <w:rsid w:val="008C325C"/>
    <w:rsid w:val="008C406F"/>
    <w:rsid w:val="008C411F"/>
    <w:rsid w:val="008C4647"/>
    <w:rsid w:val="008C4841"/>
    <w:rsid w:val="008C4C2C"/>
    <w:rsid w:val="008C4FFE"/>
    <w:rsid w:val="008C5717"/>
    <w:rsid w:val="008C5DAF"/>
    <w:rsid w:val="008C6370"/>
    <w:rsid w:val="008C63FA"/>
    <w:rsid w:val="008C67FD"/>
    <w:rsid w:val="008C6AD9"/>
    <w:rsid w:val="008C7024"/>
    <w:rsid w:val="008C747D"/>
    <w:rsid w:val="008D0115"/>
    <w:rsid w:val="008D0B50"/>
    <w:rsid w:val="008D1193"/>
    <w:rsid w:val="008D1676"/>
    <w:rsid w:val="008D1BB6"/>
    <w:rsid w:val="008D23F0"/>
    <w:rsid w:val="008D3546"/>
    <w:rsid w:val="008D3596"/>
    <w:rsid w:val="008D36A1"/>
    <w:rsid w:val="008D4347"/>
    <w:rsid w:val="008D53ED"/>
    <w:rsid w:val="008D5848"/>
    <w:rsid w:val="008D5AAE"/>
    <w:rsid w:val="008D71A8"/>
    <w:rsid w:val="008D7457"/>
    <w:rsid w:val="008D77D7"/>
    <w:rsid w:val="008E08F0"/>
    <w:rsid w:val="008E0F46"/>
    <w:rsid w:val="008E135F"/>
    <w:rsid w:val="008E1372"/>
    <w:rsid w:val="008E1577"/>
    <w:rsid w:val="008E1992"/>
    <w:rsid w:val="008E1AE6"/>
    <w:rsid w:val="008E208E"/>
    <w:rsid w:val="008E3413"/>
    <w:rsid w:val="008E347F"/>
    <w:rsid w:val="008E3DC9"/>
    <w:rsid w:val="008E42E5"/>
    <w:rsid w:val="008E4A84"/>
    <w:rsid w:val="008E50CA"/>
    <w:rsid w:val="008E518D"/>
    <w:rsid w:val="008E54D5"/>
    <w:rsid w:val="008E5C2F"/>
    <w:rsid w:val="008E5D1A"/>
    <w:rsid w:val="008E5DF4"/>
    <w:rsid w:val="008E608C"/>
    <w:rsid w:val="008E6354"/>
    <w:rsid w:val="008E6697"/>
    <w:rsid w:val="008E687D"/>
    <w:rsid w:val="008E7100"/>
    <w:rsid w:val="008E710D"/>
    <w:rsid w:val="008E7535"/>
    <w:rsid w:val="008E7F3A"/>
    <w:rsid w:val="008F0789"/>
    <w:rsid w:val="008F0799"/>
    <w:rsid w:val="008F0BA3"/>
    <w:rsid w:val="008F0C4E"/>
    <w:rsid w:val="008F1F08"/>
    <w:rsid w:val="008F20E8"/>
    <w:rsid w:val="008F23AA"/>
    <w:rsid w:val="008F23F7"/>
    <w:rsid w:val="008F2673"/>
    <w:rsid w:val="008F26A7"/>
    <w:rsid w:val="008F29B5"/>
    <w:rsid w:val="008F2C43"/>
    <w:rsid w:val="008F32B4"/>
    <w:rsid w:val="008F39DD"/>
    <w:rsid w:val="008F3A57"/>
    <w:rsid w:val="008F4914"/>
    <w:rsid w:val="008F49E7"/>
    <w:rsid w:val="008F4C7C"/>
    <w:rsid w:val="008F51D7"/>
    <w:rsid w:val="008F52E5"/>
    <w:rsid w:val="008F5BF0"/>
    <w:rsid w:val="008F6121"/>
    <w:rsid w:val="008F685E"/>
    <w:rsid w:val="008F7088"/>
    <w:rsid w:val="008F79C9"/>
    <w:rsid w:val="00900028"/>
    <w:rsid w:val="009001C2"/>
    <w:rsid w:val="009006BD"/>
    <w:rsid w:val="00900AA9"/>
    <w:rsid w:val="0090171F"/>
    <w:rsid w:val="00901D39"/>
    <w:rsid w:val="009022B7"/>
    <w:rsid w:val="009025C0"/>
    <w:rsid w:val="00902E41"/>
    <w:rsid w:val="00903119"/>
    <w:rsid w:val="00903231"/>
    <w:rsid w:val="009033CC"/>
    <w:rsid w:val="009043D3"/>
    <w:rsid w:val="00905275"/>
    <w:rsid w:val="00905558"/>
    <w:rsid w:val="00905822"/>
    <w:rsid w:val="009059F7"/>
    <w:rsid w:val="00905CAF"/>
    <w:rsid w:val="00906293"/>
    <w:rsid w:val="00906585"/>
    <w:rsid w:val="00906868"/>
    <w:rsid w:val="00906ED3"/>
    <w:rsid w:val="00907430"/>
    <w:rsid w:val="00907516"/>
    <w:rsid w:val="00907EB9"/>
    <w:rsid w:val="00910245"/>
    <w:rsid w:val="0091095A"/>
    <w:rsid w:val="00910C1D"/>
    <w:rsid w:val="00910D37"/>
    <w:rsid w:val="00911396"/>
    <w:rsid w:val="0091139A"/>
    <w:rsid w:val="00911AEE"/>
    <w:rsid w:val="00911D51"/>
    <w:rsid w:val="009120B8"/>
    <w:rsid w:val="00912704"/>
    <w:rsid w:val="00912890"/>
    <w:rsid w:val="00912A4C"/>
    <w:rsid w:val="009131F2"/>
    <w:rsid w:val="00913436"/>
    <w:rsid w:val="009134F7"/>
    <w:rsid w:val="00913662"/>
    <w:rsid w:val="00913BB6"/>
    <w:rsid w:val="00914A8C"/>
    <w:rsid w:val="00914F6F"/>
    <w:rsid w:val="0091562C"/>
    <w:rsid w:val="00915A4F"/>
    <w:rsid w:val="00915CCE"/>
    <w:rsid w:val="009160A6"/>
    <w:rsid w:val="009166FD"/>
    <w:rsid w:val="0091695F"/>
    <w:rsid w:val="00916B04"/>
    <w:rsid w:val="00917471"/>
    <w:rsid w:val="009174BA"/>
    <w:rsid w:val="00917FE1"/>
    <w:rsid w:val="0092053D"/>
    <w:rsid w:val="00920B0B"/>
    <w:rsid w:val="00920B3C"/>
    <w:rsid w:val="00920C4D"/>
    <w:rsid w:val="009219A6"/>
    <w:rsid w:val="00921F91"/>
    <w:rsid w:val="009226C8"/>
    <w:rsid w:val="00922813"/>
    <w:rsid w:val="00922C53"/>
    <w:rsid w:val="009236C6"/>
    <w:rsid w:val="00924469"/>
    <w:rsid w:val="00924557"/>
    <w:rsid w:val="00924E28"/>
    <w:rsid w:val="0092508C"/>
    <w:rsid w:val="00925670"/>
    <w:rsid w:val="00926256"/>
    <w:rsid w:val="009267D0"/>
    <w:rsid w:val="009275EE"/>
    <w:rsid w:val="00927624"/>
    <w:rsid w:val="00927C25"/>
    <w:rsid w:val="00927F7F"/>
    <w:rsid w:val="009308A2"/>
    <w:rsid w:val="00930E8F"/>
    <w:rsid w:val="00930EED"/>
    <w:rsid w:val="009313AE"/>
    <w:rsid w:val="00931AEB"/>
    <w:rsid w:val="00931C2C"/>
    <w:rsid w:val="0093289A"/>
    <w:rsid w:val="009331D8"/>
    <w:rsid w:val="00933C5E"/>
    <w:rsid w:val="00933D92"/>
    <w:rsid w:val="00934342"/>
    <w:rsid w:val="009345AF"/>
    <w:rsid w:val="00934697"/>
    <w:rsid w:val="0093490F"/>
    <w:rsid w:val="00934A89"/>
    <w:rsid w:val="00934CEC"/>
    <w:rsid w:val="00934E14"/>
    <w:rsid w:val="00935984"/>
    <w:rsid w:val="00936545"/>
    <w:rsid w:val="00937A34"/>
    <w:rsid w:val="00937F8D"/>
    <w:rsid w:val="00940075"/>
    <w:rsid w:val="0094019E"/>
    <w:rsid w:val="00940233"/>
    <w:rsid w:val="00940E52"/>
    <w:rsid w:val="009412B9"/>
    <w:rsid w:val="0094133C"/>
    <w:rsid w:val="009413C6"/>
    <w:rsid w:val="009416F4"/>
    <w:rsid w:val="009417A4"/>
    <w:rsid w:val="00941962"/>
    <w:rsid w:val="00941E46"/>
    <w:rsid w:val="009429CA"/>
    <w:rsid w:val="00942B40"/>
    <w:rsid w:val="00942C30"/>
    <w:rsid w:val="00942FAF"/>
    <w:rsid w:val="0094305B"/>
    <w:rsid w:val="0094315D"/>
    <w:rsid w:val="00943460"/>
    <w:rsid w:val="00943467"/>
    <w:rsid w:val="00943762"/>
    <w:rsid w:val="00943856"/>
    <w:rsid w:val="00943861"/>
    <w:rsid w:val="00943DAE"/>
    <w:rsid w:val="00943EBC"/>
    <w:rsid w:val="009444B5"/>
    <w:rsid w:val="00944E34"/>
    <w:rsid w:val="009458E3"/>
    <w:rsid w:val="00945BDE"/>
    <w:rsid w:val="00945DEC"/>
    <w:rsid w:val="00946339"/>
    <w:rsid w:val="00946751"/>
    <w:rsid w:val="00946C03"/>
    <w:rsid w:val="009471CB"/>
    <w:rsid w:val="00947421"/>
    <w:rsid w:val="0094757D"/>
    <w:rsid w:val="00947677"/>
    <w:rsid w:val="0094776B"/>
    <w:rsid w:val="009500A1"/>
    <w:rsid w:val="00950242"/>
    <w:rsid w:val="00950363"/>
    <w:rsid w:val="009518C6"/>
    <w:rsid w:val="0095226E"/>
    <w:rsid w:val="00952336"/>
    <w:rsid w:val="009530B0"/>
    <w:rsid w:val="0095413C"/>
    <w:rsid w:val="009551DD"/>
    <w:rsid w:val="00956292"/>
    <w:rsid w:val="00956AB6"/>
    <w:rsid w:val="00956F63"/>
    <w:rsid w:val="0095708F"/>
    <w:rsid w:val="00957475"/>
    <w:rsid w:val="0095761B"/>
    <w:rsid w:val="00957AAA"/>
    <w:rsid w:val="0096019B"/>
    <w:rsid w:val="009602B7"/>
    <w:rsid w:val="0096030D"/>
    <w:rsid w:val="0096047D"/>
    <w:rsid w:val="009609EB"/>
    <w:rsid w:val="00960EC0"/>
    <w:rsid w:val="00961897"/>
    <w:rsid w:val="00961E05"/>
    <w:rsid w:val="00961E6B"/>
    <w:rsid w:val="00961F07"/>
    <w:rsid w:val="00962515"/>
    <w:rsid w:val="009630C9"/>
    <w:rsid w:val="009632D4"/>
    <w:rsid w:val="00963ADC"/>
    <w:rsid w:val="00963D99"/>
    <w:rsid w:val="0096454B"/>
    <w:rsid w:val="00964685"/>
    <w:rsid w:val="00964972"/>
    <w:rsid w:val="00965BD2"/>
    <w:rsid w:val="00965C7D"/>
    <w:rsid w:val="00966650"/>
    <w:rsid w:val="00966FFA"/>
    <w:rsid w:val="009672B9"/>
    <w:rsid w:val="009673E0"/>
    <w:rsid w:val="009675AD"/>
    <w:rsid w:val="00967665"/>
    <w:rsid w:val="00967E9F"/>
    <w:rsid w:val="0097030A"/>
    <w:rsid w:val="00971436"/>
    <w:rsid w:val="00971626"/>
    <w:rsid w:val="00971712"/>
    <w:rsid w:val="00971D1A"/>
    <w:rsid w:val="0097214B"/>
    <w:rsid w:val="00972440"/>
    <w:rsid w:val="009729F2"/>
    <w:rsid w:val="00972C92"/>
    <w:rsid w:val="009732E4"/>
    <w:rsid w:val="00973523"/>
    <w:rsid w:val="009738A3"/>
    <w:rsid w:val="009742CA"/>
    <w:rsid w:val="009747C3"/>
    <w:rsid w:val="009749C2"/>
    <w:rsid w:val="00974D98"/>
    <w:rsid w:val="00974DA2"/>
    <w:rsid w:val="00975539"/>
    <w:rsid w:val="00975C81"/>
    <w:rsid w:val="00975CCE"/>
    <w:rsid w:val="0097614B"/>
    <w:rsid w:val="0097666E"/>
    <w:rsid w:val="009769F8"/>
    <w:rsid w:val="00977022"/>
    <w:rsid w:val="00977194"/>
    <w:rsid w:val="00977A8A"/>
    <w:rsid w:val="0098017C"/>
    <w:rsid w:val="00980B9C"/>
    <w:rsid w:val="00981257"/>
    <w:rsid w:val="00983580"/>
    <w:rsid w:val="00983629"/>
    <w:rsid w:val="00983887"/>
    <w:rsid w:val="00984259"/>
    <w:rsid w:val="00984272"/>
    <w:rsid w:val="00984320"/>
    <w:rsid w:val="0098535B"/>
    <w:rsid w:val="00985669"/>
    <w:rsid w:val="009856BA"/>
    <w:rsid w:val="009862BD"/>
    <w:rsid w:val="009864D9"/>
    <w:rsid w:val="00986615"/>
    <w:rsid w:val="009867AD"/>
    <w:rsid w:val="00986AD8"/>
    <w:rsid w:val="00987821"/>
    <w:rsid w:val="00987941"/>
    <w:rsid w:val="00987E76"/>
    <w:rsid w:val="00990A6B"/>
    <w:rsid w:val="00990ABA"/>
    <w:rsid w:val="00990B6A"/>
    <w:rsid w:val="00990E7E"/>
    <w:rsid w:val="009912AF"/>
    <w:rsid w:val="0099159A"/>
    <w:rsid w:val="00991C64"/>
    <w:rsid w:val="00992074"/>
    <w:rsid w:val="00992F68"/>
    <w:rsid w:val="009933C4"/>
    <w:rsid w:val="0099381D"/>
    <w:rsid w:val="00993A1F"/>
    <w:rsid w:val="00993F50"/>
    <w:rsid w:val="00994092"/>
    <w:rsid w:val="00994271"/>
    <w:rsid w:val="00994640"/>
    <w:rsid w:val="00994792"/>
    <w:rsid w:val="00994BB6"/>
    <w:rsid w:val="0099511F"/>
    <w:rsid w:val="00996238"/>
    <w:rsid w:val="009968B2"/>
    <w:rsid w:val="009976EE"/>
    <w:rsid w:val="009978B5"/>
    <w:rsid w:val="00997937"/>
    <w:rsid w:val="00997DEE"/>
    <w:rsid w:val="00997E68"/>
    <w:rsid w:val="009A02F2"/>
    <w:rsid w:val="009A0604"/>
    <w:rsid w:val="009A1277"/>
    <w:rsid w:val="009A1994"/>
    <w:rsid w:val="009A1B17"/>
    <w:rsid w:val="009A1C3A"/>
    <w:rsid w:val="009A1FEF"/>
    <w:rsid w:val="009A2204"/>
    <w:rsid w:val="009A2302"/>
    <w:rsid w:val="009A2BD2"/>
    <w:rsid w:val="009A2DF5"/>
    <w:rsid w:val="009A2FA1"/>
    <w:rsid w:val="009A3B0C"/>
    <w:rsid w:val="009A4BBF"/>
    <w:rsid w:val="009A4C54"/>
    <w:rsid w:val="009A506E"/>
    <w:rsid w:val="009A5514"/>
    <w:rsid w:val="009A556E"/>
    <w:rsid w:val="009A59CA"/>
    <w:rsid w:val="009A5A63"/>
    <w:rsid w:val="009A5A85"/>
    <w:rsid w:val="009A5EC7"/>
    <w:rsid w:val="009A66F4"/>
    <w:rsid w:val="009A6786"/>
    <w:rsid w:val="009A6DC8"/>
    <w:rsid w:val="009A6F5E"/>
    <w:rsid w:val="009A793C"/>
    <w:rsid w:val="009B0061"/>
    <w:rsid w:val="009B067C"/>
    <w:rsid w:val="009B09DC"/>
    <w:rsid w:val="009B0D0C"/>
    <w:rsid w:val="009B126C"/>
    <w:rsid w:val="009B1275"/>
    <w:rsid w:val="009B157F"/>
    <w:rsid w:val="009B1F43"/>
    <w:rsid w:val="009B2499"/>
    <w:rsid w:val="009B24BD"/>
    <w:rsid w:val="009B27D5"/>
    <w:rsid w:val="009B28D5"/>
    <w:rsid w:val="009B2BEB"/>
    <w:rsid w:val="009B2C64"/>
    <w:rsid w:val="009B3BB0"/>
    <w:rsid w:val="009B500A"/>
    <w:rsid w:val="009B664A"/>
    <w:rsid w:val="009B6DDE"/>
    <w:rsid w:val="009B6F85"/>
    <w:rsid w:val="009B7C46"/>
    <w:rsid w:val="009C0CD2"/>
    <w:rsid w:val="009C1241"/>
    <w:rsid w:val="009C1DA8"/>
    <w:rsid w:val="009C20F2"/>
    <w:rsid w:val="009C2C7C"/>
    <w:rsid w:val="009C2D73"/>
    <w:rsid w:val="009C3C69"/>
    <w:rsid w:val="009C3D54"/>
    <w:rsid w:val="009C3F2B"/>
    <w:rsid w:val="009C3FEE"/>
    <w:rsid w:val="009C46F6"/>
    <w:rsid w:val="009C4C93"/>
    <w:rsid w:val="009C53C2"/>
    <w:rsid w:val="009C6BE7"/>
    <w:rsid w:val="009C75C5"/>
    <w:rsid w:val="009C76B6"/>
    <w:rsid w:val="009D0818"/>
    <w:rsid w:val="009D095E"/>
    <w:rsid w:val="009D0B3B"/>
    <w:rsid w:val="009D0D74"/>
    <w:rsid w:val="009D0FC3"/>
    <w:rsid w:val="009D1372"/>
    <w:rsid w:val="009D1C0F"/>
    <w:rsid w:val="009D2997"/>
    <w:rsid w:val="009D2CD6"/>
    <w:rsid w:val="009D2D20"/>
    <w:rsid w:val="009D435A"/>
    <w:rsid w:val="009D4429"/>
    <w:rsid w:val="009D449D"/>
    <w:rsid w:val="009D47EF"/>
    <w:rsid w:val="009D4E6C"/>
    <w:rsid w:val="009D5358"/>
    <w:rsid w:val="009D57E1"/>
    <w:rsid w:val="009D5867"/>
    <w:rsid w:val="009D5C56"/>
    <w:rsid w:val="009D611E"/>
    <w:rsid w:val="009D6A55"/>
    <w:rsid w:val="009D7C24"/>
    <w:rsid w:val="009E0287"/>
    <w:rsid w:val="009E03D0"/>
    <w:rsid w:val="009E0F2A"/>
    <w:rsid w:val="009E1A67"/>
    <w:rsid w:val="009E1A7F"/>
    <w:rsid w:val="009E1E01"/>
    <w:rsid w:val="009E203E"/>
    <w:rsid w:val="009E2451"/>
    <w:rsid w:val="009E2565"/>
    <w:rsid w:val="009E27AA"/>
    <w:rsid w:val="009E2CCC"/>
    <w:rsid w:val="009E369B"/>
    <w:rsid w:val="009E4105"/>
    <w:rsid w:val="009E4601"/>
    <w:rsid w:val="009E48D9"/>
    <w:rsid w:val="009E4FFD"/>
    <w:rsid w:val="009E530A"/>
    <w:rsid w:val="009E5700"/>
    <w:rsid w:val="009E578C"/>
    <w:rsid w:val="009E6808"/>
    <w:rsid w:val="009E6F11"/>
    <w:rsid w:val="009E702D"/>
    <w:rsid w:val="009E76C2"/>
    <w:rsid w:val="009E77C6"/>
    <w:rsid w:val="009F0963"/>
    <w:rsid w:val="009F1626"/>
    <w:rsid w:val="009F1EA5"/>
    <w:rsid w:val="009F224B"/>
    <w:rsid w:val="009F27AD"/>
    <w:rsid w:val="009F27CA"/>
    <w:rsid w:val="009F2C89"/>
    <w:rsid w:val="009F2F3A"/>
    <w:rsid w:val="009F2FC6"/>
    <w:rsid w:val="009F302A"/>
    <w:rsid w:val="009F3A1E"/>
    <w:rsid w:val="009F3E78"/>
    <w:rsid w:val="009F3FA5"/>
    <w:rsid w:val="009F43D4"/>
    <w:rsid w:val="009F4D07"/>
    <w:rsid w:val="009F5230"/>
    <w:rsid w:val="009F547B"/>
    <w:rsid w:val="009F5B7D"/>
    <w:rsid w:val="009F5D38"/>
    <w:rsid w:val="009F661B"/>
    <w:rsid w:val="009F6BD2"/>
    <w:rsid w:val="009F7054"/>
    <w:rsid w:val="009F7358"/>
    <w:rsid w:val="009F757E"/>
    <w:rsid w:val="009F75B7"/>
    <w:rsid w:val="009F75E6"/>
    <w:rsid w:val="009F775D"/>
    <w:rsid w:val="00A0029E"/>
    <w:rsid w:val="00A00873"/>
    <w:rsid w:val="00A01880"/>
    <w:rsid w:val="00A01ACB"/>
    <w:rsid w:val="00A022AF"/>
    <w:rsid w:val="00A02331"/>
    <w:rsid w:val="00A024C1"/>
    <w:rsid w:val="00A02EA2"/>
    <w:rsid w:val="00A034FE"/>
    <w:rsid w:val="00A03711"/>
    <w:rsid w:val="00A0389C"/>
    <w:rsid w:val="00A03986"/>
    <w:rsid w:val="00A0494C"/>
    <w:rsid w:val="00A04B97"/>
    <w:rsid w:val="00A04BF2"/>
    <w:rsid w:val="00A04F88"/>
    <w:rsid w:val="00A058FF"/>
    <w:rsid w:val="00A06506"/>
    <w:rsid w:val="00A0694F"/>
    <w:rsid w:val="00A06EC3"/>
    <w:rsid w:val="00A07C8D"/>
    <w:rsid w:val="00A07CE5"/>
    <w:rsid w:val="00A07F65"/>
    <w:rsid w:val="00A10E5F"/>
    <w:rsid w:val="00A10F7A"/>
    <w:rsid w:val="00A10F97"/>
    <w:rsid w:val="00A112C7"/>
    <w:rsid w:val="00A11613"/>
    <w:rsid w:val="00A117A4"/>
    <w:rsid w:val="00A119D4"/>
    <w:rsid w:val="00A1272B"/>
    <w:rsid w:val="00A129C2"/>
    <w:rsid w:val="00A12BAA"/>
    <w:rsid w:val="00A135F2"/>
    <w:rsid w:val="00A13BEA"/>
    <w:rsid w:val="00A13F88"/>
    <w:rsid w:val="00A140A0"/>
    <w:rsid w:val="00A146F6"/>
    <w:rsid w:val="00A14B48"/>
    <w:rsid w:val="00A14F8C"/>
    <w:rsid w:val="00A15321"/>
    <w:rsid w:val="00A15933"/>
    <w:rsid w:val="00A15A92"/>
    <w:rsid w:val="00A15C30"/>
    <w:rsid w:val="00A160C7"/>
    <w:rsid w:val="00A16D7A"/>
    <w:rsid w:val="00A16EEA"/>
    <w:rsid w:val="00A16FCB"/>
    <w:rsid w:val="00A1718E"/>
    <w:rsid w:val="00A171F5"/>
    <w:rsid w:val="00A17B05"/>
    <w:rsid w:val="00A17C2D"/>
    <w:rsid w:val="00A200FD"/>
    <w:rsid w:val="00A20157"/>
    <w:rsid w:val="00A2071B"/>
    <w:rsid w:val="00A20B1E"/>
    <w:rsid w:val="00A21AA9"/>
    <w:rsid w:val="00A21C90"/>
    <w:rsid w:val="00A21DDF"/>
    <w:rsid w:val="00A21F72"/>
    <w:rsid w:val="00A21FE4"/>
    <w:rsid w:val="00A22C6E"/>
    <w:rsid w:val="00A239E5"/>
    <w:rsid w:val="00A23BEA"/>
    <w:rsid w:val="00A24AB5"/>
    <w:rsid w:val="00A24AED"/>
    <w:rsid w:val="00A256FA"/>
    <w:rsid w:val="00A25DF3"/>
    <w:rsid w:val="00A2637A"/>
    <w:rsid w:val="00A26C75"/>
    <w:rsid w:val="00A271FB"/>
    <w:rsid w:val="00A277C7"/>
    <w:rsid w:val="00A27A1A"/>
    <w:rsid w:val="00A27EE4"/>
    <w:rsid w:val="00A3037F"/>
    <w:rsid w:val="00A30863"/>
    <w:rsid w:val="00A310BB"/>
    <w:rsid w:val="00A31BDA"/>
    <w:rsid w:val="00A32C04"/>
    <w:rsid w:val="00A32CC1"/>
    <w:rsid w:val="00A32E76"/>
    <w:rsid w:val="00A3405F"/>
    <w:rsid w:val="00A341F4"/>
    <w:rsid w:val="00A34813"/>
    <w:rsid w:val="00A3487A"/>
    <w:rsid w:val="00A356A4"/>
    <w:rsid w:val="00A36AC1"/>
    <w:rsid w:val="00A379DF"/>
    <w:rsid w:val="00A379F3"/>
    <w:rsid w:val="00A37F92"/>
    <w:rsid w:val="00A40203"/>
    <w:rsid w:val="00A40485"/>
    <w:rsid w:val="00A408A0"/>
    <w:rsid w:val="00A418F5"/>
    <w:rsid w:val="00A41C21"/>
    <w:rsid w:val="00A425E6"/>
    <w:rsid w:val="00A42788"/>
    <w:rsid w:val="00A42B35"/>
    <w:rsid w:val="00A43781"/>
    <w:rsid w:val="00A43DB4"/>
    <w:rsid w:val="00A444AF"/>
    <w:rsid w:val="00A4576A"/>
    <w:rsid w:val="00A46389"/>
    <w:rsid w:val="00A464A9"/>
    <w:rsid w:val="00A4768A"/>
    <w:rsid w:val="00A47750"/>
    <w:rsid w:val="00A47759"/>
    <w:rsid w:val="00A50005"/>
    <w:rsid w:val="00A50092"/>
    <w:rsid w:val="00A50175"/>
    <w:rsid w:val="00A50270"/>
    <w:rsid w:val="00A50EF3"/>
    <w:rsid w:val="00A51438"/>
    <w:rsid w:val="00A5169F"/>
    <w:rsid w:val="00A51B6A"/>
    <w:rsid w:val="00A51E27"/>
    <w:rsid w:val="00A52E55"/>
    <w:rsid w:val="00A534A5"/>
    <w:rsid w:val="00A53534"/>
    <w:rsid w:val="00A53698"/>
    <w:rsid w:val="00A54189"/>
    <w:rsid w:val="00A54CAD"/>
    <w:rsid w:val="00A54E95"/>
    <w:rsid w:val="00A5501D"/>
    <w:rsid w:val="00A557B1"/>
    <w:rsid w:val="00A5614F"/>
    <w:rsid w:val="00A5674D"/>
    <w:rsid w:val="00A568B3"/>
    <w:rsid w:val="00A569C5"/>
    <w:rsid w:val="00A56B75"/>
    <w:rsid w:val="00A5707D"/>
    <w:rsid w:val="00A57311"/>
    <w:rsid w:val="00A57527"/>
    <w:rsid w:val="00A5794A"/>
    <w:rsid w:val="00A57FFA"/>
    <w:rsid w:val="00A604E4"/>
    <w:rsid w:val="00A6128D"/>
    <w:rsid w:val="00A6164B"/>
    <w:rsid w:val="00A61B52"/>
    <w:rsid w:val="00A61EF9"/>
    <w:rsid w:val="00A61FEC"/>
    <w:rsid w:val="00A6233E"/>
    <w:rsid w:val="00A623DC"/>
    <w:rsid w:val="00A624C2"/>
    <w:rsid w:val="00A633A3"/>
    <w:rsid w:val="00A638BC"/>
    <w:rsid w:val="00A63A51"/>
    <w:rsid w:val="00A64301"/>
    <w:rsid w:val="00A645D0"/>
    <w:rsid w:val="00A64618"/>
    <w:rsid w:val="00A64830"/>
    <w:rsid w:val="00A64990"/>
    <w:rsid w:val="00A64CC1"/>
    <w:rsid w:val="00A64CF1"/>
    <w:rsid w:val="00A650E8"/>
    <w:rsid w:val="00A65211"/>
    <w:rsid w:val="00A653B9"/>
    <w:rsid w:val="00A658BB"/>
    <w:rsid w:val="00A65A57"/>
    <w:rsid w:val="00A6635A"/>
    <w:rsid w:val="00A6637F"/>
    <w:rsid w:val="00A666AF"/>
    <w:rsid w:val="00A667AC"/>
    <w:rsid w:val="00A669A1"/>
    <w:rsid w:val="00A674E7"/>
    <w:rsid w:val="00A67BEB"/>
    <w:rsid w:val="00A70003"/>
    <w:rsid w:val="00A70431"/>
    <w:rsid w:val="00A70694"/>
    <w:rsid w:val="00A70F09"/>
    <w:rsid w:val="00A7111A"/>
    <w:rsid w:val="00A72158"/>
    <w:rsid w:val="00A72423"/>
    <w:rsid w:val="00A734F2"/>
    <w:rsid w:val="00A73E5C"/>
    <w:rsid w:val="00A7427C"/>
    <w:rsid w:val="00A74A16"/>
    <w:rsid w:val="00A74B1A"/>
    <w:rsid w:val="00A75571"/>
    <w:rsid w:val="00A7622A"/>
    <w:rsid w:val="00A76DCF"/>
    <w:rsid w:val="00A77C90"/>
    <w:rsid w:val="00A77E43"/>
    <w:rsid w:val="00A77F66"/>
    <w:rsid w:val="00A80A1A"/>
    <w:rsid w:val="00A8186C"/>
    <w:rsid w:val="00A81E13"/>
    <w:rsid w:val="00A82415"/>
    <w:rsid w:val="00A83080"/>
    <w:rsid w:val="00A83816"/>
    <w:rsid w:val="00A83F02"/>
    <w:rsid w:val="00A84180"/>
    <w:rsid w:val="00A84804"/>
    <w:rsid w:val="00A855B9"/>
    <w:rsid w:val="00A858F5"/>
    <w:rsid w:val="00A85CDE"/>
    <w:rsid w:val="00A860F9"/>
    <w:rsid w:val="00A8645D"/>
    <w:rsid w:val="00A8706F"/>
    <w:rsid w:val="00A87695"/>
    <w:rsid w:val="00A87B1C"/>
    <w:rsid w:val="00A87B4A"/>
    <w:rsid w:val="00A90FD3"/>
    <w:rsid w:val="00A9182F"/>
    <w:rsid w:val="00A91DE6"/>
    <w:rsid w:val="00A922C7"/>
    <w:rsid w:val="00A922ED"/>
    <w:rsid w:val="00A93D50"/>
    <w:rsid w:val="00A9401A"/>
    <w:rsid w:val="00A9408D"/>
    <w:rsid w:val="00A9588A"/>
    <w:rsid w:val="00A95C73"/>
    <w:rsid w:val="00A95DAE"/>
    <w:rsid w:val="00A971E0"/>
    <w:rsid w:val="00A9728B"/>
    <w:rsid w:val="00A97704"/>
    <w:rsid w:val="00A97A6B"/>
    <w:rsid w:val="00A97AEF"/>
    <w:rsid w:val="00AA09F4"/>
    <w:rsid w:val="00AA0D62"/>
    <w:rsid w:val="00AA116B"/>
    <w:rsid w:val="00AA1B7D"/>
    <w:rsid w:val="00AA1F1A"/>
    <w:rsid w:val="00AA2654"/>
    <w:rsid w:val="00AA2B87"/>
    <w:rsid w:val="00AA3152"/>
    <w:rsid w:val="00AA329E"/>
    <w:rsid w:val="00AA3BA9"/>
    <w:rsid w:val="00AA4288"/>
    <w:rsid w:val="00AA4296"/>
    <w:rsid w:val="00AA42FA"/>
    <w:rsid w:val="00AA4D6A"/>
    <w:rsid w:val="00AA5E8F"/>
    <w:rsid w:val="00AA6814"/>
    <w:rsid w:val="00AA6B34"/>
    <w:rsid w:val="00AA6C91"/>
    <w:rsid w:val="00AA6E71"/>
    <w:rsid w:val="00AA735C"/>
    <w:rsid w:val="00AA77C4"/>
    <w:rsid w:val="00AB0306"/>
    <w:rsid w:val="00AB0D54"/>
    <w:rsid w:val="00AB1164"/>
    <w:rsid w:val="00AB1B89"/>
    <w:rsid w:val="00AB2F69"/>
    <w:rsid w:val="00AB30CC"/>
    <w:rsid w:val="00AB316B"/>
    <w:rsid w:val="00AB431A"/>
    <w:rsid w:val="00AB50E6"/>
    <w:rsid w:val="00AB51FD"/>
    <w:rsid w:val="00AB53DE"/>
    <w:rsid w:val="00AB716B"/>
    <w:rsid w:val="00AB73D3"/>
    <w:rsid w:val="00AB78D8"/>
    <w:rsid w:val="00AB7949"/>
    <w:rsid w:val="00AB7DBD"/>
    <w:rsid w:val="00AC0142"/>
    <w:rsid w:val="00AC0320"/>
    <w:rsid w:val="00AC04A1"/>
    <w:rsid w:val="00AC0A53"/>
    <w:rsid w:val="00AC0C44"/>
    <w:rsid w:val="00AC0E87"/>
    <w:rsid w:val="00AC1226"/>
    <w:rsid w:val="00AC136D"/>
    <w:rsid w:val="00AC1F70"/>
    <w:rsid w:val="00AC20D0"/>
    <w:rsid w:val="00AC2632"/>
    <w:rsid w:val="00AC28A2"/>
    <w:rsid w:val="00AC2C3B"/>
    <w:rsid w:val="00AC3097"/>
    <w:rsid w:val="00AC39DB"/>
    <w:rsid w:val="00AC3AD8"/>
    <w:rsid w:val="00AC42E7"/>
    <w:rsid w:val="00AC4783"/>
    <w:rsid w:val="00AC59C2"/>
    <w:rsid w:val="00AC64BC"/>
    <w:rsid w:val="00AC6CBC"/>
    <w:rsid w:val="00AC6CC0"/>
    <w:rsid w:val="00AC6D1D"/>
    <w:rsid w:val="00AC6E47"/>
    <w:rsid w:val="00AC6FF0"/>
    <w:rsid w:val="00AC7273"/>
    <w:rsid w:val="00AC73FD"/>
    <w:rsid w:val="00AC7B03"/>
    <w:rsid w:val="00AC7BB0"/>
    <w:rsid w:val="00AC7BCB"/>
    <w:rsid w:val="00AD07A9"/>
    <w:rsid w:val="00AD0DB9"/>
    <w:rsid w:val="00AD0EE7"/>
    <w:rsid w:val="00AD1CD2"/>
    <w:rsid w:val="00AD27EA"/>
    <w:rsid w:val="00AD2889"/>
    <w:rsid w:val="00AD2EAC"/>
    <w:rsid w:val="00AD542A"/>
    <w:rsid w:val="00AD577E"/>
    <w:rsid w:val="00AD5866"/>
    <w:rsid w:val="00AD6234"/>
    <w:rsid w:val="00AD63CE"/>
    <w:rsid w:val="00AD6EDB"/>
    <w:rsid w:val="00AD6F9A"/>
    <w:rsid w:val="00AD7186"/>
    <w:rsid w:val="00AD725D"/>
    <w:rsid w:val="00AD733F"/>
    <w:rsid w:val="00AE002F"/>
    <w:rsid w:val="00AE014A"/>
    <w:rsid w:val="00AE0E67"/>
    <w:rsid w:val="00AE0EDB"/>
    <w:rsid w:val="00AE18D9"/>
    <w:rsid w:val="00AE2981"/>
    <w:rsid w:val="00AE3030"/>
    <w:rsid w:val="00AE3CB6"/>
    <w:rsid w:val="00AE4082"/>
    <w:rsid w:val="00AE4347"/>
    <w:rsid w:val="00AE46E6"/>
    <w:rsid w:val="00AE5683"/>
    <w:rsid w:val="00AE5C12"/>
    <w:rsid w:val="00AE5EC1"/>
    <w:rsid w:val="00AE5FFB"/>
    <w:rsid w:val="00AE6048"/>
    <w:rsid w:val="00AE66AC"/>
    <w:rsid w:val="00AE6759"/>
    <w:rsid w:val="00AE68B9"/>
    <w:rsid w:val="00AE69EE"/>
    <w:rsid w:val="00AE6B3E"/>
    <w:rsid w:val="00AE7823"/>
    <w:rsid w:val="00AF017F"/>
    <w:rsid w:val="00AF0201"/>
    <w:rsid w:val="00AF0944"/>
    <w:rsid w:val="00AF0D38"/>
    <w:rsid w:val="00AF273F"/>
    <w:rsid w:val="00AF28EE"/>
    <w:rsid w:val="00AF2C47"/>
    <w:rsid w:val="00AF3237"/>
    <w:rsid w:val="00AF3474"/>
    <w:rsid w:val="00AF3C30"/>
    <w:rsid w:val="00AF3C9B"/>
    <w:rsid w:val="00AF4093"/>
    <w:rsid w:val="00AF47CF"/>
    <w:rsid w:val="00AF4939"/>
    <w:rsid w:val="00AF50CE"/>
    <w:rsid w:val="00AF5591"/>
    <w:rsid w:val="00AF5C6A"/>
    <w:rsid w:val="00AF5D45"/>
    <w:rsid w:val="00AF6C1B"/>
    <w:rsid w:val="00AF71EA"/>
    <w:rsid w:val="00AF7CC4"/>
    <w:rsid w:val="00AF7DBC"/>
    <w:rsid w:val="00AF7F0A"/>
    <w:rsid w:val="00B00078"/>
    <w:rsid w:val="00B002B7"/>
    <w:rsid w:val="00B002CA"/>
    <w:rsid w:val="00B003B7"/>
    <w:rsid w:val="00B00767"/>
    <w:rsid w:val="00B007D7"/>
    <w:rsid w:val="00B007FD"/>
    <w:rsid w:val="00B008FA"/>
    <w:rsid w:val="00B0118E"/>
    <w:rsid w:val="00B011BC"/>
    <w:rsid w:val="00B01704"/>
    <w:rsid w:val="00B023D8"/>
    <w:rsid w:val="00B028F9"/>
    <w:rsid w:val="00B035D8"/>
    <w:rsid w:val="00B03895"/>
    <w:rsid w:val="00B03B78"/>
    <w:rsid w:val="00B03DE4"/>
    <w:rsid w:val="00B03FA9"/>
    <w:rsid w:val="00B04F19"/>
    <w:rsid w:val="00B05D9D"/>
    <w:rsid w:val="00B06611"/>
    <w:rsid w:val="00B06709"/>
    <w:rsid w:val="00B06C7A"/>
    <w:rsid w:val="00B06F36"/>
    <w:rsid w:val="00B07026"/>
    <w:rsid w:val="00B07271"/>
    <w:rsid w:val="00B07389"/>
    <w:rsid w:val="00B0790D"/>
    <w:rsid w:val="00B1025D"/>
    <w:rsid w:val="00B1059C"/>
    <w:rsid w:val="00B11041"/>
    <w:rsid w:val="00B1136C"/>
    <w:rsid w:val="00B114CC"/>
    <w:rsid w:val="00B11AF9"/>
    <w:rsid w:val="00B11B38"/>
    <w:rsid w:val="00B1204D"/>
    <w:rsid w:val="00B12056"/>
    <w:rsid w:val="00B12227"/>
    <w:rsid w:val="00B1243D"/>
    <w:rsid w:val="00B133C4"/>
    <w:rsid w:val="00B144BD"/>
    <w:rsid w:val="00B14AE0"/>
    <w:rsid w:val="00B14C47"/>
    <w:rsid w:val="00B1518D"/>
    <w:rsid w:val="00B1539A"/>
    <w:rsid w:val="00B15F9A"/>
    <w:rsid w:val="00B16294"/>
    <w:rsid w:val="00B16CF8"/>
    <w:rsid w:val="00B172DF"/>
    <w:rsid w:val="00B17365"/>
    <w:rsid w:val="00B17476"/>
    <w:rsid w:val="00B17604"/>
    <w:rsid w:val="00B20B41"/>
    <w:rsid w:val="00B20D72"/>
    <w:rsid w:val="00B21259"/>
    <w:rsid w:val="00B21627"/>
    <w:rsid w:val="00B21A30"/>
    <w:rsid w:val="00B21BAF"/>
    <w:rsid w:val="00B21C37"/>
    <w:rsid w:val="00B21F54"/>
    <w:rsid w:val="00B22461"/>
    <w:rsid w:val="00B2299B"/>
    <w:rsid w:val="00B22EFB"/>
    <w:rsid w:val="00B23212"/>
    <w:rsid w:val="00B2339F"/>
    <w:rsid w:val="00B23419"/>
    <w:rsid w:val="00B23846"/>
    <w:rsid w:val="00B2407D"/>
    <w:rsid w:val="00B240F3"/>
    <w:rsid w:val="00B245B5"/>
    <w:rsid w:val="00B24AA2"/>
    <w:rsid w:val="00B24ADF"/>
    <w:rsid w:val="00B24D0B"/>
    <w:rsid w:val="00B24FDC"/>
    <w:rsid w:val="00B255C5"/>
    <w:rsid w:val="00B25D17"/>
    <w:rsid w:val="00B261D4"/>
    <w:rsid w:val="00B26356"/>
    <w:rsid w:val="00B26851"/>
    <w:rsid w:val="00B2689B"/>
    <w:rsid w:val="00B26C90"/>
    <w:rsid w:val="00B279E5"/>
    <w:rsid w:val="00B27EFC"/>
    <w:rsid w:val="00B302EB"/>
    <w:rsid w:val="00B304AB"/>
    <w:rsid w:val="00B30858"/>
    <w:rsid w:val="00B308AC"/>
    <w:rsid w:val="00B30C58"/>
    <w:rsid w:val="00B30C96"/>
    <w:rsid w:val="00B314AC"/>
    <w:rsid w:val="00B31EEF"/>
    <w:rsid w:val="00B32805"/>
    <w:rsid w:val="00B3472C"/>
    <w:rsid w:val="00B34D0C"/>
    <w:rsid w:val="00B35155"/>
    <w:rsid w:val="00B356A8"/>
    <w:rsid w:val="00B3662A"/>
    <w:rsid w:val="00B36649"/>
    <w:rsid w:val="00B3692D"/>
    <w:rsid w:val="00B36AD5"/>
    <w:rsid w:val="00B36F82"/>
    <w:rsid w:val="00B40A3F"/>
    <w:rsid w:val="00B40EF3"/>
    <w:rsid w:val="00B414A8"/>
    <w:rsid w:val="00B41936"/>
    <w:rsid w:val="00B428A1"/>
    <w:rsid w:val="00B42F23"/>
    <w:rsid w:val="00B4308B"/>
    <w:rsid w:val="00B43E1A"/>
    <w:rsid w:val="00B444A8"/>
    <w:rsid w:val="00B45847"/>
    <w:rsid w:val="00B463FD"/>
    <w:rsid w:val="00B467EF"/>
    <w:rsid w:val="00B47B95"/>
    <w:rsid w:val="00B47E1B"/>
    <w:rsid w:val="00B47ECB"/>
    <w:rsid w:val="00B5092B"/>
    <w:rsid w:val="00B50AA1"/>
    <w:rsid w:val="00B512E0"/>
    <w:rsid w:val="00B51484"/>
    <w:rsid w:val="00B515AC"/>
    <w:rsid w:val="00B51CFB"/>
    <w:rsid w:val="00B52194"/>
    <w:rsid w:val="00B52F58"/>
    <w:rsid w:val="00B53454"/>
    <w:rsid w:val="00B53746"/>
    <w:rsid w:val="00B53A12"/>
    <w:rsid w:val="00B54B66"/>
    <w:rsid w:val="00B54DA9"/>
    <w:rsid w:val="00B55034"/>
    <w:rsid w:val="00B55856"/>
    <w:rsid w:val="00B56426"/>
    <w:rsid w:val="00B56AA7"/>
    <w:rsid w:val="00B56EC5"/>
    <w:rsid w:val="00B57165"/>
    <w:rsid w:val="00B57330"/>
    <w:rsid w:val="00B573FB"/>
    <w:rsid w:val="00B577F6"/>
    <w:rsid w:val="00B57C39"/>
    <w:rsid w:val="00B57C6C"/>
    <w:rsid w:val="00B57CE3"/>
    <w:rsid w:val="00B606CA"/>
    <w:rsid w:val="00B60A7A"/>
    <w:rsid w:val="00B60C0F"/>
    <w:rsid w:val="00B60E57"/>
    <w:rsid w:val="00B60F72"/>
    <w:rsid w:val="00B6124A"/>
    <w:rsid w:val="00B61481"/>
    <w:rsid w:val="00B614D2"/>
    <w:rsid w:val="00B61E46"/>
    <w:rsid w:val="00B61EF2"/>
    <w:rsid w:val="00B62053"/>
    <w:rsid w:val="00B62CA2"/>
    <w:rsid w:val="00B62D00"/>
    <w:rsid w:val="00B62D21"/>
    <w:rsid w:val="00B62D9E"/>
    <w:rsid w:val="00B636C1"/>
    <w:rsid w:val="00B6371E"/>
    <w:rsid w:val="00B63B1C"/>
    <w:rsid w:val="00B65CF9"/>
    <w:rsid w:val="00B662F1"/>
    <w:rsid w:val="00B67515"/>
    <w:rsid w:val="00B67530"/>
    <w:rsid w:val="00B67751"/>
    <w:rsid w:val="00B67C0A"/>
    <w:rsid w:val="00B67CC7"/>
    <w:rsid w:val="00B67D83"/>
    <w:rsid w:val="00B704B0"/>
    <w:rsid w:val="00B70B02"/>
    <w:rsid w:val="00B721C3"/>
    <w:rsid w:val="00B735AC"/>
    <w:rsid w:val="00B7393A"/>
    <w:rsid w:val="00B73BD9"/>
    <w:rsid w:val="00B73EC6"/>
    <w:rsid w:val="00B73ED6"/>
    <w:rsid w:val="00B748A9"/>
    <w:rsid w:val="00B74DBA"/>
    <w:rsid w:val="00B75360"/>
    <w:rsid w:val="00B75486"/>
    <w:rsid w:val="00B75593"/>
    <w:rsid w:val="00B760B1"/>
    <w:rsid w:val="00B76117"/>
    <w:rsid w:val="00B7671B"/>
    <w:rsid w:val="00B773E2"/>
    <w:rsid w:val="00B77BF3"/>
    <w:rsid w:val="00B77D03"/>
    <w:rsid w:val="00B77F1E"/>
    <w:rsid w:val="00B80003"/>
    <w:rsid w:val="00B80036"/>
    <w:rsid w:val="00B80266"/>
    <w:rsid w:val="00B81413"/>
    <w:rsid w:val="00B8187E"/>
    <w:rsid w:val="00B81B73"/>
    <w:rsid w:val="00B820F8"/>
    <w:rsid w:val="00B82195"/>
    <w:rsid w:val="00B82823"/>
    <w:rsid w:val="00B8317D"/>
    <w:rsid w:val="00B83211"/>
    <w:rsid w:val="00B83EB0"/>
    <w:rsid w:val="00B84113"/>
    <w:rsid w:val="00B84E19"/>
    <w:rsid w:val="00B85329"/>
    <w:rsid w:val="00B860DA"/>
    <w:rsid w:val="00B86868"/>
    <w:rsid w:val="00B86C59"/>
    <w:rsid w:val="00B86D95"/>
    <w:rsid w:val="00B87A7C"/>
    <w:rsid w:val="00B87B6C"/>
    <w:rsid w:val="00B87C60"/>
    <w:rsid w:val="00B87D76"/>
    <w:rsid w:val="00B87F36"/>
    <w:rsid w:val="00B90259"/>
    <w:rsid w:val="00B905D5"/>
    <w:rsid w:val="00B9078A"/>
    <w:rsid w:val="00B90ABC"/>
    <w:rsid w:val="00B91630"/>
    <w:rsid w:val="00B91637"/>
    <w:rsid w:val="00B9163A"/>
    <w:rsid w:val="00B91EDD"/>
    <w:rsid w:val="00B91FD4"/>
    <w:rsid w:val="00B9207B"/>
    <w:rsid w:val="00B923EE"/>
    <w:rsid w:val="00B9287B"/>
    <w:rsid w:val="00B93006"/>
    <w:rsid w:val="00B93385"/>
    <w:rsid w:val="00B93715"/>
    <w:rsid w:val="00B93943"/>
    <w:rsid w:val="00B93BA0"/>
    <w:rsid w:val="00B94448"/>
    <w:rsid w:val="00B9457A"/>
    <w:rsid w:val="00B94921"/>
    <w:rsid w:val="00B94DB5"/>
    <w:rsid w:val="00B95581"/>
    <w:rsid w:val="00B95AFC"/>
    <w:rsid w:val="00B95CB9"/>
    <w:rsid w:val="00B95CDD"/>
    <w:rsid w:val="00B95D4B"/>
    <w:rsid w:val="00B96479"/>
    <w:rsid w:val="00B964E0"/>
    <w:rsid w:val="00B96A9B"/>
    <w:rsid w:val="00B97307"/>
    <w:rsid w:val="00B9766A"/>
    <w:rsid w:val="00B9771B"/>
    <w:rsid w:val="00B97903"/>
    <w:rsid w:val="00B97A99"/>
    <w:rsid w:val="00BA02E7"/>
    <w:rsid w:val="00BA0A44"/>
    <w:rsid w:val="00BA0E7F"/>
    <w:rsid w:val="00BA105F"/>
    <w:rsid w:val="00BA14AC"/>
    <w:rsid w:val="00BA1C4F"/>
    <w:rsid w:val="00BA2682"/>
    <w:rsid w:val="00BA280F"/>
    <w:rsid w:val="00BA2DE6"/>
    <w:rsid w:val="00BA36D3"/>
    <w:rsid w:val="00BA4151"/>
    <w:rsid w:val="00BA430C"/>
    <w:rsid w:val="00BA46B9"/>
    <w:rsid w:val="00BA5382"/>
    <w:rsid w:val="00BA54C2"/>
    <w:rsid w:val="00BA5525"/>
    <w:rsid w:val="00BA57DB"/>
    <w:rsid w:val="00BA5B32"/>
    <w:rsid w:val="00BA5D24"/>
    <w:rsid w:val="00BA639B"/>
    <w:rsid w:val="00BA6405"/>
    <w:rsid w:val="00BA6639"/>
    <w:rsid w:val="00BA6698"/>
    <w:rsid w:val="00BA6F39"/>
    <w:rsid w:val="00BA6FDD"/>
    <w:rsid w:val="00BA7005"/>
    <w:rsid w:val="00BA78EC"/>
    <w:rsid w:val="00BB02B1"/>
    <w:rsid w:val="00BB0C7C"/>
    <w:rsid w:val="00BB0DCE"/>
    <w:rsid w:val="00BB1125"/>
    <w:rsid w:val="00BB11A8"/>
    <w:rsid w:val="00BB1706"/>
    <w:rsid w:val="00BB1AFE"/>
    <w:rsid w:val="00BB2AB9"/>
    <w:rsid w:val="00BB3420"/>
    <w:rsid w:val="00BB4F32"/>
    <w:rsid w:val="00BB5D3D"/>
    <w:rsid w:val="00BB65A4"/>
    <w:rsid w:val="00BB68A5"/>
    <w:rsid w:val="00BB78C3"/>
    <w:rsid w:val="00BC029F"/>
    <w:rsid w:val="00BC02FA"/>
    <w:rsid w:val="00BC0895"/>
    <w:rsid w:val="00BC1A36"/>
    <w:rsid w:val="00BC1FB1"/>
    <w:rsid w:val="00BC1FBC"/>
    <w:rsid w:val="00BC29AE"/>
    <w:rsid w:val="00BC2AC9"/>
    <w:rsid w:val="00BC2E4A"/>
    <w:rsid w:val="00BC300D"/>
    <w:rsid w:val="00BC3F1E"/>
    <w:rsid w:val="00BC45C5"/>
    <w:rsid w:val="00BC55F5"/>
    <w:rsid w:val="00BC576D"/>
    <w:rsid w:val="00BC5FEE"/>
    <w:rsid w:val="00BC6371"/>
    <w:rsid w:val="00BC72A1"/>
    <w:rsid w:val="00BC7A0C"/>
    <w:rsid w:val="00BC7C12"/>
    <w:rsid w:val="00BC7DF2"/>
    <w:rsid w:val="00BD00E3"/>
    <w:rsid w:val="00BD0225"/>
    <w:rsid w:val="00BD0522"/>
    <w:rsid w:val="00BD0751"/>
    <w:rsid w:val="00BD1A0F"/>
    <w:rsid w:val="00BD1CF3"/>
    <w:rsid w:val="00BD2131"/>
    <w:rsid w:val="00BD2277"/>
    <w:rsid w:val="00BD2C04"/>
    <w:rsid w:val="00BD38FF"/>
    <w:rsid w:val="00BD39AE"/>
    <w:rsid w:val="00BD3C70"/>
    <w:rsid w:val="00BD3E1A"/>
    <w:rsid w:val="00BD3F81"/>
    <w:rsid w:val="00BD3F94"/>
    <w:rsid w:val="00BD4439"/>
    <w:rsid w:val="00BD48EB"/>
    <w:rsid w:val="00BD4B46"/>
    <w:rsid w:val="00BD4E11"/>
    <w:rsid w:val="00BD509E"/>
    <w:rsid w:val="00BD533A"/>
    <w:rsid w:val="00BD5563"/>
    <w:rsid w:val="00BD581B"/>
    <w:rsid w:val="00BD5E1B"/>
    <w:rsid w:val="00BD65D8"/>
    <w:rsid w:val="00BD6C8B"/>
    <w:rsid w:val="00BD769A"/>
    <w:rsid w:val="00BE0094"/>
    <w:rsid w:val="00BE03C2"/>
    <w:rsid w:val="00BE10CF"/>
    <w:rsid w:val="00BE13ED"/>
    <w:rsid w:val="00BE1A0D"/>
    <w:rsid w:val="00BE1E91"/>
    <w:rsid w:val="00BE23CF"/>
    <w:rsid w:val="00BE249C"/>
    <w:rsid w:val="00BE34C4"/>
    <w:rsid w:val="00BE3B0D"/>
    <w:rsid w:val="00BE3F89"/>
    <w:rsid w:val="00BE42ED"/>
    <w:rsid w:val="00BE43CA"/>
    <w:rsid w:val="00BE51B3"/>
    <w:rsid w:val="00BE5286"/>
    <w:rsid w:val="00BE5BC9"/>
    <w:rsid w:val="00BE6382"/>
    <w:rsid w:val="00BE65B6"/>
    <w:rsid w:val="00BE6A4D"/>
    <w:rsid w:val="00BE773B"/>
    <w:rsid w:val="00BE7998"/>
    <w:rsid w:val="00BE7AD4"/>
    <w:rsid w:val="00BE7D67"/>
    <w:rsid w:val="00BF01B2"/>
    <w:rsid w:val="00BF0286"/>
    <w:rsid w:val="00BF04DA"/>
    <w:rsid w:val="00BF057F"/>
    <w:rsid w:val="00BF0A74"/>
    <w:rsid w:val="00BF0F0C"/>
    <w:rsid w:val="00BF0F5E"/>
    <w:rsid w:val="00BF1005"/>
    <w:rsid w:val="00BF1114"/>
    <w:rsid w:val="00BF12F6"/>
    <w:rsid w:val="00BF151E"/>
    <w:rsid w:val="00BF1733"/>
    <w:rsid w:val="00BF2D04"/>
    <w:rsid w:val="00BF30FD"/>
    <w:rsid w:val="00BF3509"/>
    <w:rsid w:val="00BF3DA5"/>
    <w:rsid w:val="00BF3EE8"/>
    <w:rsid w:val="00BF4F6F"/>
    <w:rsid w:val="00BF4FF6"/>
    <w:rsid w:val="00BF59F1"/>
    <w:rsid w:val="00BF5CF4"/>
    <w:rsid w:val="00BF5EC1"/>
    <w:rsid w:val="00BF5F9B"/>
    <w:rsid w:val="00BF7042"/>
    <w:rsid w:val="00BF72F0"/>
    <w:rsid w:val="00BF74DD"/>
    <w:rsid w:val="00C0058B"/>
    <w:rsid w:val="00C007CB"/>
    <w:rsid w:val="00C009E1"/>
    <w:rsid w:val="00C00BCE"/>
    <w:rsid w:val="00C01BD6"/>
    <w:rsid w:val="00C0218E"/>
    <w:rsid w:val="00C0245B"/>
    <w:rsid w:val="00C024D4"/>
    <w:rsid w:val="00C02F37"/>
    <w:rsid w:val="00C03572"/>
    <w:rsid w:val="00C03B42"/>
    <w:rsid w:val="00C049A7"/>
    <w:rsid w:val="00C04F0B"/>
    <w:rsid w:val="00C0550D"/>
    <w:rsid w:val="00C056D5"/>
    <w:rsid w:val="00C05ACB"/>
    <w:rsid w:val="00C05E7D"/>
    <w:rsid w:val="00C068CB"/>
    <w:rsid w:val="00C06D21"/>
    <w:rsid w:val="00C07B67"/>
    <w:rsid w:val="00C10175"/>
    <w:rsid w:val="00C101BC"/>
    <w:rsid w:val="00C10226"/>
    <w:rsid w:val="00C10A73"/>
    <w:rsid w:val="00C10D5B"/>
    <w:rsid w:val="00C10F27"/>
    <w:rsid w:val="00C112DA"/>
    <w:rsid w:val="00C1134B"/>
    <w:rsid w:val="00C11BD9"/>
    <w:rsid w:val="00C12820"/>
    <w:rsid w:val="00C13499"/>
    <w:rsid w:val="00C138CA"/>
    <w:rsid w:val="00C152D9"/>
    <w:rsid w:val="00C15362"/>
    <w:rsid w:val="00C158E4"/>
    <w:rsid w:val="00C162B2"/>
    <w:rsid w:val="00C16605"/>
    <w:rsid w:val="00C16D84"/>
    <w:rsid w:val="00C16DE0"/>
    <w:rsid w:val="00C173FB"/>
    <w:rsid w:val="00C1776E"/>
    <w:rsid w:val="00C17AEC"/>
    <w:rsid w:val="00C204F1"/>
    <w:rsid w:val="00C2087B"/>
    <w:rsid w:val="00C20D37"/>
    <w:rsid w:val="00C212B4"/>
    <w:rsid w:val="00C218E6"/>
    <w:rsid w:val="00C21B41"/>
    <w:rsid w:val="00C2237D"/>
    <w:rsid w:val="00C22981"/>
    <w:rsid w:val="00C22BE9"/>
    <w:rsid w:val="00C22C8A"/>
    <w:rsid w:val="00C2388D"/>
    <w:rsid w:val="00C24171"/>
    <w:rsid w:val="00C242E7"/>
    <w:rsid w:val="00C24410"/>
    <w:rsid w:val="00C24823"/>
    <w:rsid w:val="00C24C3D"/>
    <w:rsid w:val="00C24CF7"/>
    <w:rsid w:val="00C254BE"/>
    <w:rsid w:val="00C2649F"/>
    <w:rsid w:val="00C26E88"/>
    <w:rsid w:val="00C279A8"/>
    <w:rsid w:val="00C300EC"/>
    <w:rsid w:val="00C30578"/>
    <w:rsid w:val="00C30689"/>
    <w:rsid w:val="00C30A73"/>
    <w:rsid w:val="00C312D2"/>
    <w:rsid w:val="00C315EC"/>
    <w:rsid w:val="00C31716"/>
    <w:rsid w:val="00C320D6"/>
    <w:rsid w:val="00C32542"/>
    <w:rsid w:val="00C32BDC"/>
    <w:rsid w:val="00C33079"/>
    <w:rsid w:val="00C33191"/>
    <w:rsid w:val="00C33254"/>
    <w:rsid w:val="00C33356"/>
    <w:rsid w:val="00C33635"/>
    <w:rsid w:val="00C336ED"/>
    <w:rsid w:val="00C3419A"/>
    <w:rsid w:val="00C342BA"/>
    <w:rsid w:val="00C34B83"/>
    <w:rsid w:val="00C357EE"/>
    <w:rsid w:val="00C36A8B"/>
    <w:rsid w:val="00C375BD"/>
    <w:rsid w:val="00C4107D"/>
    <w:rsid w:val="00C41111"/>
    <w:rsid w:val="00C41D4B"/>
    <w:rsid w:val="00C42D33"/>
    <w:rsid w:val="00C42D4C"/>
    <w:rsid w:val="00C432AE"/>
    <w:rsid w:val="00C43855"/>
    <w:rsid w:val="00C44702"/>
    <w:rsid w:val="00C44996"/>
    <w:rsid w:val="00C4521A"/>
    <w:rsid w:val="00C45C50"/>
    <w:rsid w:val="00C461A7"/>
    <w:rsid w:val="00C46290"/>
    <w:rsid w:val="00C4668F"/>
    <w:rsid w:val="00C474EC"/>
    <w:rsid w:val="00C47593"/>
    <w:rsid w:val="00C47644"/>
    <w:rsid w:val="00C479F6"/>
    <w:rsid w:val="00C47EB7"/>
    <w:rsid w:val="00C47ECB"/>
    <w:rsid w:val="00C50297"/>
    <w:rsid w:val="00C5033D"/>
    <w:rsid w:val="00C5047D"/>
    <w:rsid w:val="00C50ABE"/>
    <w:rsid w:val="00C50E5E"/>
    <w:rsid w:val="00C51555"/>
    <w:rsid w:val="00C51748"/>
    <w:rsid w:val="00C5180E"/>
    <w:rsid w:val="00C51B05"/>
    <w:rsid w:val="00C51CD7"/>
    <w:rsid w:val="00C52EC0"/>
    <w:rsid w:val="00C532A5"/>
    <w:rsid w:val="00C533CD"/>
    <w:rsid w:val="00C53DD8"/>
    <w:rsid w:val="00C53E53"/>
    <w:rsid w:val="00C54892"/>
    <w:rsid w:val="00C55949"/>
    <w:rsid w:val="00C559DA"/>
    <w:rsid w:val="00C559DF"/>
    <w:rsid w:val="00C55DBC"/>
    <w:rsid w:val="00C56377"/>
    <w:rsid w:val="00C56424"/>
    <w:rsid w:val="00C56640"/>
    <w:rsid w:val="00C56961"/>
    <w:rsid w:val="00C56D01"/>
    <w:rsid w:val="00C57052"/>
    <w:rsid w:val="00C603A1"/>
    <w:rsid w:val="00C618F5"/>
    <w:rsid w:val="00C62256"/>
    <w:rsid w:val="00C624E6"/>
    <w:rsid w:val="00C62606"/>
    <w:rsid w:val="00C62840"/>
    <w:rsid w:val="00C6289E"/>
    <w:rsid w:val="00C639FE"/>
    <w:rsid w:val="00C63A4D"/>
    <w:rsid w:val="00C63D60"/>
    <w:rsid w:val="00C64181"/>
    <w:rsid w:val="00C646F8"/>
    <w:rsid w:val="00C6492A"/>
    <w:rsid w:val="00C64F9B"/>
    <w:rsid w:val="00C64FAC"/>
    <w:rsid w:val="00C65055"/>
    <w:rsid w:val="00C651C0"/>
    <w:rsid w:val="00C65762"/>
    <w:rsid w:val="00C65F3F"/>
    <w:rsid w:val="00C663D3"/>
    <w:rsid w:val="00C66854"/>
    <w:rsid w:val="00C668DB"/>
    <w:rsid w:val="00C669C8"/>
    <w:rsid w:val="00C66A92"/>
    <w:rsid w:val="00C66B5D"/>
    <w:rsid w:val="00C6787B"/>
    <w:rsid w:val="00C70D0C"/>
    <w:rsid w:val="00C70FF4"/>
    <w:rsid w:val="00C7109D"/>
    <w:rsid w:val="00C71D93"/>
    <w:rsid w:val="00C72854"/>
    <w:rsid w:val="00C73C3B"/>
    <w:rsid w:val="00C73F9F"/>
    <w:rsid w:val="00C744B0"/>
    <w:rsid w:val="00C74768"/>
    <w:rsid w:val="00C749C3"/>
    <w:rsid w:val="00C75155"/>
    <w:rsid w:val="00C7522B"/>
    <w:rsid w:val="00C752DC"/>
    <w:rsid w:val="00C75BE5"/>
    <w:rsid w:val="00C75CA4"/>
    <w:rsid w:val="00C7626E"/>
    <w:rsid w:val="00C76809"/>
    <w:rsid w:val="00C7685B"/>
    <w:rsid w:val="00C768D4"/>
    <w:rsid w:val="00C769DB"/>
    <w:rsid w:val="00C76C50"/>
    <w:rsid w:val="00C77421"/>
    <w:rsid w:val="00C806C1"/>
    <w:rsid w:val="00C80923"/>
    <w:rsid w:val="00C80D9D"/>
    <w:rsid w:val="00C8261E"/>
    <w:rsid w:val="00C83292"/>
    <w:rsid w:val="00C83774"/>
    <w:rsid w:val="00C83787"/>
    <w:rsid w:val="00C83BD9"/>
    <w:rsid w:val="00C85176"/>
    <w:rsid w:val="00C85CA2"/>
    <w:rsid w:val="00C8755C"/>
    <w:rsid w:val="00C876B2"/>
    <w:rsid w:val="00C87A64"/>
    <w:rsid w:val="00C87B1B"/>
    <w:rsid w:val="00C87DB1"/>
    <w:rsid w:val="00C90996"/>
    <w:rsid w:val="00C91162"/>
    <w:rsid w:val="00C914AA"/>
    <w:rsid w:val="00C91611"/>
    <w:rsid w:val="00C91CD0"/>
    <w:rsid w:val="00C9227C"/>
    <w:rsid w:val="00C9231D"/>
    <w:rsid w:val="00C92E8C"/>
    <w:rsid w:val="00C93231"/>
    <w:rsid w:val="00C936CF"/>
    <w:rsid w:val="00C93D44"/>
    <w:rsid w:val="00C93E28"/>
    <w:rsid w:val="00C94209"/>
    <w:rsid w:val="00C94793"/>
    <w:rsid w:val="00C94B92"/>
    <w:rsid w:val="00C94CBC"/>
    <w:rsid w:val="00C95172"/>
    <w:rsid w:val="00C955BE"/>
    <w:rsid w:val="00C95AD1"/>
    <w:rsid w:val="00C95D60"/>
    <w:rsid w:val="00C96116"/>
    <w:rsid w:val="00C96609"/>
    <w:rsid w:val="00C970C4"/>
    <w:rsid w:val="00C97CE2"/>
    <w:rsid w:val="00C97E7A"/>
    <w:rsid w:val="00CA05C4"/>
    <w:rsid w:val="00CA0D3C"/>
    <w:rsid w:val="00CA11C9"/>
    <w:rsid w:val="00CA1DF0"/>
    <w:rsid w:val="00CA2056"/>
    <w:rsid w:val="00CA2140"/>
    <w:rsid w:val="00CA24A7"/>
    <w:rsid w:val="00CA2703"/>
    <w:rsid w:val="00CA2775"/>
    <w:rsid w:val="00CA2C13"/>
    <w:rsid w:val="00CA328E"/>
    <w:rsid w:val="00CA3841"/>
    <w:rsid w:val="00CA3DC6"/>
    <w:rsid w:val="00CA439D"/>
    <w:rsid w:val="00CA4864"/>
    <w:rsid w:val="00CA4ECD"/>
    <w:rsid w:val="00CA5203"/>
    <w:rsid w:val="00CA5334"/>
    <w:rsid w:val="00CA572B"/>
    <w:rsid w:val="00CA5B0B"/>
    <w:rsid w:val="00CA5EBA"/>
    <w:rsid w:val="00CA5F51"/>
    <w:rsid w:val="00CA646B"/>
    <w:rsid w:val="00CA6AE3"/>
    <w:rsid w:val="00CA7176"/>
    <w:rsid w:val="00CA71A4"/>
    <w:rsid w:val="00CA74AE"/>
    <w:rsid w:val="00CB006E"/>
    <w:rsid w:val="00CB00F6"/>
    <w:rsid w:val="00CB0452"/>
    <w:rsid w:val="00CB052B"/>
    <w:rsid w:val="00CB090D"/>
    <w:rsid w:val="00CB0937"/>
    <w:rsid w:val="00CB1B16"/>
    <w:rsid w:val="00CB1E40"/>
    <w:rsid w:val="00CB2232"/>
    <w:rsid w:val="00CB2976"/>
    <w:rsid w:val="00CB2E50"/>
    <w:rsid w:val="00CB31B8"/>
    <w:rsid w:val="00CB3290"/>
    <w:rsid w:val="00CB34AC"/>
    <w:rsid w:val="00CB3616"/>
    <w:rsid w:val="00CB3CB6"/>
    <w:rsid w:val="00CB3F5C"/>
    <w:rsid w:val="00CB4525"/>
    <w:rsid w:val="00CB4AE4"/>
    <w:rsid w:val="00CB4F30"/>
    <w:rsid w:val="00CB4F57"/>
    <w:rsid w:val="00CB530E"/>
    <w:rsid w:val="00CB569C"/>
    <w:rsid w:val="00CB5ADF"/>
    <w:rsid w:val="00CB5AE2"/>
    <w:rsid w:val="00CB5E88"/>
    <w:rsid w:val="00CB644B"/>
    <w:rsid w:val="00CB67DE"/>
    <w:rsid w:val="00CB683C"/>
    <w:rsid w:val="00CB76C6"/>
    <w:rsid w:val="00CB7EC1"/>
    <w:rsid w:val="00CC0025"/>
    <w:rsid w:val="00CC03C0"/>
    <w:rsid w:val="00CC136D"/>
    <w:rsid w:val="00CC1C0D"/>
    <w:rsid w:val="00CC1CDC"/>
    <w:rsid w:val="00CC1F22"/>
    <w:rsid w:val="00CC3EA0"/>
    <w:rsid w:val="00CC42E3"/>
    <w:rsid w:val="00CC4F2F"/>
    <w:rsid w:val="00CC503E"/>
    <w:rsid w:val="00CC564E"/>
    <w:rsid w:val="00CC5D01"/>
    <w:rsid w:val="00CC639C"/>
    <w:rsid w:val="00CC67BE"/>
    <w:rsid w:val="00CC6EC5"/>
    <w:rsid w:val="00CC7467"/>
    <w:rsid w:val="00CD01C8"/>
    <w:rsid w:val="00CD03AC"/>
    <w:rsid w:val="00CD05C7"/>
    <w:rsid w:val="00CD0C9D"/>
    <w:rsid w:val="00CD19E2"/>
    <w:rsid w:val="00CD2929"/>
    <w:rsid w:val="00CD29A6"/>
    <w:rsid w:val="00CD3286"/>
    <w:rsid w:val="00CD3358"/>
    <w:rsid w:val="00CD3B01"/>
    <w:rsid w:val="00CD4E35"/>
    <w:rsid w:val="00CD537E"/>
    <w:rsid w:val="00CD5BE9"/>
    <w:rsid w:val="00CD613B"/>
    <w:rsid w:val="00CD6FF7"/>
    <w:rsid w:val="00CD76BB"/>
    <w:rsid w:val="00CD76F6"/>
    <w:rsid w:val="00CD7993"/>
    <w:rsid w:val="00CE0735"/>
    <w:rsid w:val="00CE0B42"/>
    <w:rsid w:val="00CE1131"/>
    <w:rsid w:val="00CE1195"/>
    <w:rsid w:val="00CE12A8"/>
    <w:rsid w:val="00CE1499"/>
    <w:rsid w:val="00CE14EB"/>
    <w:rsid w:val="00CE1DEE"/>
    <w:rsid w:val="00CE2558"/>
    <w:rsid w:val="00CE2639"/>
    <w:rsid w:val="00CE2814"/>
    <w:rsid w:val="00CE2ADA"/>
    <w:rsid w:val="00CE2AED"/>
    <w:rsid w:val="00CE2EED"/>
    <w:rsid w:val="00CE354E"/>
    <w:rsid w:val="00CE3C6A"/>
    <w:rsid w:val="00CE3D54"/>
    <w:rsid w:val="00CE411D"/>
    <w:rsid w:val="00CE441D"/>
    <w:rsid w:val="00CE4953"/>
    <w:rsid w:val="00CE4E5D"/>
    <w:rsid w:val="00CE550D"/>
    <w:rsid w:val="00CE566F"/>
    <w:rsid w:val="00CE56EB"/>
    <w:rsid w:val="00CE5717"/>
    <w:rsid w:val="00CE582D"/>
    <w:rsid w:val="00CE5B6B"/>
    <w:rsid w:val="00CE65F1"/>
    <w:rsid w:val="00CE682B"/>
    <w:rsid w:val="00CE71CC"/>
    <w:rsid w:val="00CE73EE"/>
    <w:rsid w:val="00CE761F"/>
    <w:rsid w:val="00CE7816"/>
    <w:rsid w:val="00CF022D"/>
    <w:rsid w:val="00CF04CD"/>
    <w:rsid w:val="00CF05CD"/>
    <w:rsid w:val="00CF0776"/>
    <w:rsid w:val="00CF0A50"/>
    <w:rsid w:val="00CF0F33"/>
    <w:rsid w:val="00CF16E1"/>
    <w:rsid w:val="00CF2225"/>
    <w:rsid w:val="00CF2408"/>
    <w:rsid w:val="00CF2780"/>
    <w:rsid w:val="00CF3041"/>
    <w:rsid w:val="00CF3044"/>
    <w:rsid w:val="00CF3082"/>
    <w:rsid w:val="00CF3390"/>
    <w:rsid w:val="00CF378D"/>
    <w:rsid w:val="00CF45A8"/>
    <w:rsid w:val="00CF4846"/>
    <w:rsid w:val="00CF4986"/>
    <w:rsid w:val="00CF4BE9"/>
    <w:rsid w:val="00CF52A2"/>
    <w:rsid w:val="00CF54C1"/>
    <w:rsid w:val="00CF577E"/>
    <w:rsid w:val="00CF58C2"/>
    <w:rsid w:val="00CF5A21"/>
    <w:rsid w:val="00CF5B5C"/>
    <w:rsid w:val="00CF5C45"/>
    <w:rsid w:val="00CF6524"/>
    <w:rsid w:val="00CF680B"/>
    <w:rsid w:val="00CF6A4F"/>
    <w:rsid w:val="00CF73B7"/>
    <w:rsid w:val="00D00359"/>
    <w:rsid w:val="00D007F7"/>
    <w:rsid w:val="00D00B6D"/>
    <w:rsid w:val="00D00F0C"/>
    <w:rsid w:val="00D01868"/>
    <w:rsid w:val="00D02601"/>
    <w:rsid w:val="00D028F2"/>
    <w:rsid w:val="00D02910"/>
    <w:rsid w:val="00D03092"/>
    <w:rsid w:val="00D04093"/>
    <w:rsid w:val="00D04320"/>
    <w:rsid w:val="00D04933"/>
    <w:rsid w:val="00D049EE"/>
    <w:rsid w:val="00D04B68"/>
    <w:rsid w:val="00D04F6F"/>
    <w:rsid w:val="00D0515A"/>
    <w:rsid w:val="00D053DF"/>
    <w:rsid w:val="00D058A5"/>
    <w:rsid w:val="00D0595E"/>
    <w:rsid w:val="00D05E02"/>
    <w:rsid w:val="00D0623A"/>
    <w:rsid w:val="00D0680D"/>
    <w:rsid w:val="00D070D6"/>
    <w:rsid w:val="00D0736C"/>
    <w:rsid w:val="00D07455"/>
    <w:rsid w:val="00D07FDC"/>
    <w:rsid w:val="00D101F9"/>
    <w:rsid w:val="00D10D48"/>
    <w:rsid w:val="00D1106A"/>
    <w:rsid w:val="00D11535"/>
    <w:rsid w:val="00D11E91"/>
    <w:rsid w:val="00D128A2"/>
    <w:rsid w:val="00D12A9E"/>
    <w:rsid w:val="00D138D1"/>
    <w:rsid w:val="00D13FC4"/>
    <w:rsid w:val="00D146E3"/>
    <w:rsid w:val="00D1489A"/>
    <w:rsid w:val="00D15165"/>
    <w:rsid w:val="00D1569A"/>
    <w:rsid w:val="00D15D51"/>
    <w:rsid w:val="00D15FB3"/>
    <w:rsid w:val="00D167A1"/>
    <w:rsid w:val="00D16EE7"/>
    <w:rsid w:val="00D170FB"/>
    <w:rsid w:val="00D21829"/>
    <w:rsid w:val="00D2197A"/>
    <w:rsid w:val="00D21AD8"/>
    <w:rsid w:val="00D21B7A"/>
    <w:rsid w:val="00D2207C"/>
    <w:rsid w:val="00D226FA"/>
    <w:rsid w:val="00D22DD3"/>
    <w:rsid w:val="00D230AF"/>
    <w:rsid w:val="00D23175"/>
    <w:rsid w:val="00D23300"/>
    <w:rsid w:val="00D239CC"/>
    <w:rsid w:val="00D24894"/>
    <w:rsid w:val="00D25202"/>
    <w:rsid w:val="00D25CEF"/>
    <w:rsid w:val="00D273C3"/>
    <w:rsid w:val="00D27D62"/>
    <w:rsid w:val="00D27D7C"/>
    <w:rsid w:val="00D3006A"/>
    <w:rsid w:val="00D3085E"/>
    <w:rsid w:val="00D30906"/>
    <w:rsid w:val="00D312EA"/>
    <w:rsid w:val="00D3150D"/>
    <w:rsid w:val="00D31B53"/>
    <w:rsid w:val="00D3208A"/>
    <w:rsid w:val="00D322EA"/>
    <w:rsid w:val="00D32EA3"/>
    <w:rsid w:val="00D32FDC"/>
    <w:rsid w:val="00D332CD"/>
    <w:rsid w:val="00D33301"/>
    <w:rsid w:val="00D333E7"/>
    <w:rsid w:val="00D335F3"/>
    <w:rsid w:val="00D33AF3"/>
    <w:rsid w:val="00D33C88"/>
    <w:rsid w:val="00D348E0"/>
    <w:rsid w:val="00D34E72"/>
    <w:rsid w:val="00D35861"/>
    <w:rsid w:val="00D366DF"/>
    <w:rsid w:val="00D368E2"/>
    <w:rsid w:val="00D36B14"/>
    <w:rsid w:val="00D36C5F"/>
    <w:rsid w:val="00D37552"/>
    <w:rsid w:val="00D40488"/>
    <w:rsid w:val="00D405AA"/>
    <w:rsid w:val="00D40626"/>
    <w:rsid w:val="00D406BD"/>
    <w:rsid w:val="00D40704"/>
    <w:rsid w:val="00D4070E"/>
    <w:rsid w:val="00D4083B"/>
    <w:rsid w:val="00D4099E"/>
    <w:rsid w:val="00D411E9"/>
    <w:rsid w:val="00D4167C"/>
    <w:rsid w:val="00D417FA"/>
    <w:rsid w:val="00D419AE"/>
    <w:rsid w:val="00D41CC1"/>
    <w:rsid w:val="00D41F2C"/>
    <w:rsid w:val="00D420F6"/>
    <w:rsid w:val="00D42CD8"/>
    <w:rsid w:val="00D43721"/>
    <w:rsid w:val="00D43D58"/>
    <w:rsid w:val="00D43E37"/>
    <w:rsid w:val="00D44283"/>
    <w:rsid w:val="00D45A96"/>
    <w:rsid w:val="00D46380"/>
    <w:rsid w:val="00D46B74"/>
    <w:rsid w:val="00D46C73"/>
    <w:rsid w:val="00D47974"/>
    <w:rsid w:val="00D5024B"/>
    <w:rsid w:val="00D50535"/>
    <w:rsid w:val="00D509C9"/>
    <w:rsid w:val="00D5173F"/>
    <w:rsid w:val="00D5175D"/>
    <w:rsid w:val="00D51B3E"/>
    <w:rsid w:val="00D51D0C"/>
    <w:rsid w:val="00D523A8"/>
    <w:rsid w:val="00D5294A"/>
    <w:rsid w:val="00D52D2B"/>
    <w:rsid w:val="00D52DC5"/>
    <w:rsid w:val="00D5315D"/>
    <w:rsid w:val="00D53BF6"/>
    <w:rsid w:val="00D5417C"/>
    <w:rsid w:val="00D5419A"/>
    <w:rsid w:val="00D5539F"/>
    <w:rsid w:val="00D5557B"/>
    <w:rsid w:val="00D55BBD"/>
    <w:rsid w:val="00D55BD5"/>
    <w:rsid w:val="00D55F59"/>
    <w:rsid w:val="00D56C1E"/>
    <w:rsid w:val="00D56D9A"/>
    <w:rsid w:val="00D57EE1"/>
    <w:rsid w:val="00D60BCE"/>
    <w:rsid w:val="00D61145"/>
    <w:rsid w:val="00D61936"/>
    <w:rsid w:val="00D62064"/>
    <w:rsid w:val="00D622F2"/>
    <w:rsid w:val="00D624EE"/>
    <w:rsid w:val="00D62771"/>
    <w:rsid w:val="00D62D5A"/>
    <w:rsid w:val="00D633F0"/>
    <w:rsid w:val="00D63516"/>
    <w:rsid w:val="00D63957"/>
    <w:rsid w:val="00D64A99"/>
    <w:rsid w:val="00D64B7C"/>
    <w:rsid w:val="00D64EC5"/>
    <w:rsid w:val="00D6543E"/>
    <w:rsid w:val="00D65757"/>
    <w:rsid w:val="00D665D3"/>
    <w:rsid w:val="00D66A6A"/>
    <w:rsid w:val="00D670C4"/>
    <w:rsid w:val="00D67425"/>
    <w:rsid w:val="00D678D3"/>
    <w:rsid w:val="00D70588"/>
    <w:rsid w:val="00D70C38"/>
    <w:rsid w:val="00D70D25"/>
    <w:rsid w:val="00D7166A"/>
    <w:rsid w:val="00D71A86"/>
    <w:rsid w:val="00D71BBD"/>
    <w:rsid w:val="00D71E5F"/>
    <w:rsid w:val="00D71F04"/>
    <w:rsid w:val="00D71F69"/>
    <w:rsid w:val="00D7276E"/>
    <w:rsid w:val="00D729B8"/>
    <w:rsid w:val="00D72C82"/>
    <w:rsid w:val="00D734F9"/>
    <w:rsid w:val="00D7380E"/>
    <w:rsid w:val="00D7384D"/>
    <w:rsid w:val="00D738FD"/>
    <w:rsid w:val="00D73DE8"/>
    <w:rsid w:val="00D73E63"/>
    <w:rsid w:val="00D73EA5"/>
    <w:rsid w:val="00D7426F"/>
    <w:rsid w:val="00D743E2"/>
    <w:rsid w:val="00D74B33"/>
    <w:rsid w:val="00D74C34"/>
    <w:rsid w:val="00D74F1A"/>
    <w:rsid w:val="00D750C3"/>
    <w:rsid w:val="00D75519"/>
    <w:rsid w:val="00D75FF8"/>
    <w:rsid w:val="00D76727"/>
    <w:rsid w:val="00D76A61"/>
    <w:rsid w:val="00D773AD"/>
    <w:rsid w:val="00D77DA7"/>
    <w:rsid w:val="00D800CA"/>
    <w:rsid w:val="00D8055D"/>
    <w:rsid w:val="00D80AAF"/>
    <w:rsid w:val="00D81077"/>
    <w:rsid w:val="00D811F5"/>
    <w:rsid w:val="00D8156C"/>
    <w:rsid w:val="00D816E2"/>
    <w:rsid w:val="00D81790"/>
    <w:rsid w:val="00D818B9"/>
    <w:rsid w:val="00D8198E"/>
    <w:rsid w:val="00D81BFB"/>
    <w:rsid w:val="00D82091"/>
    <w:rsid w:val="00D820D2"/>
    <w:rsid w:val="00D828DF"/>
    <w:rsid w:val="00D82924"/>
    <w:rsid w:val="00D83762"/>
    <w:rsid w:val="00D83997"/>
    <w:rsid w:val="00D83FA6"/>
    <w:rsid w:val="00D84BC4"/>
    <w:rsid w:val="00D84EC8"/>
    <w:rsid w:val="00D8535B"/>
    <w:rsid w:val="00D85399"/>
    <w:rsid w:val="00D85918"/>
    <w:rsid w:val="00D85956"/>
    <w:rsid w:val="00D85975"/>
    <w:rsid w:val="00D85A8A"/>
    <w:rsid w:val="00D85D04"/>
    <w:rsid w:val="00D86250"/>
    <w:rsid w:val="00D863FA"/>
    <w:rsid w:val="00D86444"/>
    <w:rsid w:val="00D86904"/>
    <w:rsid w:val="00D86BF8"/>
    <w:rsid w:val="00D86D6C"/>
    <w:rsid w:val="00D907A6"/>
    <w:rsid w:val="00D909C7"/>
    <w:rsid w:val="00D90E80"/>
    <w:rsid w:val="00D90EF0"/>
    <w:rsid w:val="00D911A0"/>
    <w:rsid w:val="00D919C5"/>
    <w:rsid w:val="00D91C19"/>
    <w:rsid w:val="00D91C25"/>
    <w:rsid w:val="00D920D3"/>
    <w:rsid w:val="00D92A38"/>
    <w:rsid w:val="00D92A5B"/>
    <w:rsid w:val="00D92CE8"/>
    <w:rsid w:val="00D92D28"/>
    <w:rsid w:val="00D92D54"/>
    <w:rsid w:val="00D93866"/>
    <w:rsid w:val="00D93A2E"/>
    <w:rsid w:val="00D93ACE"/>
    <w:rsid w:val="00D93B53"/>
    <w:rsid w:val="00D94CFF"/>
    <w:rsid w:val="00D951A0"/>
    <w:rsid w:val="00D95EF6"/>
    <w:rsid w:val="00D96324"/>
    <w:rsid w:val="00D96740"/>
    <w:rsid w:val="00D96781"/>
    <w:rsid w:val="00D9686D"/>
    <w:rsid w:val="00D968C6"/>
    <w:rsid w:val="00D97243"/>
    <w:rsid w:val="00D97C53"/>
    <w:rsid w:val="00D97EC6"/>
    <w:rsid w:val="00DA002F"/>
    <w:rsid w:val="00DA0151"/>
    <w:rsid w:val="00DA0304"/>
    <w:rsid w:val="00DA0FED"/>
    <w:rsid w:val="00DA1707"/>
    <w:rsid w:val="00DA18D0"/>
    <w:rsid w:val="00DA1EE8"/>
    <w:rsid w:val="00DA20C5"/>
    <w:rsid w:val="00DA2BD1"/>
    <w:rsid w:val="00DA3496"/>
    <w:rsid w:val="00DA3A57"/>
    <w:rsid w:val="00DA3BC2"/>
    <w:rsid w:val="00DA3CC3"/>
    <w:rsid w:val="00DA4005"/>
    <w:rsid w:val="00DA420D"/>
    <w:rsid w:val="00DA4262"/>
    <w:rsid w:val="00DA4E4D"/>
    <w:rsid w:val="00DA5ED3"/>
    <w:rsid w:val="00DA605C"/>
    <w:rsid w:val="00DA616F"/>
    <w:rsid w:val="00DA6220"/>
    <w:rsid w:val="00DA649C"/>
    <w:rsid w:val="00DA70F5"/>
    <w:rsid w:val="00DA76F6"/>
    <w:rsid w:val="00DA78F6"/>
    <w:rsid w:val="00DA7B10"/>
    <w:rsid w:val="00DB0025"/>
    <w:rsid w:val="00DB03E8"/>
    <w:rsid w:val="00DB0743"/>
    <w:rsid w:val="00DB0A70"/>
    <w:rsid w:val="00DB0A95"/>
    <w:rsid w:val="00DB0FDA"/>
    <w:rsid w:val="00DB17B1"/>
    <w:rsid w:val="00DB194E"/>
    <w:rsid w:val="00DB201A"/>
    <w:rsid w:val="00DB2168"/>
    <w:rsid w:val="00DB2338"/>
    <w:rsid w:val="00DB2365"/>
    <w:rsid w:val="00DB2B56"/>
    <w:rsid w:val="00DB2D27"/>
    <w:rsid w:val="00DB2DD6"/>
    <w:rsid w:val="00DB3027"/>
    <w:rsid w:val="00DB32F6"/>
    <w:rsid w:val="00DB34C0"/>
    <w:rsid w:val="00DB39FB"/>
    <w:rsid w:val="00DB3E1A"/>
    <w:rsid w:val="00DB4571"/>
    <w:rsid w:val="00DB4599"/>
    <w:rsid w:val="00DB4DB4"/>
    <w:rsid w:val="00DB4FC4"/>
    <w:rsid w:val="00DB539C"/>
    <w:rsid w:val="00DB5EB9"/>
    <w:rsid w:val="00DB611E"/>
    <w:rsid w:val="00DB6507"/>
    <w:rsid w:val="00DB65CD"/>
    <w:rsid w:val="00DB746A"/>
    <w:rsid w:val="00DB7515"/>
    <w:rsid w:val="00DB7DFC"/>
    <w:rsid w:val="00DC04B3"/>
    <w:rsid w:val="00DC0B70"/>
    <w:rsid w:val="00DC1038"/>
    <w:rsid w:val="00DC186D"/>
    <w:rsid w:val="00DC2536"/>
    <w:rsid w:val="00DC2570"/>
    <w:rsid w:val="00DC2C93"/>
    <w:rsid w:val="00DC35A9"/>
    <w:rsid w:val="00DC3C1A"/>
    <w:rsid w:val="00DC4DAF"/>
    <w:rsid w:val="00DC57C6"/>
    <w:rsid w:val="00DC57E7"/>
    <w:rsid w:val="00DC5BDC"/>
    <w:rsid w:val="00DC71EE"/>
    <w:rsid w:val="00DC7546"/>
    <w:rsid w:val="00DC7712"/>
    <w:rsid w:val="00DD0370"/>
    <w:rsid w:val="00DD0421"/>
    <w:rsid w:val="00DD0688"/>
    <w:rsid w:val="00DD0834"/>
    <w:rsid w:val="00DD0897"/>
    <w:rsid w:val="00DD0D83"/>
    <w:rsid w:val="00DD1EB3"/>
    <w:rsid w:val="00DD1F8D"/>
    <w:rsid w:val="00DD2856"/>
    <w:rsid w:val="00DD346F"/>
    <w:rsid w:val="00DD3F33"/>
    <w:rsid w:val="00DD495A"/>
    <w:rsid w:val="00DD49CA"/>
    <w:rsid w:val="00DD4E35"/>
    <w:rsid w:val="00DD50E9"/>
    <w:rsid w:val="00DD53A2"/>
    <w:rsid w:val="00DD5A75"/>
    <w:rsid w:val="00DD5DEE"/>
    <w:rsid w:val="00DD6131"/>
    <w:rsid w:val="00DD6470"/>
    <w:rsid w:val="00DD6655"/>
    <w:rsid w:val="00DD67F8"/>
    <w:rsid w:val="00DD6C19"/>
    <w:rsid w:val="00DD6CB7"/>
    <w:rsid w:val="00DD7170"/>
    <w:rsid w:val="00DD726E"/>
    <w:rsid w:val="00DD7509"/>
    <w:rsid w:val="00DE0B21"/>
    <w:rsid w:val="00DE0C21"/>
    <w:rsid w:val="00DE12DC"/>
    <w:rsid w:val="00DE13AF"/>
    <w:rsid w:val="00DE1466"/>
    <w:rsid w:val="00DE15D5"/>
    <w:rsid w:val="00DE16D6"/>
    <w:rsid w:val="00DE2AB2"/>
    <w:rsid w:val="00DE30B7"/>
    <w:rsid w:val="00DE341A"/>
    <w:rsid w:val="00DE34AA"/>
    <w:rsid w:val="00DE34CD"/>
    <w:rsid w:val="00DE368D"/>
    <w:rsid w:val="00DE38CD"/>
    <w:rsid w:val="00DE38DC"/>
    <w:rsid w:val="00DE394E"/>
    <w:rsid w:val="00DE3EE8"/>
    <w:rsid w:val="00DE3F88"/>
    <w:rsid w:val="00DE4117"/>
    <w:rsid w:val="00DE4F65"/>
    <w:rsid w:val="00DE5143"/>
    <w:rsid w:val="00DE588F"/>
    <w:rsid w:val="00DE5912"/>
    <w:rsid w:val="00DE5F48"/>
    <w:rsid w:val="00DE639F"/>
    <w:rsid w:val="00DE657F"/>
    <w:rsid w:val="00DE6734"/>
    <w:rsid w:val="00DE686F"/>
    <w:rsid w:val="00DE6D45"/>
    <w:rsid w:val="00DE6EA4"/>
    <w:rsid w:val="00DE6EBD"/>
    <w:rsid w:val="00DE6EBF"/>
    <w:rsid w:val="00DE71B8"/>
    <w:rsid w:val="00DE79E8"/>
    <w:rsid w:val="00DF0359"/>
    <w:rsid w:val="00DF0ACD"/>
    <w:rsid w:val="00DF136F"/>
    <w:rsid w:val="00DF141D"/>
    <w:rsid w:val="00DF1428"/>
    <w:rsid w:val="00DF1AFA"/>
    <w:rsid w:val="00DF20DC"/>
    <w:rsid w:val="00DF21BE"/>
    <w:rsid w:val="00DF2E6B"/>
    <w:rsid w:val="00DF32D3"/>
    <w:rsid w:val="00DF32E9"/>
    <w:rsid w:val="00DF378C"/>
    <w:rsid w:val="00DF38CF"/>
    <w:rsid w:val="00DF3970"/>
    <w:rsid w:val="00DF3CDE"/>
    <w:rsid w:val="00DF40C5"/>
    <w:rsid w:val="00DF4297"/>
    <w:rsid w:val="00DF4603"/>
    <w:rsid w:val="00DF4920"/>
    <w:rsid w:val="00DF49BF"/>
    <w:rsid w:val="00DF503C"/>
    <w:rsid w:val="00DF509D"/>
    <w:rsid w:val="00DF5185"/>
    <w:rsid w:val="00DF54D5"/>
    <w:rsid w:val="00DF5B9F"/>
    <w:rsid w:val="00DF5C80"/>
    <w:rsid w:val="00DF5D0C"/>
    <w:rsid w:val="00DF647C"/>
    <w:rsid w:val="00DF65A8"/>
    <w:rsid w:val="00DF6724"/>
    <w:rsid w:val="00DF672A"/>
    <w:rsid w:val="00DF6841"/>
    <w:rsid w:val="00DF69BB"/>
    <w:rsid w:val="00DF70C6"/>
    <w:rsid w:val="00DF727E"/>
    <w:rsid w:val="00DF74F1"/>
    <w:rsid w:val="00DF785B"/>
    <w:rsid w:val="00DF7979"/>
    <w:rsid w:val="00E00B48"/>
    <w:rsid w:val="00E00BCB"/>
    <w:rsid w:val="00E00D14"/>
    <w:rsid w:val="00E00F46"/>
    <w:rsid w:val="00E0111F"/>
    <w:rsid w:val="00E01355"/>
    <w:rsid w:val="00E01497"/>
    <w:rsid w:val="00E01DCC"/>
    <w:rsid w:val="00E02091"/>
    <w:rsid w:val="00E020D6"/>
    <w:rsid w:val="00E023EC"/>
    <w:rsid w:val="00E0245C"/>
    <w:rsid w:val="00E0333D"/>
    <w:rsid w:val="00E037A5"/>
    <w:rsid w:val="00E03965"/>
    <w:rsid w:val="00E03B31"/>
    <w:rsid w:val="00E0415F"/>
    <w:rsid w:val="00E04B79"/>
    <w:rsid w:val="00E04E94"/>
    <w:rsid w:val="00E058EC"/>
    <w:rsid w:val="00E05BB7"/>
    <w:rsid w:val="00E05F1A"/>
    <w:rsid w:val="00E0703C"/>
    <w:rsid w:val="00E0705F"/>
    <w:rsid w:val="00E07470"/>
    <w:rsid w:val="00E07CC5"/>
    <w:rsid w:val="00E07D4D"/>
    <w:rsid w:val="00E07EBD"/>
    <w:rsid w:val="00E108DD"/>
    <w:rsid w:val="00E11271"/>
    <w:rsid w:val="00E113D1"/>
    <w:rsid w:val="00E1142A"/>
    <w:rsid w:val="00E11B62"/>
    <w:rsid w:val="00E11C5A"/>
    <w:rsid w:val="00E11C8F"/>
    <w:rsid w:val="00E1297E"/>
    <w:rsid w:val="00E12C2E"/>
    <w:rsid w:val="00E12FF4"/>
    <w:rsid w:val="00E130BC"/>
    <w:rsid w:val="00E133EF"/>
    <w:rsid w:val="00E138E1"/>
    <w:rsid w:val="00E13D61"/>
    <w:rsid w:val="00E140ED"/>
    <w:rsid w:val="00E14BEF"/>
    <w:rsid w:val="00E150C3"/>
    <w:rsid w:val="00E15539"/>
    <w:rsid w:val="00E1573C"/>
    <w:rsid w:val="00E1595F"/>
    <w:rsid w:val="00E16190"/>
    <w:rsid w:val="00E1687B"/>
    <w:rsid w:val="00E168FF"/>
    <w:rsid w:val="00E169F6"/>
    <w:rsid w:val="00E1714F"/>
    <w:rsid w:val="00E179A9"/>
    <w:rsid w:val="00E17D90"/>
    <w:rsid w:val="00E17DB8"/>
    <w:rsid w:val="00E17EC2"/>
    <w:rsid w:val="00E205F4"/>
    <w:rsid w:val="00E207F8"/>
    <w:rsid w:val="00E211FD"/>
    <w:rsid w:val="00E2122E"/>
    <w:rsid w:val="00E21374"/>
    <w:rsid w:val="00E2330A"/>
    <w:rsid w:val="00E2336E"/>
    <w:rsid w:val="00E236D8"/>
    <w:rsid w:val="00E23B3A"/>
    <w:rsid w:val="00E2409E"/>
    <w:rsid w:val="00E247E1"/>
    <w:rsid w:val="00E2483C"/>
    <w:rsid w:val="00E24AA1"/>
    <w:rsid w:val="00E25738"/>
    <w:rsid w:val="00E25A6C"/>
    <w:rsid w:val="00E262EF"/>
    <w:rsid w:val="00E269F6"/>
    <w:rsid w:val="00E26B56"/>
    <w:rsid w:val="00E27012"/>
    <w:rsid w:val="00E27746"/>
    <w:rsid w:val="00E27787"/>
    <w:rsid w:val="00E27D54"/>
    <w:rsid w:val="00E309C3"/>
    <w:rsid w:val="00E326A8"/>
    <w:rsid w:val="00E32C04"/>
    <w:rsid w:val="00E33033"/>
    <w:rsid w:val="00E33463"/>
    <w:rsid w:val="00E334DF"/>
    <w:rsid w:val="00E33C28"/>
    <w:rsid w:val="00E33DAE"/>
    <w:rsid w:val="00E34136"/>
    <w:rsid w:val="00E343AD"/>
    <w:rsid w:val="00E3451C"/>
    <w:rsid w:val="00E3463E"/>
    <w:rsid w:val="00E34779"/>
    <w:rsid w:val="00E3493C"/>
    <w:rsid w:val="00E35A64"/>
    <w:rsid w:val="00E3657E"/>
    <w:rsid w:val="00E365F7"/>
    <w:rsid w:val="00E3715A"/>
    <w:rsid w:val="00E372BB"/>
    <w:rsid w:val="00E375F1"/>
    <w:rsid w:val="00E40217"/>
    <w:rsid w:val="00E4061F"/>
    <w:rsid w:val="00E40CA1"/>
    <w:rsid w:val="00E40D30"/>
    <w:rsid w:val="00E415B2"/>
    <w:rsid w:val="00E416A3"/>
    <w:rsid w:val="00E4178E"/>
    <w:rsid w:val="00E420C3"/>
    <w:rsid w:val="00E421D3"/>
    <w:rsid w:val="00E42C6D"/>
    <w:rsid w:val="00E4313E"/>
    <w:rsid w:val="00E431B8"/>
    <w:rsid w:val="00E43440"/>
    <w:rsid w:val="00E4363E"/>
    <w:rsid w:val="00E43666"/>
    <w:rsid w:val="00E43978"/>
    <w:rsid w:val="00E441A1"/>
    <w:rsid w:val="00E4480F"/>
    <w:rsid w:val="00E44987"/>
    <w:rsid w:val="00E45217"/>
    <w:rsid w:val="00E458FA"/>
    <w:rsid w:val="00E45AD4"/>
    <w:rsid w:val="00E45B3D"/>
    <w:rsid w:val="00E46132"/>
    <w:rsid w:val="00E46788"/>
    <w:rsid w:val="00E467B3"/>
    <w:rsid w:val="00E4762E"/>
    <w:rsid w:val="00E4792A"/>
    <w:rsid w:val="00E47C00"/>
    <w:rsid w:val="00E47FA1"/>
    <w:rsid w:val="00E50554"/>
    <w:rsid w:val="00E50783"/>
    <w:rsid w:val="00E50920"/>
    <w:rsid w:val="00E5152F"/>
    <w:rsid w:val="00E5192F"/>
    <w:rsid w:val="00E51DC4"/>
    <w:rsid w:val="00E52AD2"/>
    <w:rsid w:val="00E5324A"/>
    <w:rsid w:val="00E535E0"/>
    <w:rsid w:val="00E53753"/>
    <w:rsid w:val="00E54C73"/>
    <w:rsid w:val="00E54D2D"/>
    <w:rsid w:val="00E559C3"/>
    <w:rsid w:val="00E561D9"/>
    <w:rsid w:val="00E566DF"/>
    <w:rsid w:val="00E56BEE"/>
    <w:rsid w:val="00E56FF1"/>
    <w:rsid w:val="00E575CD"/>
    <w:rsid w:val="00E57971"/>
    <w:rsid w:val="00E57B14"/>
    <w:rsid w:val="00E60336"/>
    <w:rsid w:val="00E60DFB"/>
    <w:rsid w:val="00E60F8B"/>
    <w:rsid w:val="00E61F4C"/>
    <w:rsid w:val="00E62209"/>
    <w:rsid w:val="00E62570"/>
    <w:rsid w:val="00E63151"/>
    <w:rsid w:val="00E639F8"/>
    <w:rsid w:val="00E63C87"/>
    <w:rsid w:val="00E63E2E"/>
    <w:rsid w:val="00E64114"/>
    <w:rsid w:val="00E643F9"/>
    <w:rsid w:val="00E646E2"/>
    <w:rsid w:val="00E647B7"/>
    <w:rsid w:val="00E649D4"/>
    <w:rsid w:val="00E65467"/>
    <w:rsid w:val="00E6557A"/>
    <w:rsid w:val="00E657FD"/>
    <w:rsid w:val="00E65C0B"/>
    <w:rsid w:val="00E65CE3"/>
    <w:rsid w:val="00E65EDF"/>
    <w:rsid w:val="00E67492"/>
    <w:rsid w:val="00E679B3"/>
    <w:rsid w:val="00E67DB2"/>
    <w:rsid w:val="00E703D8"/>
    <w:rsid w:val="00E7055D"/>
    <w:rsid w:val="00E71419"/>
    <w:rsid w:val="00E71A8B"/>
    <w:rsid w:val="00E71CCB"/>
    <w:rsid w:val="00E72743"/>
    <w:rsid w:val="00E72862"/>
    <w:rsid w:val="00E72BF5"/>
    <w:rsid w:val="00E72F84"/>
    <w:rsid w:val="00E731EE"/>
    <w:rsid w:val="00E7322C"/>
    <w:rsid w:val="00E736A2"/>
    <w:rsid w:val="00E73D9D"/>
    <w:rsid w:val="00E73EA9"/>
    <w:rsid w:val="00E754A2"/>
    <w:rsid w:val="00E75594"/>
    <w:rsid w:val="00E7584D"/>
    <w:rsid w:val="00E75AAD"/>
    <w:rsid w:val="00E7631D"/>
    <w:rsid w:val="00E7659E"/>
    <w:rsid w:val="00E76AFE"/>
    <w:rsid w:val="00E7734A"/>
    <w:rsid w:val="00E7751B"/>
    <w:rsid w:val="00E775ED"/>
    <w:rsid w:val="00E77CB9"/>
    <w:rsid w:val="00E809E0"/>
    <w:rsid w:val="00E83703"/>
    <w:rsid w:val="00E83B2F"/>
    <w:rsid w:val="00E83B8C"/>
    <w:rsid w:val="00E83C70"/>
    <w:rsid w:val="00E83D93"/>
    <w:rsid w:val="00E83E4C"/>
    <w:rsid w:val="00E83ED2"/>
    <w:rsid w:val="00E84DBE"/>
    <w:rsid w:val="00E84F28"/>
    <w:rsid w:val="00E851D8"/>
    <w:rsid w:val="00E85312"/>
    <w:rsid w:val="00E85EAF"/>
    <w:rsid w:val="00E86298"/>
    <w:rsid w:val="00E8644C"/>
    <w:rsid w:val="00E86F89"/>
    <w:rsid w:val="00E9036B"/>
    <w:rsid w:val="00E904AE"/>
    <w:rsid w:val="00E90C40"/>
    <w:rsid w:val="00E90D85"/>
    <w:rsid w:val="00E90FFD"/>
    <w:rsid w:val="00E910B0"/>
    <w:rsid w:val="00E91D3A"/>
    <w:rsid w:val="00E92800"/>
    <w:rsid w:val="00E92E7C"/>
    <w:rsid w:val="00E935C5"/>
    <w:rsid w:val="00E939B4"/>
    <w:rsid w:val="00E93DEB"/>
    <w:rsid w:val="00E94246"/>
    <w:rsid w:val="00E94586"/>
    <w:rsid w:val="00E94642"/>
    <w:rsid w:val="00E946D8"/>
    <w:rsid w:val="00E94C43"/>
    <w:rsid w:val="00E95EB2"/>
    <w:rsid w:val="00E961D1"/>
    <w:rsid w:val="00E96590"/>
    <w:rsid w:val="00E96A03"/>
    <w:rsid w:val="00E96A22"/>
    <w:rsid w:val="00E96B2B"/>
    <w:rsid w:val="00E96EC5"/>
    <w:rsid w:val="00E972C6"/>
    <w:rsid w:val="00E97896"/>
    <w:rsid w:val="00E97898"/>
    <w:rsid w:val="00E97AD6"/>
    <w:rsid w:val="00EA039A"/>
    <w:rsid w:val="00EA0F4C"/>
    <w:rsid w:val="00EA16FE"/>
    <w:rsid w:val="00EA1716"/>
    <w:rsid w:val="00EA1A67"/>
    <w:rsid w:val="00EA1D93"/>
    <w:rsid w:val="00EA2494"/>
    <w:rsid w:val="00EA2DA2"/>
    <w:rsid w:val="00EA2E31"/>
    <w:rsid w:val="00EA32EB"/>
    <w:rsid w:val="00EA3364"/>
    <w:rsid w:val="00EA33A6"/>
    <w:rsid w:val="00EA3500"/>
    <w:rsid w:val="00EA398C"/>
    <w:rsid w:val="00EA39F0"/>
    <w:rsid w:val="00EA3A30"/>
    <w:rsid w:val="00EA3A38"/>
    <w:rsid w:val="00EA3B07"/>
    <w:rsid w:val="00EA3D58"/>
    <w:rsid w:val="00EA406D"/>
    <w:rsid w:val="00EA4C88"/>
    <w:rsid w:val="00EA6602"/>
    <w:rsid w:val="00EA73FC"/>
    <w:rsid w:val="00EA7CFD"/>
    <w:rsid w:val="00EB0D4D"/>
    <w:rsid w:val="00EB10B1"/>
    <w:rsid w:val="00EB17B4"/>
    <w:rsid w:val="00EB18AA"/>
    <w:rsid w:val="00EB2EDB"/>
    <w:rsid w:val="00EB31D1"/>
    <w:rsid w:val="00EB378D"/>
    <w:rsid w:val="00EB37EA"/>
    <w:rsid w:val="00EB41CB"/>
    <w:rsid w:val="00EB55E4"/>
    <w:rsid w:val="00EB5A2F"/>
    <w:rsid w:val="00EB5AEB"/>
    <w:rsid w:val="00EB5E25"/>
    <w:rsid w:val="00EB6109"/>
    <w:rsid w:val="00EB6787"/>
    <w:rsid w:val="00EB6C73"/>
    <w:rsid w:val="00EB6E22"/>
    <w:rsid w:val="00EB7384"/>
    <w:rsid w:val="00EB7648"/>
    <w:rsid w:val="00EB771D"/>
    <w:rsid w:val="00EB7B2D"/>
    <w:rsid w:val="00EB7BCD"/>
    <w:rsid w:val="00EC019B"/>
    <w:rsid w:val="00EC05DB"/>
    <w:rsid w:val="00EC1797"/>
    <w:rsid w:val="00EC1CBB"/>
    <w:rsid w:val="00EC234F"/>
    <w:rsid w:val="00EC2D3A"/>
    <w:rsid w:val="00EC3E2D"/>
    <w:rsid w:val="00EC4734"/>
    <w:rsid w:val="00EC484C"/>
    <w:rsid w:val="00EC4A0F"/>
    <w:rsid w:val="00EC4F62"/>
    <w:rsid w:val="00EC5169"/>
    <w:rsid w:val="00EC5406"/>
    <w:rsid w:val="00EC5B27"/>
    <w:rsid w:val="00EC645E"/>
    <w:rsid w:val="00EC65C9"/>
    <w:rsid w:val="00EC6898"/>
    <w:rsid w:val="00EC68B0"/>
    <w:rsid w:val="00EC7055"/>
    <w:rsid w:val="00EC734F"/>
    <w:rsid w:val="00EC7429"/>
    <w:rsid w:val="00EC7D31"/>
    <w:rsid w:val="00ED01C8"/>
    <w:rsid w:val="00ED05C2"/>
    <w:rsid w:val="00ED060F"/>
    <w:rsid w:val="00ED0AC2"/>
    <w:rsid w:val="00ED0BB0"/>
    <w:rsid w:val="00ED0CE2"/>
    <w:rsid w:val="00ED1AA1"/>
    <w:rsid w:val="00ED1ABB"/>
    <w:rsid w:val="00ED21E6"/>
    <w:rsid w:val="00ED2550"/>
    <w:rsid w:val="00ED256A"/>
    <w:rsid w:val="00ED2AA9"/>
    <w:rsid w:val="00ED2CB3"/>
    <w:rsid w:val="00ED2FE6"/>
    <w:rsid w:val="00ED355B"/>
    <w:rsid w:val="00ED38EA"/>
    <w:rsid w:val="00ED3A8E"/>
    <w:rsid w:val="00ED4C99"/>
    <w:rsid w:val="00ED500C"/>
    <w:rsid w:val="00ED502C"/>
    <w:rsid w:val="00ED5649"/>
    <w:rsid w:val="00ED5A72"/>
    <w:rsid w:val="00ED5DE7"/>
    <w:rsid w:val="00ED5E2C"/>
    <w:rsid w:val="00ED5E39"/>
    <w:rsid w:val="00ED6A36"/>
    <w:rsid w:val="00ED6E3D"/>
    <w:rsid w:val="00ED7053"/>
    <w:rsid w:val="00ED73F2"/>
    <w:rsid w:val="00ED7666"/>
    <w:rsid w:val="00ED79FE"/>
    <w:rsid w:val="00ED7BBA"/>
    <w:rsid w:val="00EE04AE"/>
    <w:rsid w:val="00EE0880"/>
    <w:rsid w:val="00EE0A03"/>
    <w:rsid w:val="00EE18BA"/>
    <w:rsid w:val="00EE19BF"/>
    <w:rsid w:val="00EE1CC7"/>
    <w:rsid w:val="00EE1F8C"/>
    <w:rsid w:val="00EE2BAC"/>
    <w:rsid w:val="00EE2D59"/>
    <w:rsid w:val="00EE37B1"/>
    <w:rsid w:val="00EE37C3"/>
    <w:rsid w:val="00EE39EC"/>
    <w:rsid w:val="00EE4BFE"/>
    <w:rsid w:val="00EE4D99"/>
    <w:rsid w:val="00EE4F9D"/>
    <w:rsid w:val="00EE511D"/>
    <w:rsid w:val="00EE594D"/>
    <w:rsid w:val="00EE5998"/>
    <w:rsid w:val="00EE5CE3"/>
    <w:rsid w:val="00EE68C6"/>
    <w:rsid w:val="00EE6B3A"/>
    <w:rsid w:val="00EE6B67"/>
    <w:rsid w:val="00EE7201"/>
    <w:rsid w:val="00EE7414"/>
    <w:rsid w:val="00EE7FD9"/>
    <w:rsid w:val="00EF0075"/>
    <w:rsid w:val="00EF00A7"/>
    <w:rsid w:val="00EF0380"/>
    <w:rsid w:val="00EF0E5B"/>
    <w:rsid w:val="00EF1A5C"/>
    <w:rsid w:val="00EF1BB9"/>
    <w:rsid w:val="00EF1C51"/>
    <w:rsid w:val="00EF1F42"/>
    <w:rsid w:val="00EF24F2"/>
    <w:rsid w:val="00EF2D52"/>
    <w:rsid w:val="00EF3337"/>
    <w:rsid w:val="00EF3601"/>
    <w:rsid w:val="00EF37A5"/>
    <w:rsid w:val="00EF3AD1"/>
    <w:rsid w:val="00EF3F86"/>
    <w:rsid w:val="00EF43EC"/>
    <w:rsid w:val="00EF4CF6"/>
    <w:rsid w:val="00EF503C"/>
    <w:rsid w:val="00EF5163"/>
    <w:rsid w:val="00EF5FCA"/>
    <w:rsid w:val="00EF5FFC"/>
    <w:rsid w:val="00EF6DB8"/>
    <w:rsid w:val="00EF6F65"/>
    <w:rsid w:val="00EF73FB"/>
    <w:rsid w:val="00EF7A55"/>
    <w:rsid w:val="00F000DF"/>
    <w:rsid w:val="00F00B32"/>
    <w:rsid w:val="00F00CBD"/>
    <w:rsid w:val="00F00F25"/>
    <w:rsid w:val="00F0111B"/>
    <w:rsid w:val="00F012F6"/>
    <w:rsid w:val="00F01B76"/>
    <w:rsid w:val="00F01C34"/>
    <w:rsid w:val="00F02755"/>
    <w:rsid w:val="00F02E53"/>
    <w:rsid w:val="00F02E8C"/>
    <w:rsid w:val="00F031FF"/>
    <w:rsid w:val="00F03752"/>
    <w:rsid w:val="00F03AD0"/>
    <w:rsid w:val="00F03C3B"/>
    <w:rsid w:val="00F03EE8"/>
    <w:rsid w:val="00F03F89"/>
    <w:rsid w:val="00F046CC"/>
    <w:rsid w:val="00F04C11"/>
    <w:rsid w:val="00F04C67"/>
    <w:rsid w:val="00F04E44"/>
    <w:rsid w:val="00F05A2C"/>
    <w:rsid w:val="00F05AF7"/>
    <w:rsid w:val="00F062C1"/>
    <w:rsid w:val="00F06389"/>
    <w:rsid w:val="00F0639D"/>
    <w:rsid w:val="00F06904"/>
    <w:rsid w:val="00F07365"/>
    <w:rsid w:val="00F07535"/>
    <w:rsid w:val="00F0754C"/>
    <w:rsid w:val="00F0758E"/>
    <w:rsid w:val="00F0795C"/>
    <w:rsid w:val="00F107E5"/>
    <w:rsid w:val="00F10B62"/>
    <w:rsid w:val="00F1117A"/>
    <w:rsid w:val="00F1119A"/>
    <w:rsid w:val="00F11482"/>
    <w:rsid w:val="00F11665"/>
    <w:rsid w:val="00F11C49"/>
    <w:rsid w:val="00F11F1D"/>
    <w:rsid w:val="00F12903"/>
    <w:rsid w:val="00F129D8"/>
    <w:rsid w:val="00F13E84"/>
    <w:rsid w:val="00F147DC"/>
    <w:rsid w:val="00F14C91"/>
    <w:rsid w:val="00F153A5"/>
    <w:rsid w:val="00F16A13"/>
    <w:rsid w:val="00F16C15"/>
    <w:rsid w:val="00F17716"/>
    <w:rsid w:val="00F178FF"/>
    <w:rsid w:val="00F17C73"/>
    <w:rsid w:val="00F2002C"/>
    <w:rsid w:val="00F203A2"/>
    <w:rsid w:val="00F206B3"/>
    <w:rsid w:val="00F209F2"/>
    <w:rsid w:val="00F209F8"/>
    <w:rsid w:val="00F21483"/>
    <w:rsid w:val="00F21736"/>
    <w:rsid w:val="00F21F79"/>
    <w:rsid w:val="00F220BC"/>
    <w:rsid w:val="00F22397"/>
    <w:rsid w:val="00F22F58"/>
    <w:rsid w:val="00F23425"/>
    <w:rsid w:val="00F234CF"/>
    <w:rsid w:val="00F23C37"/>
    <w:rsid w:val="00F23E0D"/>
    <w:rsid w:val="00F2404D"/>
    <w:rsid w:val="00F24406"/>
    <w:rsid w:val="00F248FA"/>
    <w:rsid w:val="00F24EA3"/>
    <w:rsid w:val="00F254C2"/>
    <w:rsid w:val="00F254CA"/>
    <w:rsid w:val="00F255E6"/>
    <w:rsid w:val="00F25B8B"/>
    <w:rsid w:val="00F268DD"/>
    <w:rsid w:val="00F2759B"/>
    <w:rsid w:val="00F277DB"/>
    <w:rsid w:val="00F3082F"/>
    <w:rsid w:val="00F30859"/>
    <w:rsid w:val="00F309B6"/>
    <w:rsid w:val="00F31216"/>
    <w:rsid w:val="00F31633"/>
    <w:rsid w:val="00F31B2D"/>
    <w:rsid w:val="00F32594"/>
    <w:rsid w:val="00F32716"/>
    <w:rsid w:val="00F32846"/>
    <w:rsid w:val="00F329F6"/>
    <w:rsid w:val="00F32B01"/>
    <w:rsid w:val="00F32C98"/>
    <w:rsid w:val="00F32C99"/>
    <w:rsid w:val="00F33950"/>
    <w:rsid w:val="00F33BFA"/>
    <w:rsid w:val="00F343F5"/>
    <w:rsid w:val="00F34532"/>
    <w:rsid w:val="00F3453A"/>
    <w:rsid w:val="00F34C0F"/>
    <w:rsid w:val="00F34EDD"/>
    <w:rsid w:val="00F3511C"/>
    <w:rsid w:val="00F353A7"/>
    <w:rsid w:val="00F35D37"/>
    <w:rsid w:val="00F35F47"/>
    <w:rsid w:val="00F3625E"/>
    <w:rsid w:val="00F36272"/>
    <w:rsid w:val="00F364B3"/>
    <w:rsid w:val="00F364E9"/>
    <w:rsid w:val="00F36909"/>
    <w:rsid w:val="00F369FC"/>
    <w:rsid w:val="00F36AA5"/>
    <w:rsid w:val="00F3745C"/>
    <w:rsid w:val="00F377FE"/>
    <w:rsid w:val="00F37B7D"/>
    <w:rsid w:val="00F37D6B"/>
    <w:rsid w:val="00F37F19"/>
    <w:rsid w:val="00F4020E"/>
    <w:rsid w:val="00F40317"/>
    <w:rsid w:val="00F40D6E"/>
    <w:rsid w:val="00F40DA9"/>
    <w:rsid w:val="00F41852"/>
    <w:rsid w:val="00F426D8"/>
    <w:rsid w:val="00F4270C"/>
    <w:rsid w:val="00F427EC"/>
    <w:rsid w:val="00F428F3"/>
    <w:rsid w:val="00F42C6C"/>
    <w:rsid w:val="00F43307"/>
    <w:rsid w:val="00F43A5F"/>
    <w:rsid w:val="00F43B6F"/>
    <w:rsid w:val="00F44A3B"/>
    <w:rsid w:val="00F44DA8"/>
    <w:rsid w:val="00F4547D"/>
    <w:rsid w:val="00F45A3D"/>
    <w:rsid w:val="00F46358"/>
    <w:rsid w:val="00F463A5"/>
    <w:rsid w:val="00F475C5"/>
    <w:rsid w:val="00F477F0"/>
    <w:rsid w:val="00F47974"/>
    <w:rsid w:val="00F50EFC"/>
    <w:rsid w:val="00F5202A"/>
    <w:rsid w:val="00F52526"/>
    <w:rsid w:val="00F52A6D"/>
    <w:rsid w:val="00F52BA6"/>
    <w:rsid w:val="00F530D2"/>
    <w:rsid w:val="00F53186"/>
    <w:rsid w:val="00F535AF"/>
    <w:rsid w:val="00F536D7"/>
    <w:rsid w:val="00F536DE"/>
    <w:rsid w:val="00F537A5"/>
    <w:rsid w:val="00F53A10"/>
    <w:rsid w:val="00F54555"/>
    <w:rsid w:val="00F554CF"/>
    <w:rsid w:val="00F55C0A"/>
    <w:rsid w:val="00F562A9"/>
    <w:rsid w:val="00F56571"/>
    <w:rsid w:val="00F57920"/>
    <w:rsid w:val="00F5795A"/>
    <w:rsid w:val="00F57F23"/>
    <w:rsid w:val="00F60098"/>
    <w:rsid w:val="00F600EC"/>
    <w:rsid w:val="00F607AB"/>
    <w:rsid w:val="00F610D0"/>
    <w:rsid w:val="00F61B54"/>
    <w:rsid w:val="00F621BC"/>
    <w:rsid w:val="00F62519"/>
    <w:rsid w:val="00F62AF2"/>
    <w:rsid w:val="00F62BF1"/>
    <w:rsid w:val="00F6312F"/>
    <w:rsid w:val="00F6329F"/>
    <w:rsid w:val="00F63312"/>
    <w:rsid w:val="00F63FE9"/>
    <w:rsid w:val="00F64130"/>
    <w:rsid w:val="00F653FB"/>
    <w:rsid w:val="00F65773"/>
    <w:rsid w:val="00F65960"/>
    <w:rsid w:val="00F65E96"/>
    <w:rsid w:val="00F66337"/>
    <w:rsid w:val="00F66A7B"/>
    <w:rsid w:val="00F66AB8"/>
    <w:rsid w:val="00F66E7B"/>
    <w:rsid w:val="00F6774F"/>
    <w:rsid w:val="00F67B0A"/>
    <w:rsid w:val="00F67C33"/>
    <w:rsid w:val="00F70186"/>
    <w:rsid w:val="00F705D0"/>
    <w:rsid w:val="00F7080E"/>
    <w:rsid w:val="00F71283"/>
    <w:rsid w:val="00F71310"/>
    <w:rsid w:val="00F71386"/>
    <w:rsid w:val="00F71400"/>
    <w:rsid w:val="00F71517"/>
    <w:rsid w:val="00F71C1C"/>
    <w:rsid w:val="00F71E57"/>
    <w:rsid w:val="00F724C5"/>
    <w:rsid w:val="00F72991"/>
    <w:rsid w:val="00F72AEE"/>
    <w:rsid w:val="00F730C8"/>
    <w:rsid w:val="00F7318C"/>
    <w:rsid w:val="00F73CF2"/>
    <w:rsid w:val="00F744B8"/>
    <w:rsid w:val="00F74655"/>
    <w:rsid w:val="00F75144"/>
    <w:rsid w:val="00F757E0"/>
    <w:rsid w:val="00F75B8F"/>
    <w:rsid w:val="00F76029"/>
    <w:rsid w:val="00F77260"/>
    <w:rsid w:val="00F77DB3"/>
    <w:rsid w:val="00F813D7"/>
    <w:rsid w:val="00F81D0E"/>
    <w:rsid w:val="00F82020"/>
    <w:rsid w:val="00F82613"/>
    <w:rsid w:val="00F82C85"/>
    <w:rsid w:val="00F82F64"/>
    <w:rsid w:val="00F83535"/>
    <w:rsid w:val="00F835C3"/>
    <w:rsid w:val="00F836F1"/>
    <w:rsid w:val="00F84031"/>
    <w:rsid w:val="00F84239"/>
    <w:rsid w:val="00F84647"/>
    <w:rsid w:val="00F85F81"/>
    <w:rsid w:val="00F863E4"/>
    <w:rsid w:val="00F86550"/>
    <w:rsid w:val="00F86BF0"/>
    <w:rsid w:val="00F86D80"/>
    <w:rsid w:val="00F87134"/>
    <w:rsid w:val="00F872E5"/>
    <w:rsid w:val="00F87765"/>
    <w:rsid w:val="00F87C94"/>
    <w:rsid w:val="00F90192"/>
    <w:rsid w:val="00F91391"/>
    <w:rsid w:val="00F91422"/>
    <w:rsid w:val="00F915A6"/>
    <w:rsid w:val="00F924BB"/>
    <w:rsid w:val="00F92832"/>
    <w:rsid w:val="00F9319E"/>
    <w:rsid w:val="00F93784"/>
    <w:rsid w:val="00F93A1F"/>
    <w:rsid w:val="00F93ABC"/>
    <w:rsid w:val="00F9419E"/>
    <w:rsid w:val="00F9472E"/>
    <w:rsid w:val="00F94DB7"/>
    <w:rsid w:val="00F957BB"/>
    <w:rsid w:val="00F95C9F"/>
    <w:rsid w:val="00F96324"/>
    <w:rsid w:val="00F97423"/>
    <w:rsid w:val="00F97C5B"/>
    <w:rsid w:val="00F97CCD"/>
    <w:rsid w:val="00FA034D"/>
    <w:rsid w:val="00FA0BE5"/>
    <w:rsid w:val="00FA0BFB"/>
    <w:rsid w:val="00FA0D66"/>
    <w:rsid w:val="00FA0DBC"/>
    <w:rsid w:val="00FA0E37"/>
    <w:rsid w:val="00FA122B"/>
    <w:rsid w:val="00FA192C"/>
    <w:rsid w:val="00FA2053"/>
    <w:rsid w:val="00FA2418"/>
    <w:rsid w:val="00FA2803"/>
    <w:rsid w:val="00FA2C6D"/>
    <w:rsid w:val="00FA30BC"/>
    <w:rsid w:val="00FA3672"/>
    <w:rsid w:val="00FA36B1"/>
    <w:rsid w:val="00FA3A3A"/>
    <w:rsid w:val="00FA4132"/>
    <w:rsid w:val="00FA413F"/>
    <w:rsid w:val="00FA459E"/>
    <w:rsid w:val="00FA45C1"/>
    <w:rsid w:val="00FA5DE9"/>
    <w:rsid w:val="00FA6362"/>
    <w:rsid w:val="00FA6AD5"/>
    <w:rsid w:val="00FA6E0A"/>
    <w:rsid w:val="00FA7254"/>
    <w:rsid w:val="00FA7471"/>
    <w:rsid w:val="00FA7663"/>
    <w:rsid w:val="00FA7709"/>
    <w:rsid w:val="00FA7C50"/>
    <w:rsid w:val="00FA7E63"/>
    <w:rsid w:val="00FB0736"/>
    <w:rsid w:val="00FB133A"/>
    <w:rsid w:val="00FB1930"/>
    <w:rsid w:val="00FB24A5"/>
    <w:rsid w:val="00FB24CF"/>
    <w:rsid w:val="00FB2AC1"/>
    <w:rsid w:val="00FB34B1"/>
    <w:rsid w:val="00FB3A98"/>
    <w:rsid w:val="00FB3D50"/>
    <w:rsid w:val="00FB40C7"/>
    <w:rsid w:val="00FB446B"/>
    <w:rsid w:val="00FB44D9"/>
    <w:rsid w:val="00FB49BB"/>
    <w:rsid w:val="00FB5485"/>
    <w:rsid w:val="00FB59F2"/>
    <w:rsid w:val="00FB6718"/>
    <w:rsid w:val="00FB6802"/>
    <w:rsid w:val="00FB708C"/>
    <w:rsid w:val="00FB797A"/>
    <w:rsid w:val="00FC036F"/>
    <w:rsid w:val="00FC0A5B"/>
    <w:rsid w:val="00FC0EF2"/>
    <w:rsid w:val="00FC1034"/>
    <w:rsid w:val="00FC1B22"/>
    <w:rsid w:val="00FC2028"/>
    <w:rsid w:val="00FC2409"/>
    <w:rsid w:val="00FC2D40"/>
    <w:rsid w:val="00FC2DD3"/>
    <w:rsid w:val="00FC36B3"/>
    <w:rsid w:val="00FC394F"/>
    <w:rsid w:val="00FC3D8F"/>
    <w:rsid w:val="00FC3E32"/>
    <w:rsid w:val="00FC4289"/>
    <w:rsid w:val="00FC4970"/>
    <w:rsid w:val="00FC5B47"/>
    <w:rsid w:val="00FC611B"/>
    <w:rsid w:val="00FC6242"/>
    <w:rsid w:val="00FC63BE"/>
    <w:rsid w:val="00FC63E2"/>
    <w:rsid w:val="00FC6787"/>
    <w:rsid w:val="00FC6A7C"/>
    <w:rsid w:val="00FC6B64"/>
    <w:rsid w:val="00FC71AB"/>
    <w:rsid w:val="00FC790D"/>
    <w:rsid w:val="00FD0653"/>
    <w:rsid w:val="00FD06A5"/>
    <w:rsid w:val="00FD06D4"/>
    <w:rsid w:val="00FD0A74"/>
    <w:rsid w:val="00FD105A"/>
    <w:rsid w:val="00FD1294"/>
    <w:rsid w:val="00FD3C34"/>
    <w:rsid w:val="00FD3F8C"/>
    <w:rsid w:val="00FD44E5"/>
    <w:rsid w:val="00FD5251"/>
    <w:rsid w:val="00FD532B"/>
    <w:rsid w:val="00FD6C9E"/>
    <w:rsid w:val="00FD6EFB"/>
    <w:rsid w:val="00FD70AC"/>
    <w:rsid w:val="00FD785C"/>
    <w:rsid w:val="00FE0535"/>
    <w:rsid w:val="00FE06C8"/>
    <w:rsid w:val="00FE085D"/>
    <w:rsid w:val="00FE09BD"/>
    <w:rsid w:val="00FE0CC9"/>
    <w:rsid w:val="00FE2177"/>
    <w:rsid w:val="00FE2322"/>
    <w:rsid w:val="00FE27FD"/>
    <w:rsid w:val="00FE4025"/>
    <w:rsid w:val="00FE4504"/>
    <w:rsid w:val="00FE4560"/>
    <w:rsid w:val="00FE45D8"/>
    <w:rsid w:val="00FE4C72"/>
    <w:rsid w:val="00FE4D86"/>
    <w:rsid w:val="00FE4EE8"/>
    <w:rsid w:val="00FE5A53"/>
    <w:rsid w:val="00FE6BA3"/>
    <w:rsid w:val="00FE7586"/>
    <w:rsid w:val="00FE76C1"/>
    <w:rsid w:val="00FE788F"/>
    <w:rsid w:val="00FE78E8"/>
    <w:rsid w:val="00FF05B2"/>
    <w:rsid w:val="00FF0AB1"/>
    <w:rsid w:val="00FF121F"/>
    <w:rsid w:val="00FF1341"/>
    <w:rsid w:val="00FF1545"/>
    <w:rsid w:val="00FF1996"/>
    <w:rsid w:val="00FF22B6"/>
    <w:rsid w:val="00FF2886"/>
    <w:rsid w:val="00FF30DD"/>
    <w:rsid w:val="00FF3EF4"/>
    <w:rsid w:val="00FF4018"/>
    <w:rsid w:val="00FF4AB6"/>
    <w:rsid w:val="00FF551F"/>
    <w:rsid w:val="00FF56F5"/>
    <w:rsid w:val="00FF5C38"/>
    <w:rsid w:val="00FF611C"/>
    <w:rsid w:val="00FF6FA0"/>
    <w:rsid w:val="00FF716F"/>
    <w:rsid w:val="489AC31A"/>
    <w:rsid w:val="4A3B2FDA"/>
    <w:rsid w:val="513063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BD6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aliases w:val="h2,h2 main heading,B Sub/Bold,Activity,A.B.C.,Level I for #'s,hoofd 2,Heading2-bio,Career Exp.,Heading 2 main heading,H2,Heading 2 main heading Char,h2 main heading Char,B Sub/Bold Char,Activity Char,h2 Char,A.B.C. Char,H2 Char,h"/>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aliases w:val="Activity head,h3,Mi,H3,h3 sub heading,C Sub-Sub/Italic,Level 1 - 2,Level 1 - 1,Normal Numbered,VS3,Para3,Head 3,Head 31,Head 32,C Sub-Sub/Italic1,3m,Heading 3 Sub Heading,3 bullet,b,Char,level 1 - 2,2,Normal + num,not in TOC,(a)"/>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paragraph" w:styleId="Heading7">
    <w:name w:val="heading 7"/>
    <w:basedOn w:val="Normal"/>
    <w:next w:val="Normal"/>
    <w:link w:val="Heading7Char"/>
    <w:uiPriority w:val="9"/>
    <w:unhideWhenUsed/>
    <w:qFormat/>
    <w:rsid w:val="007351D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71063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qFormat/>
    <w:rsid w:val="00492729"/>
    <w:pPr>
      <w:keepLines w:val="0"/>
      <w:numPr>
        <w:ilvl w:val="4"/>
        <w:numId w:val="25"/>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link w:val="DashChar"/>
    <w:rsid w:val="00F22F58"/>
    <w:pPr>
      <w:numPr>
        <w:ilvl w:val="1"/>
        <w:numId w:val="23"/>
      </w:numPr>
      <w:spacing w:before="0" w:after="240" w:line="260" w:lineRule="exact"/>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8"/>
      </w:numPr>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aliases w:val="h2 Char1,h2 main heading Char1,B Sub/Bold Char1,Activity Char1,A.B.C. Char1,Level I for #'s Char,hoofd 2 Char,Heading2-bio Char,Career Exp. Char,Heading 2 main heading Char1,H2 Char1,Heading 2 main heading Char Char,B Sub/Bold Char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aliases w:val="Activity head Char,h3 Char,Mi Char,H3 Char,h3 sub heading Char,C Sub-Sub/Italic Char,Level 1 - 2 Char,Level 1 - 1 Char,Normal Numbered Char,VS3 Char,Para3 Char,Head 3 Char,Head 31 Char,Head 32 Char,C Sub-Sub/Italic1 Char,3m Char,b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link w:val="InstructionalguidancedotpointChar"/>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5D0844"/>
    <w:pPr>
      <w:numPr>
        <w:ilvl w:val="1"/>
        <w:numId w:val="25"/>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link w:val="TabletextChar"/>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FollowedHyperlink">
    <w:name w:val="FollowedHyperlink"/>
    <w:basedOn w:val="DefaultParagraphFont"/>
    <w:uiPriority w:val="99"/>
    <w:semiHidden/>
    <w:unhideWhenUsed/>
    <w:rsid w:val="000A4EB2"/>
    <w:rPr>
      <w:color w:val="954F72" w:themeColor="followedHyperlink"/>
      <w:u w:val="single"/>
    </w:rPr>
  </w:style>
  <w:style w:type="character" w:customStyle="1" w:styleId="InstructionalguidancedotpointChar">
    <w:name w:val="Instructional guidance dot point Char"/>
    <w:basedOn w:val="InstructionalguidanceChar"/>
    <w:link w:val="Instructionalguidancedotpoint"/>
    <w:uiPriority w:val="99"/>
    <w:rsid w:val="000A4EB2"/>
    <w:rPr>
      <w:rFonts w:ascii="Calibri" w:eastAsia="Calibri" w:hAnsi="Calibri"/>
      <w:color w:val="2F5496" w:themeColor="accent1" w:themeShade="BF"/>
      <w:lang w:eastAsia="en-GB"/>
    </w:rPr>
  </w:style>
  <w:style w:type="paragraph" w:customStyle="1" w:styleId="Bullet">
    <w:name w:val="Bullet"/>
    <w:basedOn w:val="Normal"/>
    <w:link w:val="BulletChar"/>
    <w:qFormat/>
    <w:rsid w:val="0027000D"/>
    <w:pPr>
      <w:numPr>
        <w:numId w:val="23"/>
      </w:numPr>
      <w:tabs>
        <w:tab w:val="left" w:pos="720"/>
      </w:tabs>
    </w:pPr>
    <w:rPr>
      <w:rFonts w:eastAsia="Calibri"/>
      <w:color w:val="2F5496" w:themeColor="accent1" w:themeShade="BF"/>
      <w:lang w:eastAsia="en-GB"/>
    </w:rPr>
  </w:style>
  <w:style w:type="character" w:customStyle="1" w:styleId="BulletChar">
    <w:name w:val="Bullet Char"/>
    <w:basedOn w:val="InstructionalguidancedotpointChar"/>
    <w:link w:val="Bullet"/>
    <w:rsid w:val="0027000D"/>
    <w:rPr>
      <w:rFonts w:ascii="Times New Roman" w:eastAsia="Calibri" w:hAnsi="Times New Roman"/>
      <w:color w:val="2F5496" w:themeColor="accent1" w:themeShade="BF"/>
      <w:lang w:eastAsia="en-GB"/>
    </w:rPr>
  </w:style>
  <w:style w:type="paragraph" w:customStyle="1" w:styleId="DoubleDot">
    <w:name w:val="Double Dot"/>
    <w:basedOn w:val="Normal"/>
    <w:link w:val="DoubleDotChar"/>
    <w:rsid w:val="0027000D"/>
    <w:pPr>
      <w:numPr>
        <w:ilvl w:val="2"/>
        <w:numId w:val="23"/>
      </w:numPr>
      <w:tabs>
        <w:tab w:val="left" w:pos="720"/>
      </w:tabs>
    </w:pPr>
    <w:rPr>
      <w:rFonts w:eastAsia="Calibri"/>
      <w:color w:val="2F5496" w:themeColor="accent1" w:themeShade="BF"/>
      <w:lang w:eastAsia="en-GB"/>
    </w:rPr>
  </w:style>
  <w:style w:type="character" w:customStyle="1" w:styleId="NormalparatextwithnumbersChar">
    <w:name w:val="Normal para text (with numbers) Char"/>
    <w:basedOn w:val="DefaultParagraphFont"/>
    <w:link w:val="Normalparatextwithnumbers"/>
    <w:rsid w:val="00243EEF"/>
    <w:rPr>
      <w:rFonts w:ascii="Times New Roman" w:hAnsi="Times New Roman"/>
    </w:rPr>
  </w:style>
  <w:style w:type="paragraph" w:customStyle="1" w:styleId="base-text-paragraph">
    <w:name w:val="base-text-paragraph"/>
    <w:link w:val="base-text-paragraphChar"/>
    <w:rsid w:val="00A922ED"/>
    <w:pPr>
      <w:spacing w:before="120" w:after="120" w:line="240" w:lineRule="auto"/>
    </w:pPr>
    <w:rPr>
      <w:rFonts w:ascii="Times New Roman" w:eastAsia="Times New Roman" w:hAnsi="Times New Roman" w:cs="Times New Roman"/>
      <w:szCs w:val="20"/>
      <w:lang w:eastAsia="en-AU"/>
    </w:rPr>
  </w:style>
  <w:style w:type="character" w:customStyle="1" w:styleId="base-text-paragraphChar">
    <w:name w:val="base-text-paragraph Char"/>
    <w:basedOn w:val="DefaultParagraphFont"/>
    <w:link w:val="base-text-paragraph"/>
    <w:rsid w:val="00A922ED"/>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3D3ECF"/>
    <w:rPr>
      <w:sz w:val="16"/>
      <w:szCs w:val="16"/>
    </w:rPr>
  </w:style>
  <w:style w:type="paragraph" w:styleId="CommentText">
    <w:name w:val="annotation text"/>
    <w:basedOn w:val="Normal"/>
    <w:link w:val="CommentTextChar"/>
    <w:uiPriority w:val="99"/>
    <w:unhideWhenUsed/>
    <w:rsid w:val="003D3ECF"/>
    <w:rPr>
      <w:sz w:val="20"/>
      <w:szCs w:val="20"/>
    </w:rPr>
  </w:style>
  <w:style w:type="character" w:customStyle="1" w:styleId="CommentTextChar">
    <w:name w:val="Comment Text Char"/>
    <w:basedOn w:val="DefaultParagraphFont"/>
    <w:link w:val="CommentText"/>
    <w:uiPriority w:val="99"/>
    <w:rsid w:val="003D3EC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D3ECF"/>
    <w:rPr>
      <w:b/>
      <w:bCs/>
    </w:rPr>
  </w:style>
  <w:style w:type="character" w:customStyle="1" w:styleId="CommentSubjectChar">
    <w:name w:val="Comment Subject Char"/>
    <w:basedOn w:val="CommentTextChar"/>
    <w:link w:val="CommentSubject"/>
    <w:uiPriority w:val="99"/>
    <w:semiHidden/>
    <w:rsid w:val="003D3ECF"/>
    <w:rPr>
      <w:rFonts w:ascii="Times New Roman" w:hAnsi="Times New Roman"/>
      <w:b/>
      <w:bCs/>
      <w:sz w:val="20"/>
      <w:szCs w:val="20"/>
    </w:rPr>
  </w:style>
  <w:style w:type="character" w:customStyle="1" w:styleId="CharPartText">
    <w:name w:val="CharPartText"/>
    <w:basedOn w:val="DefaultParagraphFont"/>
    <w:uiPriority w:val="1"/>
    <w:qFormat/>
    <w:rsid w:val="002B2CCE"/>
  </w:style>
  <w:style w:type="paragraph" w:customStyle="1" w:styleId="paragraph">
    <w:name w:val="paragraph"/>
    <w:aliases w:val="a"/>
    <w:basedOn w:val="Normal"/>
    <w:link w:val="paragraphChar"/>
    <w:rsid w:val="00CA1DF0"/>
    <w:pPr>
      <w:tabs>
        <w:tab w:val="right" w:pos="1531"/>
      </w:tabs>
      <w:spacing w:before="40" w:after="0"/>
      <w:ind w:left="1644" w:hanging="1644"/>
    </w:pPr>
    <w:rPr>
      <w:rFonts w:eastAsia="Times New Roman" w:cs="Times New Roman"/>
      <w:szCs w:val="20"/>
      <w:lang w:eastAsia="en-AU"/>
    </w:rPr>
  </w:style>
  <w:style w:type="character" w:customStyle="1" w:styleId="paragraphChar">
    <w:name w:val="paragraph Char"/>
    <w:aliases w:val="a Char"/>
    <w:link w:val="paragraph"/>
    <w:rsid w:val="00CA1DF0"/>
    <w:rPr>
      <w:rFonts w:ascii="Times New Roman" w:eastAsia="Times New Roman" w:hAnsi="Times New Roman" w:cs="Times New Roman"/>
      <w:szCs w:val="20"/>
      <w:lang w:eastAsia="en-AU"/>
    </w:rPr>
  </w:style>
  <w:style w:type="character" w:customStyle="1" w:styleId="normaltextrun">
    <w:name w:val="normaltextrun"/>
    <w:basedOn w:val="DefaultParagraphFont"/>
    <w:rsid w:val="00482D31"/>
  </w:style>
  <w:style w:type="character" w:customStyle="1" w:styleId="eop">
    <w:name w:val="eop"/>
    <w:basedOn w:val="DefaultParagraphFont"/>
    <w:rsid w:val="001239B9"/>
  </w:style>
  <w:style w:type="character" w:customStyle="1" w:styleId="DashChar">
    <w:name w:val="Dash Char"/>
    <w:basedOn w:val="DefaultParagraphFont"/>
    <w:link w:val="Dash"/>
    <w:rsid w:val="00F24EA3"/>
    <w:rPr>
      <w:rFonts w:ascii="Times New Roman" w:hAnsi="Times New Roman"/>
    </w:rPr>
  </w:style>
  <w:style w:type="character" w:customStyle="1" w:styleId="DoubleDotChar">
    <w:name w:val="Double Dot Char"/>
    <w:basedOn w:val="DefaultParagraphFont"/>
    <w:link w:val="DoubleDot"/>
    <w:rsid w:val="00F24EA3"/>
    <w:rPr>
      <w:rFonts w:ascii="Times New Roman" w:eastAsia="Calibri" w:hAnsi="Times New Roman"/>
      <w:color w:val="2F5496" w:themeColor="accent1" w:themeShade="BF"/>
      <w:lang w:eastAsia="en-GB"/>
    </w:rPr>
  </w:style>
  <w:style w:type="paragraph" w:customStyle="1" w:styleId="subsection">
    <w:name w:val="subsection"/>
    <w:aliases w:val="ss"/>
    <w:basedOn w:val="Normal"/>
    <w:link w:val="subsectionChar"/>
    <w:rsid w:val="0043245B"/>
    <w:pPr>
      <w:tabs>
        <w:tab w:val="right" w:pos="1021"/>
      </w:tabs>
      <w:spacing w:before="180" w:after="0"/>
      <w:ind w:left="1134" w:hanging="1134"/>
    </w:pPr>
    <w:rPr>
      <w:rFonts w:eastAsia="Times New Roman" w:cs="Times New Roman"/>
      <w:szCs w:val="20"/>
      <w:lang w:eastAsia="en-AU"/>
    </w:rPr>
  </w:style>
  <w:style w:type="paragraph" w:customStyle="1" w:styleId="paragraphsub">
    <w:name w:val="paragraph(sub)"/>
    <w:aliases w:val="aa"/>
    <w:basedOn w:val="Normal"/>
    <w:link w:val="paragraphsubChar"/>
    <w:rsid w:val="0043245B"/>
    <w:pPr>
      <w:tabs>
        <w:tab w:val="right" w:pos="1985"/>
      </w:tabs>
      <w:spacing w:before="40" w:after="0"/>
      <w:ind w:left="2098" w:hanging="2098"/>
    </w:pPr>
    <w:rPr>
      <w:rFonts w:eastAsia="Times New Roman" w:cs="Times New Roman"/>
      <w:szCs w:val="20"/>
      <w:lang w:eastAsia="en-AU"/>
    </w:rPr>
  </w:style>
  <w:style w:type="paragraph" w:styleId="ListNumber3">
    <w:name w:val="List Number 3"/>
    <w:basedOn w:val="Normal"/>
    <w:uiPriority w:val="99"/>
    <w:semiHidden/>
    <w:unhideWhenUsed/>
    <w:rsid w:val="0043245B"/>
    <w:pPr>
      <w:numPr>
        <w:numId w:val="39"/>
      </w:numPr>
      <w:spacing w:before="0" w:after="0" w:line="260" w:lineRule="atLeast"/>
      <w:contextualSpacing/>
    </w:pPr>
    <w:rPr>
      <w:szCs w:val="20"/>
    </w:rPr>
  </w:style>
  <w:style w:type="character" w:customStyle="1" w:styleId="subsectionChar">
    <w:name w:val="subsection Char"/>
    <w:aliases w:val="ss Char"/>
    <w:link w:val="subsection"/>
    <w:rsid w:val="0043245B"/>
    <w:rPr>
      <w:rFonts w:ascii="Times New Roman" w:eastAsia="Times New Roman" w:hAnsi="Times New Roman" w:cs="Times New Roman"/>
      <w:szCs w:val="20"/>
      <w:lang w:eastAsia="en-AU"/>
    </w:rPr>
  </w:style>
  <w:style w:type="character" w:customStyle="1" w:styleId="paragraphsubChar">
    <w:name w:val="paragraph(sub) Char"/>
    <w:aliases w:val="aa Char"/>
    <w:link w:val="paragraphsub"/>
    <w:rsid w:val="0043245B"/>
    <w:rPr>
      <w:rFonts w:ascii="Times New Roman" w:eastAsia="Times New Roman" w:hAnsi="Times New Roman" w:cs="Times New Roman"/>
      <w:szCs w:val="20"/>
      <w:lang w:eastAsia="en-AU"/>
    </w:rPr>
  </w:style>
  <w:style w:type="paragraph" w:customStyle="1" w:styleId="definition">
    <w:name w:val="definition"/>
    <w:basedOn w:val="Normal"/>
    <w:rsid w:val="005A257D"/>
    <w:pPr>
      <w:spacing w:before="100" w:beforeAutospacing="1" w:after="100" w:afterAutospacing="1"/>
    </w:pPr>
    <w:rPr>
      <w:rFonts w:eastAsia="Times New Roman" w:cs="Times New Roman"/>
      <w:sz w:val="24"/>
      <w:szCs w:val="24"/>
      <w:lang w:eastAsia="en-AU"/>
    </w:rPr>
  </w:style>
  <w:style w:type="paragraph" w:customStyle="1" w:styleId="paragraphsub0">
    <w:name w:val="paragraphsub"/>
    <w:basedOn w:val="Normal"/>
    <w:rsid w:val="005A257D"/>
    <w:pPr>
      <w:spacing w:before="100" w:beforeAutospacing="1" w:after="100" w:afterAutospacing="1"/>
    </w:pPr>
    <w:rPr>
      <w:rFonts w:eastAsia="Times New Roman" w:cs="Times New Roman"/>
      <w:sz w:val="24"/>
      <w:szCs w:val="24"/>
      <w:lang w:eastAsia="en-AU"/>
    </w:rPr>
  </w:style>
  <w:style w:type="character" w:styleId="Mention">
    <w:name w:val="Mention"/>
    <w:basedOn w:val="DefaultParagraphFont"/>
    <w:uiPriority w:val="99"/>
    <w:unhideWhenUsed/>
    <w:rsid w:val="00391FA4"/>
    <w:rPr>
      <w:color w:val="2B579A"/>
      <w:shd w:val="clear" w:color="auto" w:fill="E6E6E6"/>
    </w:rPr>
  </w:style>
  <w:style w:type="character" w:customStyle="1" w:styleId="Heading7Char">
    <w:name w:val="Heading 7 Char"/>
    <w:basedOn w:val="DefaultParagraphFont"/>
    <w:link w:val="Heading7"/>
    <w:uiPriority w:val="9"/>
    <w:rsid w:val="007351DF"/>
    <w:rPr>
      <w:rFonts w:asciiTheme="majorHAnsi" w:eastAsiaTheme="majorEastAsia" w:hAnsiTheme="majorHAnsi" w:cstheme="majorBidi"/>
      <w:i/>
      <w:iCs/>
      <w:color w:val="1F3763" w:themeColor="accent1" w:themeShade="7F"/>
    </w:rPr>
  </w:style>
  <w:style w:type="character" w:customStyle="1" w:styleId="TabletextChar">
    <w:name w:val="Table text Char"/>
    <w:basedOn w:val="DefaultParagraphFont"/>
    <w:link w:val="Tabletext"/>
    <w:uiPriority w:val="1"/>
    <w:rsid w:val="008C747D"/>
    <w:rPr>
      <w:rFonts w:ascii="Times New Roman" w:eastAsia="Times New Roman" w:hAnsi="Times New Roman" w:cs="Times New Roman"/>
      <w:sz w:val="20"/>
      <w:szCs w:val="20"/>
      <w:lang w:eastAsia="en-AU"/>
    </w:rPr>
  </w:style>
  <w:style w:type="character" w:customStyle="1" w:styleId="Heading8Char">
    <w:name w:val="Heading 8 Char"/>
    <w:basedOn w:val="DefaultParagraphFont"/>
    <w:link w:val="Heading8"/>
    <w:uiPriority w:val="9"/>
    <w:rsid w:val="0071063A"/>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877957">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049651585">
      <w:bodyDiv w:val="1"/>
      <w:marLeft w:val="0"/>
      <w:marRight w:val="0"/>
      <w:marTop w:val="0"/>
      <w:marBottom w:val="0"/>
      <w:divBdr>
        <w:top w:val="none" w:sz="0" w:space="0" w:color="auto"/>
        <w:left w:val="none" w:sz="0" w:space="0" w:color="auto"/>
        <w:bottom w:val="none" w:sz="0" w:space="0" w:color="auto"/>
        <w:right w:val="none" w:sz="0" w:space="0" w:color="auto"/>
      </w:divBdr>
    </w:div>
    <w:div w:id="1077286519">
      <w:bodyDiv w:val="1"/>
      <w:marLeft w:val="0"/>
      <w:marRight w:val="0"/>
      <w:marTop w:val="0"/>
      <w:marBottom w:val="0"/>
      <w:divBdr>
        <w:top w:val="none" w:sz="0" w:space="0" w:color="auto"/>
        <w:left w:val="none" w:sz="0" w:space="0" w:color="auto"/>
        <w:bottom w:val="none" w:sz="0" w:space="0" w:color="auto"/>
        <w:right w:val="none" w:sz="0" w:space="0" w:color="auto"/>
      </w:divBdr>
      <w:divsChild>
        <w:div w:id="321399802">
          <w:marLeft w:val="0"/>
          <w:marRight w:val="0"/>
          <w:marTop w:val="0"/>
          <w:marBottom w:val="0"/>
          <w:divBdr>
            <w:top w:val="none" w:sz="0" w:space="0" w:color="auto"/>
            <w:left w:val="none" w:sz="0" w:space="0" w:color="auto"/>
            <w:bottom w:val="none" w:sz="0" w:space="0" w:color="auto"/>
            <w:right w:val="none" w:sz="0" w:space="0" w:color="auto"/>
          </w:divBdr>
          <w:divsChild>
            <w:div w:id="667637710">
              <w:marLeft w:val="0"/>
              <w:marRight w:val="0"/>
              <w:marTop w:val="0"/>
              <w:marBottom w:val="0"/>
              <w:divBdr>
                <w:top w:val="none" w:sz="0" w:space="0" w:color="auto"/>
                <w:left w:val="none" w:sz="0" w:space="0" w:color="auto"/>
                <w:bottom w:val="none" w:sz="0" w:space="0" w:color="auto"/>
                <w:right w:val="none" w:sz="0" w:space="0" w:color="auto"/>
              </w:divBdr>
            </w:div>
          </w:divsChild>
        </w:div>
        <w:div w:id="331496188">
          <w:marLeft w:val="0"/>
          <w:marRight w:val="0"/>
          <w:marTop w:val="0"/>
          <w:marBottom w:val="0"/>
          <w:divBdr>
            <w:top w:val="none" w:sz="0" w:space="0" w:color="auto"/>
            <w:left w:val="none" w:sz="0" w:space="0" w:color="auto"/>
            <w:bottom w:val="none" w:sz="0" w:space="0" w:color="auto"/>
            <w:right w:val="none" w:sz="0" w:space="0" w:color="auto"/>
          </w:divBdr>
          <w:divsChild>
            <w:div w:id="799810519">
              <w:marLeft w:val="0"/>
              <w:marRight w:val="0"/>
              <w:marTop w:val="0"/>
              <w:marBottom w:val="0"/>
              <w:divBdr>
                <w:top w:val="none" w:sz="0" w:space="0" w:color="auto"/>
                <w:left w:val="none" w:sz="0" w:space="0" w:color="auto"/>
                <w:bottom w:val="none" w:sz="0" w:space="0" w:color="auto"/>
                <w:right w:val="none" w:sz="0" w:space="0" w:color="auto"/>
              </w:divBdr>
            </w:div>
          </w:divsChild>
        </w:div>
        <w:div w:id="338427953">
          <w:marLeft w:val="0"/>
          <w:marRight w:val="0"/>
          <w:marTop w:val="0"/>
          <w:marBottom w:val="0"/>
          <w:divBdr>
            <w:top w:val="none" w:sz="0" w:space="0" w:color="auto"/>
            <w:left w:val="none" w:sz="0" w:space="0" w:color="auto"/>
            <w:bottom w:val="none" w:sz="0" w:space="0" w:color="auto"/>
            <w:right w:val="none" w:sz="0" w:space="0" w:color="auto"/>
          </w:divBdr>
          <w:divsChild>
            <w:div w:id="1976639734">
              <w:marLeft w:val="0"/>
              <w:marRight w:val="0"/>
              <w:marTop w:val="0"/>
              <w:marBottom w:val="0"/>
              <w:divBdr>
                <w:top w:val="none" w:sz="0" w:space="0" w:color="auto"/>
                <w:left w:val="none" w:sz="0" w:space="0" w:color="auto"/>
                <w:bottom w:val="none" w:sz="0" w:space="0" w:color="auto"/>
                <w:right w:val="none" w:sz="0" w:space="0" w:color="auto"/>
              </w:divBdr>
            </w:div>
          </w:divsChild>
        </w:div>
        <w:div w:id="879127621">
          <w:marLeft w:val="0"/>
          <w:marRight w:val="0"/>
          <w:marTop w:val="0"/>
          <w:marBottom w:val="0"/>
          <w:divBdr>
            <w:top w:val="none" w:sz="0" w:space="0" w:color="auto"/>
            <w:left w:val="none" w:sz="0" w:space="0" w:color="auto"/>
            <w:bottom w:val="none" w:sz="0" w:space="0" w:color="auto"/>
            <w:right w:val="none" w:sz="0" w:space="0" w:color="auto"/>
          </w:divBdr>
          <w:divsChild>
            <w:div w:id="1509907881">
              <w:marLeft w:val="0"/>
              <w:marRight w:val="0"/>
              <w:marTop w:val="0"/>
              <w:marBottom w:val="0"/>
              <w:divBdr>
                <w:top w:val="none" w:sz="0" w:space="0" w:color="auto"/>
                <w:left w:val="none" w:sz="0" w:space="0" w:color="auto"/>
                <w:bottom w:val="none" w:sz="0" w:space="0" w:color="auto"/>
                <w:right w:val="none" w:sz="0" w:space="0" w:color="auto"/>
              </w:divBdr>
            </w:div>
          </w:divsChild>
        </w:div>
        <w:div w:id="1044210740">
          <w:marLeft w:val="0"/>
          <w:marRight w:val="0"/>
          <w:marTop w:val="0"/>
          <w:marBottom w:val="0"/>
          <w:divBdr>
            <w:top w:val="none" w:sz="0" w:space="0" w:color="auto"/>
            <w:left w:val="none" w:sz="0" w:space="0" w:color="auto"/>
            <w:bottom w:val="none" w:sz="0" w:space="0" w:color="auto"/>
            <w:right w:val="none" w:sz="0" w:space="0" w:color="auto"/>
          </w:divBdr>
          <w:divsChild>
            <w:div w:id="1513572585">
              <w:marLeft w:val="0"/>
              <w:marRight w:val="0"/>
              <w:marTop w:val="0"/>
              <w:marBottom w:val="0"/>
              <w:divBdr>
                <w:top w:val="none" w:sz="0" w:space="0" w:color="auto"/>
                <w:left w:val="none" w:sz="0" w:space="0" w:color="auto"/>
                <w:bottom w:val="none" w:sz="0" w:space="0" w:color="auto"/>
                <w:right w:val="none" w:sz="0" w:space="0" w:color="auto"/>
              </w:divBdr>
            </w:div>
          </w:divsChild>
        </w:div>
        <w:div w:id="1454711211">
          <w:marLeft w:val="0"/>
          <w:marRight w:val="0"/>
          <w:marTop w:val="0"/>
          <w:marBottom w:val="0"/>
          <w:divBdr>
            <w:top w:val="none" w:sz="0" w:space="0" w:color="auto"/>
            <w:left w:val="none" w:sz="0" w:space="0" w:color="auto"/>
            <w:bottom w:val="none" w:sz="0" w:space="0" w:color="auto"/>
            <w:right w:val="none" w:sz="0" w:space="0" w:color="auto"/>
          </w:divBdr>
          <w:divsChild>
            <w:div w:id="647126925">
              <w:marLeft w:val="0"/>
              <w:marRight w:val="0"/>
              <w:marTop w:val="0"/>
              <w:marBottom w:val="0"/>
              <w:divBdr>
                <w:top w:val="none" w:sz="0" w:space="0" w:color="auto"/>
                <w:left w:val="none" w:sz="0" w:space="0" w:color="auto"/>
                <w:bottom w:val="none" w:sz="0" w:space="0" w:color="auto"/>
                <w:right w:val="none" w:sz="0" w:space="0" w:color="auto"/>
              </w:divBdr>
            </w:div>
          </w:divsChild>
        </w:div>
        <w:div w:id="1775441085">
          <w:marLeft w:val="0"/>
          <w:marRight w:val="0"/>
          <w:marTop w:val="0"/>
          <w:marBottom w:val="0"/>
          <w:divBdr>
            <w:top w:val="none" w:sz="0" w:space="0" w:color="auto"/>
            <w:left w:val="none" w:sz="0" w:space="0" w:color="auto"/>
            <w:bottom w:val="none" w:sz="0" w:space="0" w:color="auto"/>
            <w:right w:val="none" w:sz="0" w:space="0" w:color="auto"/>
          </w:divBdr>
          <w:divsChild>
            <w:div w:id="1054626137">
              <w:marLeft w:val="0"/>
              <w:marRight w:val="0"/>
              <w:marTop w:val="0"/>
              <w:marBottom w:val="0"/>
              <w:divBdr>
                <w:top w:val="none" w:sz="0" w:space="0" w:color="auto"/>
                <w:left w:val="none" w:sz="0" w:space="0" w:color="auto"/>
                <w:bottom w:val="none" w:sz="0" w:space="0" w:color="auto"/>
                <w:right w:val="none" w:sz="0" w:space="0" w:color="auto"/>
              </w:divBdr>
            </w:div>
          </w:divsChild>
        </w:div>
        <w:div w:id="1853839897">
          <w:marLeft w:val="0"/>
          <w:marRight w:val="0"/>
          <w:marTop w:val="0"/>
          <w:marBottom w:val="0"/>
          <w:divBdr>
            <w:top w:val="none" w:sz="0" w:space="0" w:color="auto"/>
            <w:left w:val="none" w:sz="0" w:space="0" w:color="auto"/>
            <w:bottom w:val="none" w:sz="0" w:space="0" w:color="auto"/>
            <w:right w:val="none" w:sz="0" w:space="0" w:color="auto"/>
          </w:divBdr>
          <w:divsChild>
            <w:div w:id="405227741">
              <w:marLeft w:val="0"/>
              <w:marRight w:val="0"/>
              <w:marTop w:val="0"/>
              <w:marBottom w:val="0"/>
              <w:divBdr>
                <w:top w:val="none" w:sz="0" w:space="0" w:color="auto"/>
                <w:left w:val="none" w:sz="0" w:space="0" w:color="auto"/>
                <w:bottom w:val="none" w:sz="0" w:space="0" w:color="auto"/>
                <w:right w:val="none" w:sz="0" w:space="0" w:color="auto"/>
              </w:divBdr>
            </w:div>
          </w:divsChild>
        </w:div>
        <w:div w:id="1855147323">
          <w:marLeft w:val="0"/>
          <w:marRight w:val="0"/>
          <w:marTop w:val="0"/>
          <w:marBottom w:val="0"/>
          <w:divBdr>
            <w:top w:val="none" w:sz="0" w:space="0" w:color="auto"/>
            <w:left w:val="none" w:sz="0" w:space="0" w:color="auto"/>
            <w:bottom w:val="none" w:sz="0" w:space="0" w:color="auto"/>
            <w:right w:val="none" w:sz="0" w:space="0" w:color="auto"/>
          </w:divBdr>
          <w:divsChild>
            <w:div w:id="1103265257">
              <w:marLeft w:val="0"/>
              <w:marRight w:val="0"/>
              <w:marTop w:val="0"/>
              <w:marBottom w:val="0"/>
              <w:divBdr>
                <w:top w:val="none" w:sz="0" w:space="0" w:color="auto"/>
                <w:left w:val="none" w:sz="0" w:space="0" w:color="auto"/>
                <w:bottom w:val="none" w:sz="0" w:space="0" w:color="auto"/>
                <w:right w:val="none" w:sz="0" w:space="0" w:color="auto"/>
              </w:divBdr>
            </w:div>
          </w:divsChild>
        </w:div>
        <w:div w:id="1954163671">
          <w:marLeft w:val="0"/>
          <w:marRight w:val="0"/>
          <w:marTop w:val="0"/>
          <w:marBottom w:val="0"/>
          <w:divBdr>
            <w:top w:val="none" w:sz="0" w:space="0" w:color="auto"/>
            <w:left w:val="none" w:sz="0" w:space="0" w:color="auto"/>
            <w:bottom w:val="none" w:sz="0" w:space="0" w:color="auto"/>
            <w:right w:val="none" w:sz="0" w:space="0" w:color="auto"/>
          </w:divBdr>
          <w:divsChild>
            <w:div w:id="67600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08699">
      <w:bodyDiv w:val="1"/>
      <w:marLeft w:val="0"/>
      <w:marRight w:val="0"/>
      <w:marTop w:val="0"/>
      <w:marBottom w:val="0"/>
      <w:divBdr>
        <w:top w:val="none" w:sz="0" w:space="0" w:color="auto"/>
        <w:left w:val="none" w:sz="0" w:space="0" w:color="auto"/>
        <w:bottom w:val="none" w:sz="0" w:space="0" w:color="auto"/>
        <w:right w:val="none" w:sz="0" w:space="0" w:color="auto"/>
      </w:divBdr>
    </w:div>
    <w:div w:id="1382703684">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659310089">
      <w:bodyDiv w:val="1"/>
      <w:marLeft w:val="0"/>
      <w:marRight w:val="0"/>
      <w:marTop w:val="0"/>
      <w:marBottom w:val="0"/>
      <w:divBdr>
        <w:top w:val="none" w:sz="0" w:space="0" w:color="auto"/>
        <w:left w:val="none" w:sz="0" w:space="0" w:color="auto"/>
        <w:bottom w:val="none" w:sz="0" w:space="0" w:color="auto"/>
        <w:right w:val="none" w:sz="0" w:space="0" w:color="auto"/>
      </w:divBdr>
    </w:div>
    <w:div w:id="1716737713">
      <w:bodyDiv w:val="1"/>
      <w:marLeft w:val="0"/>
      <w:marRight w:val="0"/>
      <w:marTop w:val="0"/>
      <w:marBottom w:val="0"/>
      <w:divBdr>
        <w:top w:val="none" w:sz="0" w:space="0" w:color="auto"/>
        <w:left w:val="none" w:sz="0" w:space="0" w:color="auto"/>
        <w:bottom w:val="none" w:sz="0" w:space="0" w:color="auto"/>
        <w:right w:val="none" w:sz="0" w:space="0" w:color="auto"/>
      </w:divBdr>
    </w:div>
    <w:div w:id="1923905307">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ghgprotocol.org/scope-3-calculation-guidance-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ghgprotocol.org/corporate-value-chain-scope-3-standard" TargetMode="Externa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EE9D1-CF73-431F-B2EA-061C1C554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8743</Words>
  <Characters>48638</Characters>
  <Application>Microsoft Office Word</Application>
  <DocSecurity>0</DocSecurity>
  <Lines>942</Lines>
  <Paragraphs>264</Paragraphs>
  <ScaleCrop>false</ScaleCrop>
  <HeadingPairs>
    <vt:vector size="2" baseType="variant">
      <vt:variant>
        <vt:lpstr>Title</vt:lpstr>
      </vt:variant>
      <vt:variant>
        <vt:i4>1</vt:i4>
      </vt:variant>
    </vt:vector>
  </HeadingPairs>
  <TitlesOfParts>
    <vt:vector size="1" baseType="lpstr">
      <vt:lpstr>Treasury Laws Amendment Bill 2024: Climate-Related Financial Disclosure - Exposure Draft Explanatory Materials</vt:lpstr>
    </vt:vector>
  </TitlesOfParts>
  <Company/>
  <LinksUpToDate>false</LinksUpToDate>
  <CharactersWithSpaces>57306</CharactersWithSpaces>
  <SharedDoc>false</SharedDoc>
  <HLinks>
    <vt:vector size="12" baseType="variant">
      <vt:variant>
        <vt:i4>7733302</vt:i4>
      </vt:variant>
      <vt:variant>
        <vt:i4>12</vt:i4>
      </vt:variant>
      <vt:variant>
        <vt:i4>0</vt:i4>
      </vt:variant>
      <vt:variant>
        <vt:i4>5</vt:i4>
      </vt:variant>
      <vt:variant>
        <vt:lpwstr>https://ghgprotocol.org/scope-3-calculation-guidance-2</vt:lpwstr>
      </vt:variant>
      <vt:variant>
        <vt:lpwstr/>
      </vt:variant>
      <vt:variant>
        <vt:i4>3670118</vt:i4>
      </vt:variant>
      <vt:variant>
        <vt:i4>9</vt:i4>
      </vt:variant>
      <vt:variant>
        <vt:i4>0</vt:i4>
      </vt:variant>
      <vt:variant>
        <vt:i4>5</vt:i4>
      </vt:variant>
      <vt:variant>
        <vt:lpwstr>https://ghgprotocol.org/corporate-value-chain-scope-3-standard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Laws Amendment Bill 2024: Climate-Related Financial Disclosure - Exposure Draft Explanatory Materials</dc:title>
  <dc:subject/>
  <dc:creator/>
  <cp:keywords/>
  <dc:description/>
  <cp:lastModifiedBy/>
  <cp:revision>1</cp:revision>
  <dcterms:created xsi:type="dcterms:W3CDTF">2024-01-11T04:46:00Z</dcterms:created>
  <dcterms:modified xsi:type="dcterms:W3CDTF">2024-01-11T04:48:00Z</dcterms:modified>
</cp:coreProperties>
</file>