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AB10" w14:textId="06CA0724" w:rsidR="00F109D4" w:rsidRPr="003C5719" w:rsidRDefault="00330B4E" w:rsidP="004A27A8">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3C5719">
        <w:rPr>
          <w:rFonts w:ascii="Times New Roman" w:hAnsi="Times New Roman"/>
          <w:sz w:val="24"/>
          <w:szCs w:val="24"/>
        </w:rPr>
        <w:t>EXPLANATORY STATEMENT</w:t>
      </w:r>
    </w:p>
    <w:p w14:paraId="3D3247B9" w14:textId="4FFEFA50" w:rsidR="007662C7" w:rsidRDefault="00F109D4" w:rsidP="004A27A8">
      <w:pPr>
        <w:pStyle w:val="Heading2"/>
        <w:jc w:val="center"/>
        <w:rPr>
          <w:rStyle w:val="DefaultChar"/>
        </w:rPr>
      </w:pPr>
      <w:r w:rsidRPr="003C5719">
        <w:rPr>
          <w:sz w:val="24"/>
          <w:szCs w:val="24"/>
        </w:rPr>
        <w:t xml:space="preserve">Issued by authority of </w:t>
      </w:r>
      <w:r w:rsidR="00311856" w:rsidRPr="00311856">
        <w:rPr>
          <w:rStyle w:val="DefaultChar"/>
        </w:rPr>
        <w:t>Assistant Treasurer and Minister for Financial Services</w:t>
      </w:r>
    </w:p>
    <w:p w14:paraId="54685233" w14:textId="77777777" w:rsidR="00311856" w:rsidRPr="00311856" w:rsidRDefault="00311856" w:rsidP="00311856"/>
    <w:p w14:paraId="23B09674" w14:textId="2EA4A7E5" w:rsidR="00F109D4" w:rsidRDefault="00394EB8" w:rsidP="004A27A8">
      <w:pPr>
        <w:tabs>
          <w:tab w:val="left" w:pos="1418"/>
        </w:tabs>
        <w:spacing w:before="0" w:after="240"/>
        <w:jc w:val="center"/>
        <w:rPr>
          <w:i/>
        </w:rPr>
      </w:pPr>
      <w:r w:rsidRPr="00394EB8">
        <w:rPr>
          <w:i/>
        </w:rPr>
        <w:t>Corporations Act 2001</w:t>
      </w:r>
    </w:p>
    <w:p w14:paraId="69E6C0A9" w14:textId="228F9870" w:rsidR="00497C5C" w:rsidRPr="003C5719" w:rsidRDefault="00756D2B" w:rsidP="004A27A8">
      <w:pPr>
        <w:tabs>
          <w:tab w:val="left" w:pos="1418"/>
        </w:tabs>
        <w:spacing w:before="0" w:after="240"/>
        <w:jc w:val="center"/>
        <w:rPr>
          <w:i/>
        </w:rPr>
      </w:pPr>
      <w:r w:rsidRPr="00756D2B">
        <w:rPr>
          <w:i/>
        </w:rPr>
        <w:t>Corporations (Relevant Providers—Education and Training Standards) Amendment (202</w:t>
      </w:r>
      <w:r w:rsidR="008445C3">
        <w:rPr>
          <w:i/>
        </w:rPr>
        <w:t>4</w:t>
      </w:r>
      <w:r w:rsidR="00C618B3">
        <w:rPr>
          <w:i/>
        </w:rPr>
        <w:t> </w:t>
      </w:r>
      <w:r w:rsidRPr="00756D2B">
        <w:rPr>
          <w:i/>
        </w:rPr>
        <w:t xml:space="preserve">Measures No. </w:t>
      </w:r>
      <w:r w:rsidR="00511874">
        <w:rPr>
          <w:i/>
        </w:rPr>
        <w:t>1</w:t>
      </w:r>
      <w:r w:rsidRPr="00756D2B">
        <w:rPr>
          <w:i/>
        </w:rPr>
        <w:t>) Determination 2024</w:t>
      </w:r>
    </w:p>
    <w:p w14:paraId="4380EA50" w14:textId="77777777" w:rsidR="00B41C0F" w:rsidRPr="00746B14" w:rsidRDefault="00B41C0F" w:rsidP="00B41C0F">
      <w:pPr>
        <w:spacing w:before="240"/>
      </w:pPr>
      <w:r w:rsidRPr="00437DBD">
        <w:t xml:space="preserve">Part 7.6 of the </w:t>
      </w:r>
      <w:r w:rsidRPr="00746B14">
        <w:rPr>
          <w:i/>
          <w:iCs/>
        </w:rPr>
        <w:t>Corporations Act</w:t>
      </w:r>
      <w:r w:rsidRPr="00437DBD">
        <w:t xml:space="preserve"> (the Act) sets out licensing obligations for relevant providers, that is, financial planners and financial advisers who provide personal advice to retail clients. Section 921B sets out </w:t>
      </w:r>
      <w:r>
        <w:t xml:space="preserve">four </w:t>
      </w:r>
      <w:r w:rsidRPr="00437DBD">
        <w:t>education and training standards for a person who is, or is to be, a relevant provider.</w:t>
      </w:r>
      <w:r w:rsidRPr="00746B14">
        <w:t xml:space="preserve"> These four </w:t>
      </w:r>
      <w:r w:rsidRPr="00437DBD">
        <w:t xml:space="preserve">education and training </w:t>
      </w:r>
      <w:r w:rsidRPr="00746B14">
        <w:t>standards set out minimum requirements relating to: qualifications</w:t>
      </w:r>
      <w:r>
        <w:t xml:space="preserve"> (the </w:t>
      </w:r>
      <w:r w:rsidRPr="00CA7840">
        <w:rPr>
          <w:i/>
          <w:iCs/>
        </w:rPr>
        <w:t>first standard</w:t>
      </w:r>
      <w:r>
        <w:t>)</w:t>
      </w:r>
      <w:r w:rsidRPr="00746B14">
        <w:t>; an exam</w:t>
      </w:r>
      <w:r>
        <w:t xml:space="preserve"> (the </w:t>
      </w:r>
      <w:r w:rsidRPr="00570525">
        <w:rPr>
          <w:i/>
          <w:iCs/>
        </w:rPr>
        <w:t>s</w:t>
      </w:r>
      <w:r>
        <w:rPr>
          <w:i/>
          <w:iCs/>
        </w:rPr>
        <w:t>econd</w:t>
      </w:r>
      <w:r w:rsidRPr="00570525">
        <w:rPr>
          <w:i/>
          <w:iCs/>
        </w:rPr>
        <w:t xml:space="preserve"> standard</w:t>
      </w:r>
      <w:r>
        <w:t>)</w:t>
      </w:r>
      <w:r w:rsidRPr="00746B14">
        <w:t>; an initial professional year of work and training</w:t>
      </w:r>
      <w:r>
        <w:t xml:space="preserve"> (the </w:t>
      </w:r>
      <w:r w:rsidRPr="00570525">
        <w:rPr>
          <w:i/>
          <w:iCs/>
        </w:rPr>
        <w:t>t</w:t>
      </w:r>
      <w:r>
        <w:rPr>
          <w:i/>
          <w:iCs/>
        </w:rPr>
        <w:t>hird</w:t>
      </w:r>
      <w:r w:rsidRPr="00570525">
        <w:rPr>
          <w:i/>
          <w:iCs/>
        </w:rPr>
        <w:t xml:space="preserve"> standard</w:t>
      </w:r>
      <w:r>
        <w:t>)</w:t>
      </w:r>
      <w:r w:rsidRPr="00746B14">
        <w:t xml:space="preserve">; and </w:t>
      </w:r>
      <w:r w:rsidRPr="00437DBD">
        <w:t>continuing professional development</w:t>
      </w:r>
      <w:r>
        <w:t xml:space="preserve"> (the </w:t>
      </w:r>
      <w:r w:rsidRPr="00570525">
        <w:rPr>
          <w:i/>
          <w:iCs/>
        </w:rPr>
        <w:t>f</w:t>
      </w:r>
      <w:r>
        <w:rPr>
          <w:i/>
          <w:iCs/>
        </w:rPr>
        <w:t>ourth</w:t>
      </w:r>
      <w:r w:rsidRPr="00570525">
        <w:rPr>
          <w:i/>
          <w:iCs/>
        </w:rPr>
        <w:t xml:space="preserve"> standard</w:t>
      </w:r>
      <w:r>
        <w:t>)</w:t>
      </w:r>
      <w:r w:rsidRPr="00437DBD">
        <w:t>.</w:t>
      </w:r>
    </w:p>
    <w:p w14:paraId="43A9C4AC" w14:textId="77777777" w:rsidR="00B41C0F" w:rsidRPr="00437DBD" w:rsidRDefault="00B41C0F" w:rsidP="00B41C0F">
      <w:pPr>
        <w:spacing w:before="240"/>
        <w:rPr>
          <w:color w:val="000000"/>
          <w:szCs w:val="24"/>
        </w:rPr>
      </w:pPr>
      <w:r>
        <w:rPr>
          <w:color w:val="000000"/>
          <w:szCs w:val="24"/>
        </w:rPr>
        <w:t>Section</w:t>
      </w:r>
      <w:r w:rsidRPr="00437DBD">
        <w:rPr>
          <w:color w:val="000000"/>
          <w:szCs w:val="24"/>
        </w:rPr>
        <w:t xml:space="preserve"> 921C of the Act prohibits the Australian Securities and Investments Commission (ASIC) from granting a financial services licence to a person who has not met the education and training standards. Subsection 921</w:t>
      </w:r>
      <w:proofErr w:type="gramStart"/>
      <w:r w:rsidRPr="00437DBD">
        <w:rPr>
          <w:color w:val="000000"/>
          <w:szCs w:val="24"/>
        </w:rPr>
        <w:t>C(</w:t>
      </w:r>
      <w:proofErr w:type="gramEnd"/>
      <w:r w:rsidRPr="00437DBD">
        <w:rPr>
          <w:color w:val="000000"/>
          <w:szCs w:val="24"/>
        </w:rPr>
        <w:t>2) prohibits licensees and authorised representatives of licensees from authorising other persons to give personal advice to retail clients in relation to relevant financial products unless the other persons have met the education and training standards.</w:t>
      </w:r>
    </w:p>
    <w:p w14:paraId="7420DA92" w14:textId="2383B1BE" w:rsidR="00AF4C42" w:rsidRDefault="00B41C0F" w:rsidP="00B41C0F">
      <w:pPr>
        <w:spacing w:before="240"/>
        <w:rPr>
          <w:color w:val="000000"/>
          <w:szCs w:val="24"/>
        </w:rPr>
      </w:pPr>
      <w:r>
        <w:t xml:space="preserve">Under the education and training standards for relevant providers outlined in the Act, the </w:t>
      </w:r>
      <w:r w:rsidR="008D2A1E">
        <w:t>first</w:t>
      </w:r>
      <w:r>
        <w:t xml:space="preserve"> standard – the </w:t>
      </w:r>
      <w:r w:rsidR="00742510">
        <w:rPr>
          <w:i/>
          <w:iCs/>
        </w:rPr>
        <w:t>qualifications</w:t>
      </w:r>
      <w:r w:rsidRPr="00315E57">
        <w:rPr>
          <w:i/>
          <w:iCs/>
        </w:rPr>
        <w:t xml:space="preserve"> standard</w:t>
      </w:r>
      <w:r>
        <w:t xml:space="preserve"> </w:t>
      </w:r>
      <w:r w:rsidR="00281AB7">
        <w:t>in section 921</w:t>
      </w:r>
      <w:proofErr w:type="gramStart"/>
      <w:r w:rsidR="00281AB7">
        <w:t>B</w:t>
      </w:r>
      <w:r w:rsidR="00EF2BE8">
        <w:t>(</w:t>
      </w:r>
      <w:proofErr w:type="gramEnd"/>
      <w:r w:rsidR="00EF2BE8">
        <w:t>2)</w:t>
      </w:r>
      <w:r w:rsidR="00281AB7">
        <w:t xml:space="preserve"> </w:t>
      </w:r>
      <w:r>
        <w:t xml:space="preserve">– requires a person to </w:t>
      </w:r>
      <w:r w:rsidR="001168CE" w:rsidRPr="001168CE">
        <w:t>complete an approved bachelor or higher degree, or equivalent qualification, or foreign qualification, that has been approved by the Minister</w:t>
      </w:r>
      <w:r>
        <w:t xml:space="preserve">. </w:t>
      </w:r>
      <w:r w:rsidRPr="00437DBD">
        <w:rPr>
          <w:color w:val="000000"/>
          <w:szCs w:val="24"/>
        </w:rPr>
        <w:t>Paragraph 921B(6)(</w:t>
      </w:r>
      <w:r w:rsidR="005B62CD">
        <w:rPr>
          <w:color w:val="000000"/>
          <w:szCs w:val="24"/>
        </w:rPr>
        <w:t>a</w:t>
      </w:r>
      <w:r w:rsidRPr="00437DBD">
        <w:rPr>
          <w:color w:val="000000"/>
          <w:szCs w:val="24"/>
        </w:rPr>
        <w:t xml:space="preserve">) of the Act provides that the Minister responsible for administering the Act may, by legislative instrument, approve </w:t>
      </w:r>
      <w:r w:rsidR="00A15868" w:rsidRPr="00A15868">
        <w:rPr>
          <w:color w:val="000000"/>
          <w:szCs w:val="24"/>
        </w:rPr>
        <w:t>bachelor or higher degrees, or equivalent qualifications,</w:t>
      </w:r>
      <w:r w:rsidRPr="00437DBD">
        <w:rPr>
          <w:color w:val="000000"/>
          <w:szCs w:val="24"/>
        </w:rPr>
        <w:t xml:space="preserve"> for the purposes of </w:t>
      </w:r>
      <w:r w:rsidRPr="0050321D">
        <w:rPr>
          <w:color w:val="000000"/>
          <w:szCs w:val="24"/>
        </w:rPr>
        <w:t>subsection 921</w:t>
      </w:r>
      <w:proofErr w:type="gramStart"/>
      <w:r w:rsidRPr="0050321D">
        <w:rPr>
          <w:color w:val="000000"/>
          <w:szCs w:val="24"/>
        </w:rPr>
        <w:t>B(</w:t>
      </w:r>
      <w:proofErr w:type="gramEnd"/>
      <w:r w:rsidR="004A44D8">
        <w:rPr>
          <w:color w:val="000000"/>
          <w:szCs w:val="24"/>
        </w:rPr>
        <w:t>2</w:t>
      </w:r>
      <w:r w:rsidRPr="0050321D">
        <w:rPr>
          <w:color w:val="000000"/>
          <w:szCs w:val="24"/>
        </w:rPr>
        <w:t xml:space="preserve">). </w:t>
      </w:r>
      <w:r w:rsidR="0069021E">
        <w:t xml:space="preserve">These approved degrees/qualifications are set out in </w:t>
      </w:r>
      <w:r w:rsidR="0069021E" w:rsidRPr="00CA4552">
        <w:t xml:space="preserve">the </w:t>
      </w:r>
      <w:r w:rsidR="0069021E" w:rsidRPr="000864E2">
        <w:rPr>
          <w:i/>
          <w:iCs/>
        </w:rPr>
        <w:t>Corporations (Relevant Providers Degrees, Qualifications and Courses Standard) Determination 2021</w:t>
      </w:r>
      <w:r w:rsidR="0069021E">
        <w:t xml:space="preserve"> (the Approved Qualifications Determination).</w:t>
      </w:r>
    </w:p>
    <w:p w14:paraId="70A9B231" w14:textId="340A3A66" w:rsidR="00170333" w:rsidRDefault="00845A30" w:rsidP="00B41C0F">
      <w:pPr>
        <w:spacing w:before="240"/>
        <w:rPr>
          <w:color w:val="000000"/>
          <w:szCs w:val="24"/>
        </w:rPr>
      </w:pPr>
      <w:r>
        <w:t xml:space="preserve">In addition to the four education and training standards for relevant providers outlined in section 921B of the Corporations Act, section 921BB empowers the Minister to determine additional requirements for </w:t>
      </w:r>
      <w:r w:rsidRPr="00591AE9">
        <w:t>relevant providers who provide tax (financial) advice service</w:t>
      </w:r>
      <w:r>
        <w:t>. The additional</w:t>
      </w:r>
      <w:r w:rsidR="00A541BA">
        <w:t xml:space="preserve"> educational</w:t>
      </w:r>
      <w:r>
        <w:t xml:space="preserve"> requirements </w:t>
      </w:r>
      <w:r w:rsidR="00A541BA">
        <w:t xml:space="preserve">for these </w:t>
      </w:r>
      <w:r w:rsidR="00A541BA">
        <w:rPr>
          <w:i/>
          <w:iCs/>
        </w:rPr>
        <w:t>qualified tax relevant providers</w:t>
      </w:r>
      <w:r w:rsidR="00A541BA">
        <w:t xml:space="preserve"> </w:t>
      </w:r>
      <w:r>
        <w:t xml:space="preserve">relate to courses in commercial law and taxation law, as set out in Division 3 of Part 3 of </w:t>
      </w:r>
      <w:r w:rsidRPr="00CA4552">
        <w:t xml:space="preserve">the </w:t>
      </w:r>
      <w:r w:rsidRPr="00CA4552">
        <w:rPr>
          <w:i/>
          <w:iCs/>
        </w:rPr>
        <w:t>Corporations (Relevant Providers—Education and Training Standards) Determination 2021</w:t>
      </w:r>
      <w:r>
        <w:t xml:space="preserve"> (the Education and Training Standards Determination).</w:t>
      </w:r>
    </w:p>
    <w:p w14:paraId="62EAD5F8" w14:textId="328C2338" w:rsidR="00B41C0F" w:rsidRPr="00437DBD" w:rsidRDefault="00B41C0F" w:rsidP="00B41C0F">
      <w:pPr>
        <w:spacing w:before="240"/>
        <w:rPr>
          <w:color w:val="000000"/>
          <w:szCs w:val="24"/>
        </w:rPr>
      </w:pPr>
      <w:r w:rsidRPr="0050321D">
        <w:rPr>
          <w:color w:val="000000"/>
        </w:rPr>
        <w:t xml:space="preserve">Before approving </w:t>
      </w:r>
      <w:r w:rsidR="00593AE2" w:rsidRPr="00593AE2">
        <w:rPr>
          <w:color w:val="000000"/>
        </w:rPr>
        <w:t>degrees</w:t>
      </w:r>
      <w:r w:rsidR="00166E5D">
        <w:rPr>
          <w:color w:val="000000"/>
        </w:rPr>
        <w:t>/</w:t>
      </w:r>
      <w:r w:rsidR="00593AE2" w:rsidRPr="00593AE2">
        <w:rPr>
          <w:color w:val="000000"/>
        </w:rPr>
        <w:t>qualifications</w:t>
      </w:r>
      <w:r w:rsidRPr="0050321D">
        <w:rPr>
          <w:color w:val="000000"/>
        </w:rPr>
        <w:t xml:space="preserve"> </w:t>
      </w:r>
      <w:r w:rsidR="00027F3C" w:rsidRPr="00437DBD">
        <w:rPr>
          <w:color w:val="000000"/>
          <w:szCs w:val="24"/>
        </w:rPr>
        <w:t xml:space="preserve">for the purposes of </w:t>
      </w:r>
      <w:r w:rsidR="00027F3C" w:rsidRPr="0050321D">
        <w:rPr>
          <w:color w:val="000000"/>
          <w:szCs w:val="24"/>
        </w:rPr>
        <w:t>subsection 921</w:t>
      </w:r>
      <w:proofErr w:type="gramStart"/>
      <w:r w:rsidR="00027F3C" w:rsidRPr="0050321D">
        <w:rPr>
          <w:color w:val="000000"/>
          <w:szCs w:val="24"/>
        </w:rPr>
        <w:t>B(</w:t>
      </w:r>
      <w:proofErr w:type="gramEnd"/>
      <w:r w:rsidR="00027F3C">
        <w:rPr>
          <w:color w:val="000000"/>
          <w:szCs w:val="24"/>
        </w:rPr>
        <w:t>2</w:t>
      </w:r>
      <w:r w:rsidR="00027F3C" w:rsidRPr="0050321D">
        <w:rPr>
          <w:color w:val="000000"/>
          <w:szCs w:val="24"/>
        </w:rPr>
        <w:t>)</w:t>
      </w:r>
      <w:r w:rsidR="006F69B7">
        <w:rPr>
          <w:color w:val="000000"/>
          <w:szCs w:val="24"/>
        </w:rPr>
        <w:t>, or additional education requirements for</w:t>
      </w:r>
      <w:r w:rsidR="00F82ED1">
        <w:rPr>
          <w:color w:val="000000"/>
          <w:szCs w:val="24"/>
        </w:rPr>
        <w:t xml:space="preserve"> </w:t>
      </w:r>
      <w:r w:rsidR="00F82ED1" w:rsidRPr="00F82ED1">
        <w:rPr>
          <w:color w:val="000000"/>
          <w:szCs w:val="24"/>
        </w:rPr>
        <w:t>qualified tax relevant providers</w:t>
      </w:r>
      <w:r w:rsidR="00027F3C" w:rsidRPr="00027F3C">
        <w:rPr>
          <w:color w:val="000000"/>
          <w:szCs w:val="24"/>
        </w:rPr>
        <w:t xml:space="preserve"> </w:t>
      </w:r>
      <w:r w:rsidR="00027F3C" w:rsidRPr="00437DBD">
        <w:rPr>
          <w:color w:val="000000"/>
          <w:szCs w:val="24"/>
        </w:rPr>
        <w:t xml:space="preserve">for the purposes of </w:t>
      </w:r>
      <w:r w:rsidR="00027F3C" w:rsidRPr="0050321D">
        <w:rPr>
          <w:color w:val="000000"/>
          <w:szCs w:val="24"/>
        </w:rPr>
        <w:t>subsection 921B</w:t>
      </w:r>
      <w:r w:rsidR="00D51351">
        <w:rPr>
          <w:color w:val="000000"/>
          <w:szCs w:val="24"/>
        </w:rPr>
        <w:t>B</w:t>
      </w:r>
      <w:r w:rsidR="00027F3C" w:rsidRPr="0050321D">
        <w:rPr>
          <w:color w:val="000000"/>
          <w:szCs w:val="24"/>
        </w:rPr>
        <w:t>(</w:t>
      </w:r>
      <w:r w:rsidR="00D51351">
        <w:rPr>
          <w:color w:val="000000"/>
          <w:szCs w:val="24"/>
        </w:rPr>
        <w:t>1</w:t>
      </w:r>
      <w:r w:rsidR="00027F3C" w:rsidRPr="0050321D">
        <w:rPr>
          <w:color w:val="000000"/>
          <w:szCs w:val="24"/>
        </w:rPr>
        <w:t>)</w:t>
      </w:r>
      <w:r w:rsidR="00027F3C">
        <w:rPr>
          <w:color w:val="000000"/>
          <w:szCs w:val="24"/>
        </w:rPr>
        <w:t xml:space="preserve">, </w:t>
      </w:r>
      <w:r w:rsidRPr="0050321D">
        <w:rPr>
          <w:color w:val="000000"/>
        </w:rPr>
        <w:t>the Minister must be satisfied that doing so is necessary or desirable to ensure relevant providers are adequately trained and competent to provide personal advice to retail clients (subsection</w:t>
      </w:r>
      <w:r w:rsidR="00C87D55">
        <w:rPr>
          <w:color w:val="000000"/>
        </w:rPr>
        <w:t>s</w:t>
      </w:r>
      <w:r w:rsidRPr="0050321D">
        <w:rPr>
          <w:color w:val="000000"/>
        </w:rPr>
        <w:t xml:space="preserve"> 921B(7) </w:t>
      </w:r>
      <w:r w:rsidR="00C523A9">
        <w:rPr>
          <w:color w:val="000000"/>
        </w:rPr>
        <w:t xml:space="preserve">and 921BB(2) </w:t>
      </w:r>
      <w:r w:rsidRPr="0050321D">
        <w:rPr>
          <w:color w:val="000000"/>
        </w:rPr>
        <w:t>of the Act</w:t>
      </w:r>
      <w:r w:rsidR="00C523A9">
        <w:rPr>
          <w:color w:val="000000"/>
        </w:rPr>
        <w:t xml:space="preserve"> respectively</w:t>
      </w:r>
      <w:r w:rsidRPr="0050321D">
        <w:rPr>
          <w:color w:val="000000"/>
        </w:rPr>
        <w:t>).</w:t>
      </w:r>
      <w:r>
        <w:rPr>
          <w:color w:val="000000"/>
          <w:shd w:val="clear" w:color="auto" w:fill="FFFFFF"/>
        </w:rPr>
        <w:t xml:space="preserve"> </w:t>
      </w:r>
      <w:r w:rsidRPr="00746B14">
        <w:t xml:space="preserve">In addition, subsection 33(3) of the </w:t>
      </w:r>
      <w:r w:rsidRPr="00746B14">
        <w:rPr>
          <w:i/>
          <w:iCs/>
        </w:rPr>
        <w:t>Acts Interpretation Act 1901</w:t>
      </w:r>
      <w:r w:rsidRPr="00746B14">
        <w:t xml:space="preserve"> provides a general authority </w:t>
      </w:r>
      <w:r w:rsidRPr="00746B14">
        <w:lastRenderedPageBreak/>
        <w:t>under which the Minister may repeal, rescind, revoke, amend, or vary the legislative instrument referred to in subsection 921</w:t>
      </w:r>
      <w:proofErr w:type="gramStart"/>
      <w:r w:rsidRPr="00746B14">
        <w:t>B(</w:t>
      </w:r>
      <w:proofErr w:type="gramEnd"/>
      <w:r w:rsidRPr="00746B14">
        <w:t>6) of the Act.</w:t>
      </w:r>
    </w:p>
    <w:p w14:paraId="70AF6F0F" w14:textId="63751D70" w:rsidR="00B41C0F" w:rsidRDefault="00671992" w:rsidP="004A27A8">
      <w:pPr>
        <w:spacing w:before="240"/>
      </w:pPr>
      <w:r w:rsidRPr="003C5719">
        <w:t xml:space="preserve">The </w:t>
      </w:r>
      <w:r w:rsidRPr="00D92C92">
        <w:rPr>
          <w:i/>
        </w:rPr>
        <w:t xml:space="preserve">Corporations (Relevant Providers—Education </w:t>
      </w:r>
      <w:r>
        <w:rPr>
          <w:i/>
        </w:rPr>
        <w:t xml:space="preserve">and Training </w:t>
      </w:r>
      <w:r w:rsidRPr="00D92C92">
        <w:rPr>
          <w:i/>
        </w:rPr>
        <w:t>Standards) Amendment (202</w:t>
      </w:r>
      <w:r w:rsidR="00511874">
        <w:rPr>
          <w:i/>
        </w:rPr>
        <w:t>4</w:t>
      </w:r>
      <w:r w:rsidRPr="00D92C92">
        <w:rPr>
          <w:i/>
        </w:rPr>
        <w:t xml:space="preserve"> Measures No. </w:t>
      </w:r>
      <w:r w:rsidR="00511874">
        <w:rPr>
          <w:i/>
        </w:rPr>
        <w:t>1</w:t>
      </w:r>
      <w:r w:rsidRPr="00D92C92">
        <w:rPr>
          <w:i/>
        </w:rPr>
        <w:t>) Determination 202</w:t>
      </w:r>
      <w:r>
        <w:rPr>
          <w:i/>
        </w:rPr>
        <w:t>4</w:t>
      </w:r>
      <w:r w:rsidRPr="005B1B6E">
        <w:rPr>
          <w:iCs/>
        </w:rPr>
        <w:t xml:space="preserve"> (the </w:t>
      </w:r>
      <w:r w:rsidR="00C618B3">
        <w:rPr>
          <w:iCs/>
        </w:rPr>
        <w:t xml:space="preserve">Amending </w:t>
      </w:r>
      <w:r w:rsidRPr="005B1B6E">
        <w:rPr>
          <w:iCs/>
        </w:rPr>
        <w:t xml:space="preserve">Determination) </w:t>
      </w:r>
      <w:r w:rsidR="00175D3A">
        <w:t>amends</w:t>
      </w:r>
      <w:r w:rsidR="00F6028D">
        <w:t>:</w:t>
      </w:r>
    </w:p>
    <w:p w14:paraId="1DC2FE98" w14:textId="59A681E1" w:rsidR="00A222CE" w:rsidRDefault="00A222CE" w:rsidP="00A222CE">
      <w:pPr>
        <w:pStyle w:val="Bullet"/>
      </w:pPr>
      <w:r>
        <w:t>the Approved Qualifications Determination</w:t>
      </w:r>
      <w:r w:rsidR="00937B80">
        <w:t xml:space="preserve"> – </w:t>
      </w:r>
      <w:r w:rsidR="009D6A12">
        <w:t xml:space="preserve">to </w:t>
      </w:r>
      <w:r w:rsidR="00F6028D">
        <w:t xml:space="preserve">make consequential and other minor amendments </w:t>
      </w:r>
      <w:r>
        <w:t xml:space="preserve">following commencement of the </w:t>
      </w:r>
      <w:r w:rsidRPr="0013470C">
        <w:rPr>
          <w:i/>
          <w:iCs/>
        </w:rPr>
        <w:t>Treasury Laws Amendment (2023</w:t>
      </w:r>
      <w:r w:rsidR="00BB11A9">
        <w:rPr>
          <w:i/>
          <w:iCs/>
        </w:rPr>
        <w:t> </w:t>
      </w:r>
      <w:r w:rsidRPr="0013470C">
        <w:rPr>
          <w:i/>
          <w:iCs/>
        </w:rPr>
        <w:t>Measures No. 3) Act 2023</w:t>
      </w:r>
      <w:r w:rsidR="009D6A12">
        <w:t>; and</w:t>
      </w:r>
    </w:p>
    <w:p w14:paraId="0BD80DB4" w14:textId="2AC4AE1D" w:rsidR="00A222CE" w:rsidRDefault="00937B80" w:rsidP="005B1B6E">
      <w:pPr>
        <w:pStyle w:val="Bullet"/>
      </w:pPr>
      <w:r>
        <w:t xml:space="preserve">the Education and Training Standards Determination – to </w:t>
      </w:r>
      <w:r w:rsidR="003F76DF">
        <w:t xml:space="preserve">amend the </w:t>
      </w:r>
      <w:r w:rsidR="00AF2726">
        <w:t>transitional arrangements</w:t>
      </w:r>
      <w:r w:rsidR="00385D6C">
        <w:t xml:space="preserve"> for </w:t>
      </w:r>
      <w:r w:rsidR="004D6906" w:rsidRPr="004D6906">
        <w:t>qualified tax relevant providers</w:t>
      </w:r>
      <w:r w:rsidR="00E37861">
        <w:t>,</w:t>
      </w:r>
      <w:r w:rsidR="00AF2726">
        <w:t xml:space="preserve"> </w:t>
      </w:r>
      <w:r w:rsidR="00466AF8">
        <w:t>to fix an unintended outcome and ensure the</w:t>
      </w:r>
      <w:r w:rsidR="000C44C8">
        <w:t xml:space="preserve"> transitional arrangements</w:t>
      </w:r>
      <w:r w:rsidR="00466AF8">
        <w:t xml:space="preserve"> operate as intended.</w:t>
      </w:r>
    </w:p>
    <w:p w14:paraId="1B2C2351" w14:textId="77777777" w:rsidR="0037766F" w:rsidRPr="00C56F2E" w:rsidRDefault="0037766F" w:rsidP="0037766F">
      <w:pPr>
        <w:pStyle w:val="Bullet"/>
        <w:numPr>
          <w:ilvl w:val="0"/>
          <w:numId w:val="0"/>
        </w:numPr>
        <w:rPr>
          <w:color w:val="FF0000"/>
        </w:rPr>
      </w:pPr>
      <w:r>
        <w:rPr>
          <w:color w:val="000000"/>
          <w:shd w:val="clear" w:color="auto" w:fill="FFFFFF"/>
        </w:rPr>
        <w:t>The Minister has assessed that these amendments are necessary and desirable to ensure that relevant providers are adequately trained and competent to provide personal advice to retail clients in relation to relevant financial products.</w:t>
      </w:r>
      <w:r w:rsidDel="00A236C8">
        <w:t xml:space="preserve"> </w:t>
      </w:r>
    </w:p>
    <w:p w14:paraId="761CA366" w14:textId="4F0BBF87" w:rsidR="002C226C" w:rsidRPr="003C5719" w:rsidRDefault="002C226C" w:rsidP="004A27A8">
      <w:pPr>
        <w:spacing w:before="240"/>
      </w:pPr>
      <w:r w:rsidRPr="003C5719">
        <w:t xml:space="preserve">The </w:t>
      </w:r>
      <w:r w:rsidR="008535BF">
        <w:t>Amending Determination</w:t>
      </w:r>
      <w:r w:rsidR="00666F52">
        <w:t xml:space="preserve"> is</w:t>
      </w:r>
      <w:r w:rsidRPr="003C5719">
        <w:t xml:space="preserve"> a legislative instrument for the purposes of the </w:t>
      </w:r>
      <w:r w:rsidRPr="003C5719">
        <w:rPr>
          <w:i/>
          <w:iCs/>
        </w:rPr>
        <w:t>Legislation Act</w:t>
      </w:r>
      <w:r w:rsidR="00A31681" w:rsidRPr="003C5719">
        <w:rPr>
          <w:i/>
          <w:iCs/>
        </w:rPr>
        <w:t> </w:t>
      </w:r>
      <w:r w:rsidRPr="003C5719">
        <w:rPr>
          <w:i/>
          <w:iCs/>
        </w:rPr>
        <w:t>2003</w:t>
      </w:r>
      <w:r w:rsidRPr="003C5719">
        <w:t>.</w:t>
      </w:r>
    </w:p>
    <w:p w14:paraId="71CE64EA" w14:textId="77777777" w:rsidR="0018648A" w:rsidRDefault="0018648A" w:rsidP="0018648A">
      <w:pPr>
        <w:spacing w:before="240"/>
      </w:pPr>
      <w:r>
        <w:t>The Amending Determination</w:t>
      </w:r>
      <w:r w:rsidDel="000471EF">
        <w:t xml:space="preserve"> </w:t>
      </w:r>
      <w:r>
        <w:t xml:space="preserve">is subject to disallowance under section 42 of the </w:t>
      </w:r>
      <w:r w:rsidRPr="00B4153D">
        <w:rPr>
          <w:i/>
          <w:iCs/>
        </w:rPr>
        <w:t>Legislation Act 2003</w:t>
      </w:r>
      <w:r>
        <w:t>.</w:t>
      </w:r>
    </w:p>
    <w:p w14:paraId="160251CE" w14:textId="77777777" w:rsidR="0018648A" w:rsidRDefault="0018648A" w:rsidP="0018648A">
      <w:pPr>
        <w:spacing w:before="240"/>
      </w:pPr>
      <w:r>
        <w:t xml:space="preserve">The Amending Determination is subject to sunsetting under section 50 of the </w:t>
      </w:r>
      <w:r w:rsidRPr="00B4153D">
        <w:rPr>
          <w:i/>
          <w:iCs/>
        </w:rPr>
        <w:t>Legislation Act 2003</w:t>
      </w:r>
      <w:r>
        <w:t>.</w:t>
      </w:r>
      <w:r w:rsidRPr="003C5719">
        <w:t xml:space="preserve"> </w:t>
      </w:r>
    </w:p>
    <w:p w14:paraId="43B574CB" w14:textId="3FA4C37F" w:rsidR="0000628C" w:rsidRDefault="00F109D4" w:rsidP="004A27A8">
      <w:pPr>
        <w:spacing w:before="240"/>
      </w:pPr>
      <w:r w:rsidRPr="003C5719">
        <w:t xml:space="preserve">The </w:t>
      </w:r>
      <w:r w:rsidR="008535BF">
        <w:t>Amending Determination</w:t>
      </w:r>
      <w:r w:rsidRPr="003C5719">
        <w:t xml:space="preserve"> commence</w:t>
      </w:r>
      <w:r w:rsidR="00C40110">
        <w:t>s</w:t>
      </w:r>
      <w:r w:rsidRPr="003C5719">
        <w:t xml:space="preserve"> on</w:t>
      </w:r>
      <w:r w:rsidR="003F2FE9">
        <w:t xml:space="preserve"> </w:t>
      </w:r>
      <w:r w:rsidR="003F2FE9" w:rsidRPr="006F683C">
        <w:t xml:space="preserve">the day after the instrument is registered </w:t>
      </w:r>
      <w:r w:rsidR="003F2FE9" w:rsidRPr="003C5719">
        <w:t>on the Federal Register of Legislation</w:t>
      </w:r>
      <w:r w:rsidR="008F0C50" w:rsidRPr="003C5719">
        <w:t>.</w:t>
      </w:r>
      <w:r w:rsidR="0047265F" w:rsidRPr="003C5719">
        <w:t xml:space="preserve"> </w:t>
      </w:r>
    </w:p>
    <w:p w14:paraId="1235712B" w14:textId="6B55CFE5" w:rsidR="0011527C" w:rsidRPr="003C5719" w:rsidRDefault="0011527C" w:rsidP="004A27A8">
      <w:pPr>
        <w:spacing w:before="240"/>
      </w:pPr>
      <w:r w:rsidRPr="003C5719">
        <w:t xml:space="preserve">Details of the </w:t>
      </w:r>
      <w:r w:rsidR="008535BF">
        <w:t>Amending Determination</w:t>
      </w:r>
      <w:r w:rsidRPr="003C5719">
        <w:t xml:space="preserve"> are set out in </w:t>
      </w:r>
      <w:r w:rsidRPr="003C5719">
        <w:rPr>
          <w:u w:val="single"/>
        </w:rPr>
        <w:t xml:space="preserve">Attachment </w:t>
      </w:r>
      <w:r w:rsidR="006F1C94">
        <w:rPr>
          <w:u w:val="single"/>
        </w:rPr>
        <w:t>A</w:t>
      </w:r>
      <w:r w:rsidRPr="003C5719">
        <w:t xml:space="preserve">. </w:t>
      </w:r>
    </w:p>
    <w:p w14:paraId="373337E5" w14:textId="77777777" w:rsidR="00EB2AEF" w:rsidRPr="003C5719" w:rsidRDefault="00EB2AEF" w:rsidP="004A27A8">
      <w:pPr>
        <w:spacing w:before="240"/>
      </w:pPr>
    </w:p>
    <w:p w14:paraId="42F420C9" w14:textId="2C7A004C" w:rsidR="00EA4DD8" w:rsidRPr="003C5719" w:rsidRDefault="00EA4DD8" w:rsidP="004A27A8">
      <w:pPr>
        <w:pageBreakBefore/>
        <w:spacing w:before="240"/>
        <w:jc w:val="right"/>
        <w:rPr>
          <w:b/>
          <w:u w:val="single"/>
        </w:rPr>
      </w:pPr>
      <w:r w:rsidRPr="003C5719">
        <w:rPr>
          <w:b/>
          <w:u w:val="single"/>
        </w:rPr>
        <w:lastRenderedPageBreak/>
        <w:t xml:space="preserve">ATTACHMENT </w:t>
      </w:r>
      <w:r w:rsidR="00A07029">
        <w:rPr>
          <w:b/>
          <w:u w:val="single"/>
        </w:rPr>
        <w:t>A</w:t>
      </w:r>
    </w:p>
    <w:p w14:paraId="2A9A9BA2" w14:textId="0BD1E5C5" w:rsidR="00EA4DD8" w:rsidRPr="00397A7D" w:rsidRDefault="00EA4DD8" w:rsidP="004A27A8">
      <w:pPr>
        <w:spacing w:before="240"/>
        <w:rPr>
          <w:b/>
          <w:bCs/>
          <w:u w:val="single"/>
        </w:rPr>
      </w:pPr>
      <w:r w:rsidRPr="003C5719">
        <w:rPr>
          <w:b/>
          <w:bCs/>
          <w:u w:val="single"/>
        </w:rPr>
        <w:t xml:space="preserve">Details of the </w:t>
      </w:r>
      <w:r w:rsidR="00432F62" w:rsidRPr="00397A7D">
        <w:rPr>
          <w:b/>
          <w:bCs/>
          <w:i/>
          <w:iCs/>
          <w:u w:val="single"/>
        </w:rPr>
        <w:t>Corporations (Relevant Providers—Education and Training Standards) Amendment (202</w:t>
      </w:r>
      <w:r w:rsidR="00EB768F">
        <w:rPr>
          <w:b/>
          <w:bCs/>
          <w:i/>
          <w:iCs/>
          <w:u w:val="single"/>
        </w:rPr>
        <w:t>4</w:t>
      </w:r>
      <w:r w:rsidR="00432F62" w:rsidRPr="00397A7D">
        <w:rPr>
          <w:b/>
          <w:bCs/>
          <w:i/>
          <w:iCs/>
          <w:u w:val="single"/>
        </w:rPr>
        <w:t xml:space="preserve"> Measures No. </w:t>
      </w:r>
      <w:r w:rsidR="00EB768F">
        <w:rPr>
          <w:b/>
          <w:bCs/>
          <w:i/>
          <w:iCs/>
          <w:u w:val="single"/>
        </w:rPr>
        <w:t>1</w:t>
      </w:r>
      <w:r w:rsidR="00432F62" w:rsidRPr="00397A7D">
        <w:rPr>
          <w:b/>
          <w:bCs/>
          <w:i/>
          <w:iCs/>
          <w:u w:val="single"/>
        </w:rPr>
        <w:t>) Determination 2024</w:t>
      </w:r>
      <w:r w:rsidRPr="003C5719">
        <w:rPr>
          <w:b/>
          <w:bCs/>
          <w:u w:val="single"/>
        </w:rPr>
        <w:t xml:space="preserve"> </w:t>
      </w:r>
    </w:p>
    <w:p w14:paraId="08515CD0"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34624B90" w14:textId="56FDF690" w:rsidR="00EA4DD8" w:rsidRPr="003C5719" w:rsidRDefault="00EA4DD8" w:rsidP="004A27A8">
      <w:pPr>
        <w:spacing w:before="240"/>
      </w:pPr>
      <w:r w:rsidRPr="003C5719">
        <w:t xml:space="preserve">This section provides that the name of the </w:t>
      </w:r>
      <w:r w:rsidR="001517C3">
        <w:t>instrument</w:t>
      </w:r>
      <w:r w:rsidR="001517C3" w:rsidRPr="003C5719">
        <w:t xml:space="preserve"> </w:t>
      </w:r>
      <w:r w:rsidRPr="003C5719">
        <w:t xml:space="preserve">is the </w:t>
      </w:r>
      <w:r w:rsidR="00AE2BE5" w:rsidRPr="00AE2BE5">
        <w:rPr>
          <w:i/>
        </w:rPr>
        <w:t>Corporations (Relevant Providers—Education and Training Standards) Amendment (202</w:t>
      </w:r>
      <w:r w:rsidR="00EB768F">
        <w:rPr>
          <w:i/>
        </w:rPr>
        <w:t>4</w:t>
      </w:r>
      <w:r w:rsidR="00AE2BE5" w:rsidRPr="00AE2BE5">
        <w:rPr>
          <w:i/>
        </w:rPr>
        <w:t xml:space="preserve"> Measures No. </w:t>
      </w:r>
      <w:r w:rsidR="00EB768F">
        <w:rPr>
          <w:i/>
        </w:rPr>
        <w:t>1</w:t>
      </w:r>
      <w:r w:rsidR="00AE2BE5" w:rsidRPr="00AE2BE5">
        <w:rPr>
          <w:i/>
        </w:rPr>
        <w:t>) Determination 2024</w:t>
      </w:r>
      <w:r w:rsidRPr="003C5719">
        <w:t xml:space="preserve"> (the </w:t>
      </w:r>
      <w:r w:rsidR="00BF17C7">
        <w:t>Amending Determination</w:t>
      </w:r>
      <w:r w:rsidRPr="003C5719">
        <w:t>).</w:t>
      </w:r>
    </w:p>
    <w:p w14:paraId="39F9AF66" w14:textId="77777777" w:rsidR="00EA4DD8" w:rsidRPr="003C5719" w:rsidRDefault="00EA4DD8" w:rsidP="004A27A8">
      <w:pPr>
        <w:spacing w:before="240"/>
        <w:rPr>
          <w:u w:val="single"/>
        </w:rPr>
      </w:pPr>
      <w:r w:rsidRPr="003C5719">
        <w:rPr>
          <w:u w:val="single"/>
        </w:rPr>
        <w:t>Section 2 – Commencement</w:t>
      </w:r>
    </w:p>
    <w:p w14:paraId="3ACABEF6" w14:textId="16FF918B" w:rsidR="00EA4DD8" w:rsidRPr="003C5719" w:rsidRDefault="00EC587D" w:rsidP="004A27A8">
      <w:pPr>
        <w:spacing w:before="240"/>
      </w:pPr>
      <w:r>
        <w:t>T</w:t>
      </w:r>
      <w:r w:rsidR="00EA4DD8" w:rsidRPr="003C5719">
        <w:t xml:space="preserve">he </w:t>
      </w:r>
      <w:r w:rsidR="00502AAF">
        <w:t>Amending Determination</w:t>
      </w:r>
      <w:r w:rsidR="00EA4DD8" w:rsidRPr="003C5719">
        <w:t xml:space="preserve"> commence</w:t>
      </w:r>
      <w:r w:rsidR="00F54D0E">
        <w:t>s</w:t>
      </w:r>
      <w:r w:rsidR="00EA4DD8" w:rsidRPr="003C5719">
        <w:t xml:space="preserve"> on </w:t>
      </w:r>
      <w:r w:rsidR="00EA4DD8" w:rsidRPr="006F683C">
        <w:t xml:space="preserve">the day after the instrument is registered </w:t>
      </w:r>
      <w:r w:rsidR="00EA4DD8" w:rsidRPr="003C5719">
        <w:t>on the Federal Register of Legislation.</w:t>
      </w:r>
      <w:r w:rsidR="005858FB">
        <w:t xml:space="preserve"> </w:t>
      </w:r>
    </w:p>
    <w:p w14:paraId="0F0CB438" w14:textId="77777777" w:rsidR="00EA4DD8" w:rsidRPr="003C5719" w:rsidRDefault="00EA4DD8" w:rsidP="004A27A8">
      <w:pPr>
        <w:spacing w:before="240"/>
        <w:rPr>
          <w:u w:val="single"/>
        </w:rPr>
      </w:pPr>
      <w:r w:rsidRPr="003C5719">
        <w:rPr>
          <w:u w:val="single"/>
        </w:rPr>
        <w:t>Section 3 – Authority</w:t>
      </w:r>
    </w:p>
    <w:p w14:paraId="756A7B71" w14:textId="37F55B7B" w:rsidR="00EA4DD8" w:rsidRPr="003C5719" w:rsidRDefault="00EA4DD8" w:rsidP="004A27A8">
      <w:pPr>
        <w:spacing w:before="240"/>
      </w:pPr>
      <w:r w:rsidRPr="003C5719">
        <w:t xml:space="preserve">The </w:t>
      </w:r>
      <w:r w:rsidR="00502AAF">
        <w:t>Amending Determination is</w:t>
      </w:r>
      <w:r w:rsidRPr="003C5719">
        <w:t xml:space="preserve"> made under the </w:t>
      </w:r>
      <w:r w:rsidR="001517C3" w:rsidRPr="001517C3">
        <w:rPr>
          <w:i/>
        </w:rPr>
        <w:t>Corporations Act 2001</w:t>
      </w:r>
      <w:r w:rsidRPr="003C5719">
        <w:t xml:space="preserve"> (the </w:t>
      </w:r>
      <w:r w:rsidR="00136761">
        <w:t xml:space="preserve">Corporations </w:t>
      </w:r>
      <w:r w:rsidRPr="003C5719">
        <w:t>Act).</w:t>
      </w:r>
    </w:p>
    <w:p w14:paraId="110E999C" w14:textId="14059863" w:rsidR="00EA4DD8" w:rsidRPr="00B10F6B" w:rsidRDefault="00EA4DD8" w:rsidP="004A27A8">
      <w:pPr>
        <w:spacing w:before="240"/>
        <w:rPr>
          <w:u w:val="single"/>
        </w:rPr>
      </w:pPr>
      <w:r w:rsidRPr="00B10F6B">
        <w:rPr>
          <w:u w:val="single"/>
        </w:rPr>
        <w:t>Section 4 – Schedule</w:t>
      </w:r>
      <w:r w:rsidRPr="00355FC7">
        <w:rPr>
          <w:u w:val="single"/>
        </w:rPr>
        <w:t>s</w:t>
      </w:r>
    </w:p>
    <w:p w14:paraId="7827BD60" w14:textId="77777777" w:rsidR="00EA4DD8" w:rsidRPr="003C5719" w:rsidRDefault="00EA4DD8" w:rsidP="00466DD5">
      <w:pPr>
        <w:spacing w:before="240" w:after="200"/>
        <w:rPr>
          <w:u w:val="single"/>
        </w:rPr>
      </w:pPr>
      <w:r w:rsidRPr="003C5719">
        <w:t xml:space="preserve">This section provides that each instrument that is specified in the Schedules to this instrument </w:t>
      </w:r>
      <w:r w:rsidR="005D7E35">
        <w:t xml:space="preserve">are </w:t>
      </w:r>
      <w:r w:rsidRPr="003C5719">
        <w:t>amended or repealed as set out in the applicable items in the Schedules, and any other item in the Schedules to this instrument has effect according to its terms.</w:t>
      </w:r>
    </w:p>
    <w:p w14:paraId="1D3F9111" w14:textId="12B93144" w:rsidR="002648F2" w:rsidRDefault="002648F2" w:rsidP="00E24E21">
      <w:pPr>
        <w:keepNext/>
        <w:spacing w:before="240" w:after="200"/>
        <w:rPr>
          <w:b/>
          <w:bCs/>
          <w:u w:val="single"/>
        </w:rPr>
      </w:pPr>
      <w:r w:rsidRPr="00AB3657">
        <w:rPr>
          <w:b/>
          <w:bCs/>
          <w:u w:val="single"/>
        </w:rPr>
        <w:t>Schedule 1</w:t>
      </w:r>
      <w:r w:rsidR="006D7F48">
        <w:rPr>
          <w:b/>
          <w:bCs/>
          <w:u w:val="single"/>
        </w:rPr>
        <w:t>—</w:t>
      </w:r>
      <w:r w:rsidR="00DE76A8">
        <w:rPr>
          <w:b/>
          <w:bCs/>
          <w:u w:val="single"/>
        </w:rPr>
        <w:t>Approved degrees and qualifications</w:t>
      </w:r>
      <w:r w:rsidRPr="00AB3657">
        <w:rPr>
          <w:b/>
          <w:bCs/>
          <w:u w:val="single"/>
        </w:rPr>
        <w:t xml:space="preserve"> </w:t>
      </w:r>
    </w:p>
    <w:p w14:paraId="1FC13892" w14:textId="52BE23B3" w:rsidR="000864E2" w:rsidRDefault="000864E2" w:rsidP="000864E2">
      <w:pPr>
        <w:spacing w:before="240" w:after="200"/>
      </w:pPr>
      <w:r>
        <w:t xml:space="preserve">Under the education and training standards for relevant providers </w:t>
      </w:r>
      <w:r w:rsidR="002C6157">
        <w:t xml:space="preserve">outlined </w:t>
      </w:r>
      <w:r>
        <w:t xml:space="preserve">in section 921B of the </w:t>
      </w:r>
      <w:r w:rsidR="00136761">
        <w:t xml:space="preserve">Corporations </w:t>
      </w:r>
      <w:r>
        <w:t xml:space="preserve">Act, the first standard – the </w:t>
      </w:r>
      <w:r>
        <w:rPr>
          <w:i/>
          <w:iCs/>
        </w:rPr>
        <w:t>qualification</w:t>
      </w:r>
      <w:r w:rsidRPr="00315E57">
        <w:rPr>
          <w:i/>
          <w:iCs/>
        </w:rPr>
        <w:t xml:space="preserve"> standard</w:t>
      </w:r>
      <w:r>
        <w:t xml:space="preserve"> – generally requires a person to complete </w:t>
      </w:r>
      <w:r w:rsidRPr="00564E79">
        <w:t>a bachelor or higher degree, or equivalent qualification, approved by the Minister</w:t>
      </w:r>
      <w:r>
        <w:t xml:space="preserve">. These approved degrees/qualifications are set out in </w:t>
      </w:r>
      <w:r w:rsidRPr="00CA4552">
        <w:t xml:space="preserve">the </w:t>
      </w:r>
      <w:r w:rsidRPr="000864E2">
        <w:rPr>
          <w:i/>
          <w:iCs/>
        </w:rPr>
        <w:t>Corporations (Relevant Providers Degrees, Qualifications and Courses Standard) Determination 2021</w:t>
      </w:r>
      <w:r>
        <w:t xml:space="preserve"> (the Approved Qualifications Determination).  </w:t>
      </w:r>
    </w:p>
    <w:p w14:paraId="532F7436" w14:textId="2A69BC12" w:rsidR="00A81DFB" w:rsidRDefault="008C2EA8" w:rsidP="000864E2">
      <w:pPr>
        <w:spacing w:before="240" w:after="200"/>
      </w:pPr>
      <w:r>
        <w:t>S</w:t>
      </w:r>
      <w:r w:rsidR="00592351">
        <w:t xml:space="preserve">ection 6 of the </w:t>
      </w:r>
      <w:r w:rsidR="00611E35">
        <w:t>Approved Qualifications Determination</w:t>
      </w:r>
      <w:r w:rsidR="00AB5D2C">
        <w:t xml:space="preserve"> provides that</w:t>
      </w:r>
      <w:r w:rsidR="005A4CF1">
        <w:t>:</w:t>
      </w:r>
    </w:p>
    <w:p w14:paraId="459CE7FC" w14:textId="07E34AC4" w:rsidR="005A4CF1" w:rsidRDefault="004859DF" w:rsidP="005A4CF1">
      <w:pPr>
        <w:pStyle w:val="Bullet"/>
      </w:pPr>
      <w:r>
        <w:t>the degrees</w:t>
      </w:r>
      <w:r w:rsidR="004D3978">
        <w:t>/</w:t>
      </w:r>
      <w:r>
        <w:t>qualifications listed in the table at Schedule 1</w:t>
      </w:r>
      <w:r w:rsidR="005B6D08">
        <w:t xml:space="preserve"> to that instrument are approved by</w:t>
      </w:r>
      <w:r w:rsidR="002F21AD">
        <w:t xml:space="preserve"> the Minister</w:t>
      </w:r>
      <w:r w:rsidR="00DF7F96">
        <w:t xml:space="preserve"> (subsection 6(1))</w:t>
      </w:r>
      <w:r w:rsidR="002F21AD">
        <w:t>; and</w:t>
      </w:r>
    </w:p>
    <w:p w14:paraId="5B81FFBC" w14:textId="7D382C25" w:rsidR="002750B9" w:rsidRDefault="00EA764F" w:rsidP="002750B9">
      <w:pPr>
        <w:pStyle w:val="Bullet"/>
      </w:pPr>
      <w:r>
        <w:t>all</w:t>
      </w:r>
      <w:r w:rsidR="002750B9">
        <w:t xml:space="preserve"> approved degrees</w:t>
      </w:r>
      <w:r w:rsidR="004D3978">
        <w:t>/</w:t>
      </w:r>
      <w:r w:rsidR="002750B9">
        <w:t xml:space="preserve">qualifications are subject to </w:t>
      </w:r>
      <w:r w:rsidR="00507CFF">
        <w:t>the general</w:t>
      </w:r>
      <w:r w:rsidR="002750B9">
        <w:t xml:space="preserve"> condition</w:t>
      </w:r>
      <w:r w:rsidR="00FD3B4C">
        <w:t xml:space="preserve"> that the person must complete an ethics bridging unit, unless</w:t>
      </w:r>
      <w:r w:rsidR="00983279">
        <w:t xml:space="preserve"> </w:t>
      </w:r>
      <w:r w:rsidR="00391A94">
        <w:t>the table item</w:t>
      </w:r>
      <w:r w:rsidR="00751507">
        <w:t xml:space="preserve"> for that approved degree/qualification</w:t>
      </w:r>
      <w:r w:rsidR="00391A94">
        <w:t xml:space="preserve"> </w:t>
      </w:r>
      <w:r w:rsidR="000F45CE">
        <w:t xml:space="preserve">(at Schedule 1 to that instrument) </w:t>
      </w:r>
      <w:r w:rsidR="00391A94">
        <w:t xml:space="preserve">states that </w:t>
      </w:r>
      <w:r w:rsidR="00D261C5">
        <w:t xml:space="preserve">this </w:t>
      </w:r>
      <w:r>
        <w:t xml:space="preserve">condition </w:t>
      </w:r>
      <w:r w:rsidR="00D261C5">
        <w:t>does not apply to that approved degree</w:t>
      </w:r>
      <w:r w:rsidR="00D63341">
        <w:t>/</w:t>
      </w:r>
      <w:r w:rsidR="00D261C5">
        <w:t>qualification</w:t>
      </w:r>
      <w:r w:rsidR="008635B1">
        <w:t xml:space="preserve"> (</w:t>
      </w:r>
      <w:proofErr w:type="gramStart"/>
      <w:r w:rsidR="002540A2">
        <w:t>i.e.</w:t>
      </w:r>
      <w:proofErr w:type="gramEnd"/>
      <w:r w:rsidR="008635B1">
        <w:t xml:space="preserve"> </w:t>
      </w:r>
      <w:r w:rsidR="00F32967">
        <w:t xml:space="preserve">because ethics is covered </w:t>
      </w:r>
      <w:r w:rsidR="001145F4">
        <w:t>as part of</w:t>
      </w:r>
      <w:r w:rsidR="00F32967">
        <w:t xml:space="preserve"> that approved degree/qualification)</w:t>
      </w:r>
      <w:r w:rsidR="00DF7F96">
        <w:t xml:space="preserve"> (</w:t>
      </w:r>
      <w:r w:rsidR="00CA2089">
        <w:t>paragraph</w:t>
      </w:r>
      <w:r w:rsidR="00DF7F96">
        <w:t> 6(</w:t>
      </w:r>
      <w:r w:rsidR="00CA2089">
        <w:t>2</w:t>
      </w:r>
      <w:r w:rsidR="00DF7F96">
        <w:t>)</w:t>
      </w:r>
      <w:r w:rsidR="00CA2089">
        <w:t>(a)</w:t>
      </w:r>
      <w:r w:rsidR="00DF7F96">
        <w:t>)</w:t>
      </w:r>
      <w:r w:rsidR="00AB42FD">
        <w:t>; and</w:t>
      </w:r>
    </w:p>
    <w:p w14:paraId="37A6557A" w14:textId="235142E5" w:rsidR="002F21AD" w:rsidRDefault="00641214" w:rsidP="00355FC7">
      <w:pPr>
        <w:pStyle w:val="Bullet"/>
      </w:pPr>
      <w:r>
        <w:t>each</w:t>
      </w:r>
      <w:r w:rsidR="009F7713">
        <w:t xml:space="preserve"> approved degree</w:t>
      </w:r>
      <w:r w:rsidR="004D3978">
        <w:t>/</w:t>
      </w:r>
      <w:r w:rsidR="009F7713">
        <w:t>qualification</w:t>
      </w:r>
      <w:r>
        <w:t xml:space="preserve"> is</w:t>
      </w:r>
      <w:r w:rsidR="00A55F0A">
        <w:t xml:space="preserve"> subject to any other conditions</w:t>
      </w:r>
      <w:r w:rsidR="002750B9">
        <w:t xml:space="preserve"> </w:t>
      </w:r>
      <w:r w:rsidR="001356EA">
        <w:t>specified</w:t>
      </w:r>
      <w:r w:rsidR="002750B9">
        <w:t xml:space="preserve"> in </w:t>
      </w:r>
      <w:r w:rsidR="00055B96">
        <w:t>the table item for that approved degree/qualification (at Schedule 1 to that instrument)</w:t>
      </w:r>
      <w:r w:rsidR="00151781">
        <w:t xml:space="preserve"> (</w:t>
      </w:r>
      <w:r w:rsidR="00CA2089">
        <w:t>paragraph 6(2)(b)</w:t>
      </w:r>
      <w:r w:rsidR="00151781">
        <w:t>)</w:t>
      </w:r>
      <w:r w:rsidR="002750B9">
        <w:t>.</w:t>
      </w:r>
    </w:p>
    <w:p w14:paraId="5270375E" w14:textId="0A97C7E3" w:rsidR="00A0201F" w:rsidRDefault="00A0201F" w:rsidP="000864E2">
      <w:pPr>
        <w:spacing w:before="240" w:after="200"/>
      </w:pPr>
      <w:r>
        <w:lastRenderedPageBreak/>
        <w:t xml:space="preserve">Schedule 1 </w:t>
      </w:r>
      <w:r w:rsidR="009239A3">
        <w:t xml:space="preserve">to </w:t>
      </w:r>
      <w:r w:rsidR="00134117" w:rsidRPr="003C5719">
        <w:t>the </w:t>
      </w:r>
      <w:r w:rsidR="00134117">
        <w:t xml:space="preserve">Amending Determination </w:t>
      </w:r>
      <w:r>
        <w:t>makes consequential</w:t>
      </w:r>
      <w:r w:rsidR="00C84AEA">
        <w:t xml:space="preserve"> and other minor</w:t>
      </w:r>
      <w:r>
        <w:t xml:space="preserve"> amendments to section 6 of the Approved Qualifications Determination</w:t>
      </w:r>
      <w:r w:rsidR="009239A3">
        <w:t>,</w:t>
      </w:r>
      <w:r>
        <w:t xml:space="preserve"> following commencement of the </w:t>
      </w:r>
      <w:r w:rsidRPr="0013470C">
        <w:rPr>
          <w:i/>
          <w:iCs/>
        </w:rPr>
        <w:t>Treasury Laws Amendment (2023 Measures No. 3) Act 2023</w:t>
      </w:r>
      <w:r>
        <w:t xml:space="preserve"> (the Amendment Act). </w:t>
      </w:r>
    </w:p>
    <w:p w14:paraId="7EC5CC26" w14:textId="047F1E05" w:rsidR="00E22FCA" w:rsidRPr="00355FC7" w:rsidRDefault="00E22FCA" w:rsidP="00BE7D58">
      <w:pPr>
        <w:keepNext/>
        <w:spacing w:before="240" w:after="200"/>
        <w:rPr>
          <w:u w:val="single"/>
        </w:rPr>
      </w:pPr>
      <w:r>
        <w:rPr>
          <w:u w:val="single"/>
        </w:rPr>
        <w:t>Consequential amendments</w:t>
      </w:r>
    </w:p>
    <w:p w14:paraId="02028333" w14:textId="29096F76" w:rsidR="00F26130" w:rsidRDefault="001355C1" w:rsidP="00F26130">
      <w:pPr>
        <w:spacing w:before="240" w:after="200"/>
      </w:pPr>
      <w:r>
        <w:t xml:space="preserve">The Amendment Act </w:t>
      </w:r>
      <w:r w:rsidR="00844740">
        <w:t>amended the qual</w:t>
      </w:r>
      <w:r w:rsidR="002B5193">
        <w:t xml:space="preserve">ifications standard in </w:t>
      </w:r>
      <w:r w:rsidR="008159B4">
        <w:t xml:space="preserve">section 921B of the </w:t>
      </w:r>
      <w:r w:rsidR="00C27E3F">
        <w:t xml:space="preserve">Corporations </w:t>
      </w:r>
      <w:r w:rsidR="008159B4">
        <w:t>Act</w:t>
      </w:r>
      <w:r w:rsidR="005D0E07">
        <w:t>,</w:t>
      </w:r>
      <w:r w:rsidR="00C27E3F">
        <w:t xml:space="preserve"> </w:t>
      </w:r>
      <w:r w:rsidR="002E5366" w:rsidRPr="002E5366">
        <w:t xml:space="preserve">to enable greater flexibility for a new entrant to demonstrate that they satisfy the conditions of an approved </w:t>
      </w:r>
      <w:r w:rsidR="000A2DA1">
        <w:t>degree/</w:t>
      </w:r>
      <w:r w:rsidR="002E5366" w:rsidRPr="002E5366">
        <w:t>qualification</w:t>
      </w:r>
      <w:r>
        <w:t>.</w:t>
      </w:r>
      <w:r w:rsidR="00F26130">
        <w:t xml:space="preserve"> Th</w:t>
      </w:r>
      <w:r w:rsidR="00B92B72">
        <w:t>e</w:t>
      </w:r>
      <w:r w:rsidR="00F26130">
        <w:t xml:space="preserve">se conditions </w:t>
      </w:r>
      <w:r w:rsidR="00EA2AB6">
        <w:t xml:space="preserve">– </w:t>
      </w:r>
      <w:r w:rsidR="00F26130">
        <w:t xml:space="preserve">outlined in the table at Schedule 1 to the Approved Qualifications Determination </w:t>
      </w:r>
      <w:r w:rsidR="00EA2AB6">
        <w:t xml:space="preserve">– </w:t>
      </w:r>
      <w:r w:rsidR="00F26130">
        <w:t>generally relate to:</w:t>
      </w:r>
    </w:p>
    <w:p w14:paraId="356FDDB2" w14:textId="6F027403" w:rsidR="00F26130" w:rsidRDefault="00F26130" w:rsidP="00F26130">
      <w:pPr>
        <w:pStyle w:val="Bullet"/>
      </w:pPr>
      <w:r>
        <w:t xml:space="preserve">timing – </w:t>
      </w:r>
      <w:proofErr w:type="gramStart"/>
      <w:r w:rsidR="00A41E77">
        <w:t>i.e.</w:t>
      </w:r>
      <w:proofErr w:type="gramEnd"/>
      <w:r>
        <w:t xml:space="preserve"> the person must have commenced the approved degree/qualification after a specified time or between two specified times; and</w:t>
      </w:r>
    </w:p>
    <w:p w14:paraId="1F98C8EA" w14:textId="06633506" w:rsidR="00F26130" w:rsidRPr="00904377" w:rsidRDefault="00F26130" w:rsidP="00F26130">
      <w:pPr>
        <w:pStyle w:val="Bullet"/>
      </w:pPr>
      <w:r>
        <w:t>specified units of study which the person must have completed</w:t>
      </w:r>
      <w:r w:rsidR="00DB0C03">
        <w:t>.</w:t>
      </w:r>
      <w:r>
        <w:t xml:space="preserve"> </w:t>
      </w:r>
    </w:p>
    <w:p w14:paraId="5267368B" w14:textId="586B5ADE" w:rsidR="00F232FC" w:rsidRDefault="0048215C" w:rsidP="000864E2">
      <w:pPr>
        <w:spacing w:before="240" w:after="200"/>
      </w:pPr>
      <w:r>
        <w:t>This information would ordinarily be evident from the person’s academic transcript</w:t>
      </w:r>
      <w:r w:rsidR="00AC07FF">
        <w:t xml:space="preserve"> for the approved degree/qualification</w:t>
      </w:r>
      <w:r>
        <w:t>.</w:t>
      </w:r>
      <w:r w:rsidR="00F12E0E">
        <w:t xml:space="preserve"> However, this is not always the case. </w:t>
      </w:r>
    </w:p>
    <w:p w14:paraId="1423E229" w14:textId="312AC799" w:rsidR="00D21F44" w:rsidRDefault="003A5BC7" w:rsidP="00F26130">
      <w:pPr>
        <w:spacing w:before="240" w:after="200"/>
      </w:pPr>
      <w:r w:rsidRPr="00AB07D0">
        <w:rPr>
          <w:b/>
          <w:bCs/>
        </w:rPr>
        <w:t>Item 5</w:t>
      </w:r>
      <w:r w:rsidRPr="00AB07D0">
        <w:t xml:space="preserve"> inserts new subsection (2A) in section 6</w:t>
      </w:r>
      <w:r w:rsidR="00E60464" w:rsidRPr="00AB07D0">
        <w:t xml:space="preserve"> of the Approved Qualifications Determination to </w:t>
      </w:r>
      <w:r w:rsidR="00DE16AD" w:rsidRPr="00AB07D0">
        <w:t xml:space="preserve">provide </w:t>
      </w:r>
      <w:r w:rsidR="009B4F3A" w:rsidRPr="00AB07D0">
        <w:t xml:space="preserve">that a person </w:t>
      </w:r>
      <w:r w:rsidR="00DF5748" w:rsidRPr="00AB07D0">
        <w:t>may satisfy the conditions</w:t>
      </w:r>
      <w:r w:rsidR="00D21F44" w:rsidRPr="00AB07D0">
        <w:t xml:space="preserve"> for an approved degree/qualification in the following ways:</w:t>
      </w:r>
    </w:p>
    <w:p w14:paraId="460234A0" w14:textId="77777777" w:rsidR="00DD211F" w:rsidRDefault="0052758E" w:rsidP="00382ABE">
      <w:pPr>
        <w:pStyle w:val="Bullet"/>
      </w:pPr>
      <w:r>
        <w:t>via academic transcript</w:t>
      </w:r>
      <w:r w:rsidR="004E78DA">
        <w:t>(</w:t>
      </w:r>
      <w:r>
        <w:t>s</w:t>
      </w:r>
      <w:r w:rsidR="004E78DA">
        <w:t>)</w:t>
      </w:r>
      <w:r>
        <w:t xml:space="preserve"> issued by the </w:t>
      </w:r>
      <w:r w:rsidR="00821340">
        <w:t xml:space="preserve">provider of the approved degree/qualification, </w:t>
      </w:r>
      <w:r w:rsidR="006A7A85">
        <w:t xml:space="preserve">which demonstrates that the person has met each of the approved conditions </w:t>
      </w:r>
      <w:r w:rsidR="00DD211F">
        <w:t>for that</w:t>
      </w:r>
      <w:r w:rsidR="006A7A85">
        <w:t xml:space="preserve"> approved degree</w:t>
      </w:r>
      <w:r w:rsidR="00DD211F">
        <w:t>/</w:t>
      </w:r>
      <w:r w:rsidR="006A7A85">
        <w:t>qualification</w:t>
      </w:r>
      <w:r w:rsidR="00DD211F">
        <w:t>; and/or</w:t>
      </w:r>
    </w:p>
    <w:p w14:paraId="4DE35A2E" w14:textId="5FA0D269" w:rsidR="003A5BC7" w:rsidRPr="00904377" w:rsidRDefault="00A6270D" w:rsidP="00382ABE">
      <w:pPr>
        <w:pStyle w:val="Bullet"/>
      </w:pPr>
      <w:r>
        <w:t xml:space="preserve">via </w:t>
      </w:r>
      <w:r w:rsidR="00C94ACF">
        <w:t>statement</w:t>
      </w:r>
      <w:r>
        <w:t xml:space="preserve">(s) issued by the provider of the approved degree/qualification, </w:t>
      </w:r>
      <w:r w:rsidR="00C94ACF">
        <w:t>confirm</w:t>
      </w:r>
      <w:r w:rsidR="003759AA">
        <w:t>ing</w:t>
      </w:r>
      <w:r>
        <w:t xml:space="preserve"> that the person has met each of the approved conditions for that approved degree/qualification</w:t>
      </w:r>
      <w:r w:rsidR="003759AA">
        <w:t>.</w:t>
      </w:r>
      <w:r w:rsidR="003A5BC7">
        <w:t xml:space="preserve"> </w:t>
      </w:r>
    </w:p>
    <w:p w14:paraId="09F5117A" w14:textId="41833861" w:rsidR="00D427B7" w:rsidRPr="0095740A" w:rsidRDefault="00904377" w:rsidP="000864E2">
      <w:pPr>
        <w:spacing w:before="240" w:after="200"/>
      </w:pPr>
      <w:r>
        <w:rPr>
          <w:b/>
          <w:bCs/>
        </w:rPr>
        <w:t>Item</w:t>
      </w:r>
      <w:r w:rsidR="004F6E42">
        <w:rPr>
          <w:b/>
          <w:bCs/>
        </w:rPr>
        <w:t>s</w:t>
      </w:r>
      <w:r>
        <w:rPr>
          <w:b/>
          <w:bCs/>
        </w:rPr>
        <w:t xml:space="preserve"> 1</w:t>
      </w:r>
      <w:r w:rsidR="004F6E42">
        <w:rPr>
          <w:b/>
          <w:bCs/>
        </w:rPr>
        <w:t xml:space="preserve"> and 2</w:t>
      </w:r>
      <w:r>
        <w:t xml:space="preserve"> update the re</w:t>
      </w:r>
      <w:r w:rsidR="00AC34BA">
        <w:t>ference</w:t>
      </w:r>
      <w:r w:rsidR="006E3F2B">
        <w:t>s</w:t>
      </w:r>
      <w:r w:rsidR="00AC34BA">
        <w:t xml:space="preserve"> in subsection</w:t>
      </w:r>
      <w:r w:rsidR="006E3F2B">
        <w:t>s</w:t>
      </w:r>
      <w:r w:rsidR="00AC34BA">
        <w:t> 6(1)</w:t>
      </w:r>
      <w:r w:rsidR="006E3F2B">
        <w:t xml:space="preserve"> and 6(2)</w:t>
      </w:r>
      <w:r w:rsidR="00972417">
        <w:t xml:space="preserve">, </w:t>
      </w:r>
      <w:r w:rsidR="00B531F8">
        <w:t xml:space="preserve">to refer to the </w:t>
      </w:r>
      <w:r w:rsidR="007900E0">
        <w:t>relevant provision</w:t>
      </w:r>
      <w:r w:rsidR="008E796B">
        <w:t>s</w:t>
      </w:r>
      <w:r w:rsidR="007900E0">
        <w:t xml:space="preserve"> in the </w:t>
      </w:r>
      <w:r w:rsidR="009A0CAF">
        <w:t xml:space="preserve">Corporations </w:t>
      </w:r>
      <w:r w:rsidR="00D427B7">
        <w:t xml:space="preserve">Act (as </w:t>
      </w:r>
      <w:r w:rsidR="00445B07">
        <w:t>amended</w:t>
      </w:r>
      <w:r w:rsidR="00D427B7">
        <w:t xml:space="preserve"> by the Amendment Act). </w:t>
      </w:r>
      <w:r w:rsidR="0095740A">
        <w:rPr>
          <w:b/>
          <w:bCs/>
        </w:rPr>
        <w:t>Item 2</w:t>
      </w:r>
      <w:r w:rsidR="0095740A">
        <w:t xml:space="preserve"> also </w:t>
      </w:r>
      <w:r w:rsidR="00C73733">
        <w:t>updates the language in subsection 6(2), consistent with the language</w:t>
      </w:r>
      <w:r w:rsidR="00FF231C">
        <w:t xml:space="preserve"> used</w:t>
      </w:r>
      <w:r w:rsidR="00C73733">
        <w:t xml:space="preserve"> in </w:t>
      </w:r>
      <w:r w:rsidR="003840CF">
        <w:t>subsection </w:t>
      </w:r>
      <w:r w:rsidR="00A72F4C">
        <w:t>6</w:t>
      </w:r>
      <w:r w:rsidR="003840CF">
        <w:t>(1)</w:t>
      </w:r>
      <w:r w:rsidR="004C2C8B">
        <w:t xml:space="preserve">. </w:t>
      </w:r>
    </w:p>
    <w:p w14:paraId="0DF9112F" w14:textId="3ACE637C" w:rsidR="00C8012C" w:rsidRPr="0013470C" w:rsidRDefault="00512DBB" w:rsidP="00BE7D58">
      <w:pPr>
        <w:keepNext/>
        <w:spacing w:before="240" w:after="200"/>
        <w:rPr>
          <w:u w:val="single"/>
        </w:rPr>
      </w:pPr>
      <w:r>
        <w:rPr>
          <w:u w:val="single"/>
        </w:rPr>
        <w:t>Other minor</w:t>
      </w:r>
      <w:r w:rsidR="00C8012C">
        <w:rPr>
          <w:u w:val="single"/>
        </w:rPr>
        <w:t xml:space="preserve"> amendments</w:t>
      </w:r>
    </w:p>
    <w:p w14:paraId="2714E1A0" w14:textId="1AF81118" w:rsidR="00C8012C" w:rsidRPr="00A441C7" w:rsidRDefault="00C8012C" w:rsidP="00C8012C">
      <w:pPr>
        <w:spacing w:before="240" w:after="200"/>
      </w:pPr>
      <w:r>
        <w:rPr>
          <w:b/>
          <w:bCs/>
        </w:rPr>
        <w:t>Item </w:t>
      </w:r>
      <w:r w:rsidR="002D196E">
        <w:rPr>
          <w:b/>
          <w:bCs/>
        </w:rPr>
        <w:t>3</w:t>
      </w:r>
      <w:r>
        <w:t xml:space="preserve"> </w:t>
      </w:r>
      <w:r w:rsidR="00A83219">
        <w:t>amends paragraph 6(2)(a) to refer</w:t>
      </w:r>
      <w:r w:rsidR="00BA359B">
        <w:t xml:space="preserve"> to</w:t>
      </w:r>
      <w:r w:rsidR="003B2F64">
        <w:t xml:space="preserve"> </w:t>
      </w:r>
      <w:r w:rsidR="003B2F64">
        <w:rPr>
          <w:i/>
          <w:iCs/>
        </w:rPr>
        <w:t>person</w:t>
      </w:r>
      <w:r w:rsidR="003B2F64">
        <w:t xml:space="preserve"> </w:t>
      </w:r>
      <w:r w:rsidR="00B5178E">
        <w:t xml:space="preserve">instead of </w:t>
      </w:r>
      <w:r w:rsidR="00B5178E">
        <w:rPr>
          <w:i/>
          <w:iCs/>
        </w:rPr>
        <w:t>relevant provider</w:t>
      </w:r>
      <w:r w:rsidR="00C658C8">
        <w:t>.</w:t>
      </w:r>
      <w:r w:rsidR="00FF231C">
        <w:t xml:space="preserve"> </w:t>
      </w:r>
      <w:r w:rsidR="00C658C8">
        <w:t xml:space="preserve">This is </w:t>
      </w:r>
      <w:r w:rsidR="00975223">
        <w:t>consistent with the language</w:t>
      </w:r>
      <w:r w:rsidR="00FF231C">
        <w:t xml:space="preserve"> used </w:t>
      </w:r>
      <w:r w:rsidR="00AC3813">
        <w:t>throughout section </w:t>
      </w:r>
      <w:r w:rsidR="00680BD8">
        <w:t xml:space="preserve">921B of the </w:t>
      </w:r>
      <w:r w:rsidR="00B955DB">
        <w:t xml:space="preserve">Corporations </w:t>
      </w:r>
      <w:r w:rsidR="00680BD8">
        <w:t>Act</w:t>
      </w:r>
      <w:r w:rsidR="00AC3813">
        <w:t>.</w:t>
      </w:r>
      <w:r w:rsidR="00686EDC">
        <w:t xml:space="preserve"> </w:t>
      </w:r>
      <w:r w:rsidR="00A441C7">
        <w:t xml:space="preserve">The more general term </w:t>
      </w:r>
      <w:r w:rsidR="00A441C7">
        <w:rPr>
          <w:i/>
          <w:iCs/>
        </w:rPr>
        <w:t>person</w:t>
      </w:r>
      <w:r w:rsidR="00A441C7">
        <w:t xml:space="preserve"> is more appropriate</w:t>
      </w:r>
      <w:r w:rsidR="00166766">
        <w:t xml:space="preserve"> in thi</w:t>
      </w:r>
      <w:r w:rsidR="006F5248">
        <w:t>s context</w:t>
      </w:r>
      <w:r w:rsidR="00A441C7">
        <w:t xml:space="preserve">, as </w:t>
      </w:r>
      <w:r w:rsidR="006F5248">
        <w:t xml:space="preserve">these provisions (in both the </w:t>
      </w:r>
      <w:r w:rsidR="009A0CAF">
        <w:t xml:space="preserve">Corporations </w:t>
      </w:r>
      <w:r w:rsidR="006F5248">
        <w:t xml:space="preserve">Act and the Approved Qualifications Determination) </w:t>
      </w:r>
      <w:r w:rsidR="00E15C23">
        <w:t>apply</w:t>
      </w:r>
      <w:r w:rsidR="00ED4F05">
        <w:t xml:space="preserve"> to both </w:t>
      </w:r>
      <w:r w:rsidR="00ED4F05">
        <w:rPr>
          <w:i/>
          <w:iCs/>
        </w:rPr>
        <w:t>relevant providers</w:t>
      </w:r>
      <w:r w:rsidR="00ED4F05">
        <w:t xml:space="preserve"> and </w:t>
      </w:r>
      <w:r w:rsidR="00691846" w:rsidRPr="007116CC">
        <w:rPr>
          <w:i/>
          <w:iCs/>
        </w:rPr>
        <w:t>a person</w:t>
      </w:r>
      <w:r w:rsidR="00691846">
        <w:t xml:space="preserve"> </w:t>
      </w:r>
      <w:r w:rsidR="00691846">
        <w:rPr>
          <w:i/>
          <w:iCs/>
        </w:rPr>
        <w:t>who is to be a relevant provider</w:t>
      </w:r>
      <w:r w:rsidR="00195B90">
        <w:t xml:space="preserve"> (see subsection 921</w:t>
      </w:r>
      <w:proofErr w:type="gramStart"/>
      <w:r w:rsidR="00195B90">
        <w:t>B(</w:t>
      </w:r>
      <w:proofErr w:type="gramEnd"/>
      <w:r w:rsidR="00195B90">
        <w:t>1)</w:t>
      </w:r>
      <w:r w:rsidR="00667241">
        <w:t xml:space="preserve"> of the Corporations Act</w:t>
      </w:r>
      <w:r w:rsidR="00195B90">
        <w:t>).</w:t>
      </w:r>
      <w:r w:rsidR="006F5248">
        <w:t xml:space="preserve"> </w:t>
      </w:r>
    </w:p>
    <w:p w14:paraId="786639A9" w14:textId="4C297892" w:rsidR="00903A8E" w:rsidRPr="00B60414" w:rsidRDefault="002D196E" w:rsidP="002648F2">
      <w:pPr>
        <w:spacing w:before="240" w:after="200"/>
      </w:pPr>
      <w:r>
        <w:rPr>
          <w:b/>
          <w:bCs/>
        </w:rPr>
        <w:t>Item 4</w:t>
      </w:r>
      <w:r w:rsidR="00BA359B">
        <w:t xml:space="preserve"> removes </w:t>
      </w:r>
      <w:r w:rsidR="00B97026">
        <w:t>N</w:t>
      </w:r>
      <w:r w:rsidR="00BA359B">
        <w:t>ote</w:t>
      </w:r>
      <w:r w:rsidR="00B97026">
        <w:t> 1</w:t>
      </w:r>
      <w:r w:rsidR="0080011E">
        <w:t xml:space="preserve"> in subsection 6(2)</w:t>
      </w:r>
      <w:r w:rsidR="00BA359B">
        <w:t>.</w:t>
      </w:r>
      <w:r w:rsidR="00917BC5">
        <w:t xml:space="preserve"> This note</w:t>
      </w:r>
      <w:r w:rsidR="00EE1350">
        <w:t xml:space="preserve"> </w:t>
      </w:r>
      <w:r w:rsidR="003840D0">
        <w:t>list</w:t>
      </w:r>
      <w:r w:rsidR="00421C1A">
        <w:t xml:space="preserve">s all the approved degrees/qualifications which </w:t>
      </w:r>
      <w:r w:rsidR="00074094">
        <w:t xml:space="preserve">do not require the person </w:t>
      </w:r>
      <w:r w:rsidR="00F377AF">
        <w:t>to also complete an ethics bridging unit</w:t>
      </w:r>
      <w:r w:rsidR="00654EB5">
        <w:t xml:space="preserve"> (</w:t>
      </w:r>
      <w:proofErr w:type="gramStart"/>
      <w:r w:rsidR="00DA0AE3">
        <w:t>i.e.</w:t>
      </w:r>
      <w:proofErr w:type="gramEnd"/>
      <w:r w:rsidR="00654EB5">
        <w:t xml:space="preserve"> because ethics is covered as part of that approved degree/qualification)</w:t>
      </w:r>
      <w:r w:rsidR="00F377AF">
        <w:t>. Th</w:t>
      </w:r>
      <w:r w:rsidR="00746CEC">
        <w:t>is</w:t>
      </w:r>
      <w:r w:rsidR="00F377AF">
        <w:t xml:space="preserve"> note </w:t>
      </w:r>
      <w:r w:rsidR="008008AC">
        <w:t>has no legal effect</w:t>
      </w:r>
      <w:r w:rsidR="003634AA">
        <w:t xml:space="preserve"> – </w:t>
      </w:r>
      <w:proofErr w:type="gramStart"/>
      <w:r w:rsidR="003634AA">
        <w:t>in o</w:t>
      </w:r>
      <w:r w:rsidR="00BD6E4A">
        <w:t>rder to</w:t>
      </w:r>
      <w:proofErr w:type="gramEnd"/>
      <w:r w:rsidR="00BD6E4A">
        <w:t xml:space="preserve"> switch off the general condition </w:t>
      </w:r>
      <w:r w:rsidR="00AE2981">
        <w:t>requiring an ethics bridging unit</w:t>
      </w:r>
      <w:r w:rsidR="00856FA4">
        <w:t xml:space="preserve">, </w:t>
      </w:r>
      <w:r w:rsidR="00822700">
        <w:t>the individual app</w:t>
      </w:r>
      <w:r w:rsidR="00174C47">
        <w:t xml:space="preserve">roved degree/qualification must </w:t>
      </w:r>
      <w:r w:rsidR="00203128">
        <w:t xml:space="preserve">specify this </w:t>
      </w:r>
      <w:r w:rsidR="00203128" w:rsidRPr="00594D74">
        <w:rPr>
          <w:i/>
          <w:iCs/>
        </w:rPr>
        <w:t xml:space="preserve">in the </w:t>
      </w:r>
      <w:r w:rsidR="00EE5CCB" w:rsidRPr="00594D74">
        <w:rPr>
          <w:i/>
          <w:iCs/>
        </w:rPr>
        <w:t>relevant table item</w:t>
      </w:r>
      <w:r w:rsidR="00EE1350" w:rsidRPr="00594D74">
        <w:rPr>
          <w:i/>
          <w:iCs/>
        </w:rPr>
        <w:t xml:space="preserve"> </w:t>
      </w:r>
      <w:r w:rsidR="00EE5CCB" w:rsidRPr="00594D74">
        <w:rPr>
          <w:i/>
          <w:iCs/>
        </w:rPr>
        <w:t>at Schedule 1 to that instrument</w:t>
      </w:r>
      <w:r w:rsidR="00233249">
        <w:t xml:space="preserve"> (see </w:t>
      </w:r>
      <w:r w:rsidR="00AF11F6">
        <w:t>paragraph 6(2)(a)</w:t>
      </w:r>
      <w:r w:rsidR="006614F7">
        <w:t>)</w:t>
      </w:r>
      <w:r w:rsidR="00EE5CCB">
        <w:t>.</w:t>
      </w:r>
      <w:r w:rsidR="00645165">
        <w:t xml:space="preserve"> </w:t>
      </w:r>
      <w:r w:rsidR="00824CB5">
        <w:t>For t</w:t>
      </w:r>
      <w:r w:rsidR="005312DF">
        <w:t>he app</w:t>
      </w:r>
      <w:r w:rsidR="0001304A">
        <w:t xml:space="preserve">roved </w:t>
      </w:r>
      <w:r w:rsidR="0001304A">
        <w:lastRenderedPageBreak/>
        <w:t>degrees/qualifications currently listed in Note 1</w:t>
      </w:r>
      <w:r w:rsidR="00824CB5">
        <w:t>,</w:t>
      </w:r>
      <w:r w:rsidR="00ED2A95">
        <w:t xml:space="preserve"> the</w:t>
      </w:r>
      <w:r w:rsidR="00BE3B75">
        <w:t xml:space="preserve"> general condition requiring an ethics bridging unit</w:t>
      </w:r>
      <w:r w:rsidR="004A52C5">
        <w:t xml:space="preserve"> is already switched off</w:t>
      </w:r>
      <w:r w:rsidR="00606217">
        <w:t xml:space="preserve"> (as </w:t>
      </w:r>
      <w:r w:rsidR="00CF3C8E">
        <w:t>required)</w:t>
      </w:r>
      <w:r w:rsidR="00BE3B75" w:rsidRPr="00CF3C8E">
        <w:t xml:space="preserve"> </w:t>
      </w:r>
      <w:r w:rsidR="00BE3B75" w:rsidRPr="00AD103D">
        <w:t>in the relevant table item at Schedule 1 to that instrument</w:t>
      </w:r>
      <w:r w:rsidR="00CF3C8E">
        <w:t>.</w:t>
      </w:r>
      <w:r w:rsidR="00BE3B75" w:rsidRPr="00CF3C8E">
        <w:t xml:space="preserve"> </w:t>
      </w:r>
      <w:r w:rsidR="00645165">
        <w:t>Removing this note has no effect on the operation of that instrument.</w:t>
      </w:r>
    </w:p>
    <w:p w14:paraId="7243DD96" w14:textId="2B52CE2B" w:rsidR="00974AAB" w:rsidRDefault="006D7F48" w:rsidP="00E24E21">
      <w:pPr>
        <w:keepNext/>
        <w:spacing w:before="240" w:after="200"/>
        <w:rPr>
          <w:b/>
          <w:bCs/>
          <w:u w:val="single"/>
        </w:rPr>
      </w:pPr>
      <w:r w:rsidRPr="006D7F48">
        <w:rPr>
          <w:b/>
          <w:bCs/>
          <w:u w:val="single"/>
        </w:rPr>
        <w:t>Schedule 2—</w:t>
      </w:r>
      <w:r w:rsidR="00123D96">
        <w:rPr>
          <w:b/>
          <w:bCs/>
          <w:u w:val="single"/>
        </w:rPr>
        <w:t>Amendments to the t</w:t>
      </w:r>
      <w:r w:rsidRPr="006D7F48">
        <w:rPr>
          <w:b/>
          <w:bCs/>
          <w:u w:val="single"/>
        </w:rPr>
        <w:t xml:space="preserve">ransitional arrangements for relevant providers who provide tax (financial) advice </w:t>
      </w:r>
      <w:proofErr w:type="gramStart"/>
      <w:r w:rsidRPr="006D7F48">
        <w:rPr>
          <w:b/>
          <w:bCs/>
          <w:u w:val="single"/>
        </w:rPr>
        <w:t>services</w:t>
      </w:r>
      <w:proofErr w:type="gramEnd"/>
    </w:p>
    <w:p w14:paraId="5B9CB4CD" w14:textId="4ABE2447" w:rsidR="00BC6792" w:rsidRDefault="00795A9E" w:rsidP="00BC6792">
      <w:pPr>
        <w:spacing w:before="240" w:after="200"/>
      </w:pPr>
      <w:r>
        <w:t>In addition to</w:t>
      </w:r>
      <w:r w:rsidR="00BC6792">
        <w:t xml:space="preserve"> the </w:t>
      </w:r>
      <w:r>
        <w:t xml:space="preserve">four </w:t>
      </w:r>
      <w:r w:rsidR="00BC6792">
        <w:t xml:space="preserve">education and training standards for relevant providers </w:t>
      </w:r>
      <w:r w:rsidR="00E632A1">
        <w:t xml:space="preserve">outlined </w:t>
      </w:r>
      <w:r w:rsidR="00BC6792">
        <w:t xml:space="preserve">in section 921B of the </w:t>
      </w:r>
      <w:r w:rsidR="004F7C39">
        <w:t xml:space="preserve">Corporations </w:t>
      </w:r>
      <w:r w:rsidR="00BC6792">
        <w:t>Act,</w:t>
      </w:r>
      <w:r w:rsidR="00433AA2">
        <w:t xml:space="preserve"> section 921BB</w:t>
      </w:r>
      <w:r w:rsidR="003B75AC">
        <w:t xml:space="preserve"> empowers the Minister to</w:t>
      </w:r>
      <w:r w:rsidR="00591AE9">
        <w:t xml:space="preserve"> </w:t>
      </w:r>
      <w:r w:rsidR="00490E8C">
        <w:t>d</w:t>
      </w:r>
      <w:r w:rsidR="00591AE9">
        <w:t>etermine</w:t>
      </w:r>
      <w:r w:rsidR="003B75AC">
        <w:t xml:space="preserve"> additional requirements</w:t>
      </w:r>
      <w:r w:rsidR="00591AE9">
        <w:t xml:space="preserve"> for </w:t>
      </w:r>
      <w:r w:rsidR="00591AE9" w:rsidRPr="00591AE9">
        <w:t>relevant providers who provide tax (financial) advice services</w:t>
      </w:r>
      <w:r w:rsidR="00BC6792">
        <w:t xml:space="preserve">. </w:t>
      </w:r>
      <w:r w:rsidR="00490E8C">
        <w:t xml:space="preserve">These additional requirements </w:t>
      </w:r>
      <w:r w:rsidR="00F66EFC">
        <w:t>relate to courses in commercial law and taxation law, as</w:t>
      </w:r>
      <w:r w:rsidR="00490E8C">
        <w:t xml:space="preserve"> set out in </w:t>
      </w:r>
      <w:r w:rsidR="00727481">
        <w:t xml:space="preserve">Division 3 of </w:t>
      </w:r>
      <w:r w:rsidR="00490E8C">
        <w:t xml:space="preserve">Part 3 of </w:t>
      </w:r>
      <w:r w:rsidR="00490E8C" w:rsidRPr="00CA4552">
        <w:t xml:space="preserve">the </w:t>
      </w:r>
      <w:r w:rsidR="00490E8C" w:rsidRPr="00CA4552">
        <w:rPr>
          <w:i/>
          <w:iCs/>
        </w:rPr>
        <w:t>Corporations (Relevant Providers—Education and Training Standards) Determination 2021</w:t>
      </w:r>
      <w:r w:rsidR="00490E8C">
        <w:t xml:space="preserve"> (the Education and Training Standards Determination).</w:t>
      </w:r>
      <w:r w:rsidR="00E36F0F">
        <w:t xml:space="preserve"> </w:t>
      </w:r>
      <w:r w:rsidR="00ED3943" w:rsidRPr="00ED3943">
        <w:t xml:space="preserve">This reflects the new regime, a single registration and disciplinary system under the Corporations Act for financial advisers who provide tax (financial) advice services and the removal of duplicate regulation, which commenced 1 January 2022. The new regime was implemented through the </w:t>
      </w:r>
      <w:r w:rsidR="00ED3943" w:rsidRPr="00077719">
        <w:rPr>
          <w:i/>
          <w:iCs/>
        </w:rPr>
        <w:t>Financial Sector Reform (Hayne Royal Commission Response – Better Advice) Act 2021</w:t>
      </w:r>
      <w:r w:rsidR="001C0514">
        <w:rPr>
          <w:i/>
          <w:iCs/>
        </w:rPr>
        <w:t xml:space="preserve"> </w:t>
      </w:r>
      <w:r w:rsidR="001C0514">
        <w:t>(the Better Advice Act)</w:t>
      </w:r>
      <w:r w:rsidR="00FB5BAF">
        <w:t xml:space="preserve">. </w:t>
      </w:r>
      <w:r w:rsidR="001F18BE">
        <w:t>Division </w:t>
      </w:r>
      <w:r w:rsidR="00C44D2F">
        <w:t>6</w:t>
      </w:r>
      <w:r w:rsidR="00D5078B">
        <w:t xml:space="preserve"> of Part 3</w:t>
      </w:r>
      <w:r w:rsidR="002A3C5D">
        <w:t xml:space="preserve"> outlines </w:t>
      </w:r>
      <w:r w:rsidR="00760A78">
        <w:t xml:space="preserve">transitional arrangements </w:t>
      </w:r>
      <w:r w:rsidR="004B18DA">
        <w:t xml:space="preserve">which </w:t>
      </w:r>
      <w:r w:rsidR="00643493">
        <w:t>are intended to provide a smooth transition to the new regime for persons who were relevant providers under the old regime.</w:t>
      </w:r>
    </w:p>
    <w:p w14:paraId="3EE7D613" w14:textId="60D72E1A" w:rsidR="00FE3C9B" w:rsidRDefault="0019144D" w:rsidP="002648F2">
      <w:pPr>
        <w:spacing w:before="240" w:after="200"/>
      </w:pPr>
      <w:r>
        <w:t>Schedule 2 amend</w:t>
      </w:r>
      <w:r w:rsidR="00E421FE">
        <w:t>s</w:t>
      </w:r>
      <w:r w:rsidR="00F47065" w:rsidRPr="00CA4552">
        <w:t xml:space="preserve"> the</w:t>
      </w:r>
      <w:r w:rsidR="0066524B">
        <w:t>se</w:t>
      </w:r>
      <w:r w:rsidR="00DE5F89">
        <w:t xml:space="preserve"> transitional arrangements </w:t>
      </w:r>
      <w:r w:rsidR="00E61098">
        <w:t xml:space="preserve">to </w:t>
      </w:r>
      <w:r w:rsidR="00A35F0D">
        <w:t>fix an unin</w:t>
      </w:r>
      <w:r w:rsidR="00934B25">
        <w:t xml:space="preserve">tended outcome </w:t>
      </w:r>
      <w:r w:rsidR="00252997">
        <w:t xml:space="preserve">and </w:t>
      </w:r>
      <w:r w:rsidR="00E61098">
        <w:t>ensure they operate as intended</w:t>
      </w:r>
      <w:r w:rsidR="00E45502">
        <w:t>.</w:t>
      </w:r>
      <w:r w:rsidR="00C67AC2">
        <w:t xml:space="preserve"> </w:t>
      </w:r>
      <w:r w:rsidR="005F0E16">
        <w:t xml:space="preserve">As currently </w:t>
      </w:r>
      <w:r w:rsidR="00D24801">
        <w:t>drafted, the transitional arrangements in sections 3</w:t>
      </w:r>
      <w:r w:rsidR="00D24801">
        <w:noBreakHyphen/>
        <w:t>170 to 3</w:t>
      </w:r>
      <w:r w:rsidR="00D24801">
        <w:noBreakHyphen/>
        <w:t>172</w:t>
      </w:r>
      <w:r w:rsidR="007D3428">
        <w:t xml:space="preserve"> only apply</w:t>
      </w:r>
      <w:r w:rsidR="00A565D1">
        <w:t xml:space="preserve"> if the person was a relevant provider </w:t>
      </w:r>
      <w:r w:rsidR="00A565D1">
        <w:rPr>
          <w:i/>
          <w:iCs/>
        </w:rPr>
        <w:t>immediately before the new regime commenced</w:t>
      </w:r>
      <w:r w:rsidR="00F87F57">
        <w:rPr>
          <w:i/>
          <w:iCs/>
        </w:rPr>
        <w:t xml:space="preserve"> on 1 January 2022</w:t>
      </w:r>
      <w:r w:rsidR="00F87F57">
        <w:t xml:space="preserve">. </w:t>
      </w:r>
      <w:r w:rsidR="004079F0">
        <w:t xml:space="preserve">However, </w:t>
      </w:r>
      <w:r w:rsidR="00781F9E">
        <w:t>this means that if</w:t>
      </w:r>
      <w:r w:rsidR="00C02C0A">
        <w:t xml:space="preserve"> a person </w:t>
      </w:r>
      <w:r w:rsidR="00C96D0E">
        <w:t xml:space="preserve">was </w:t>
      </w:r>
      <w:r w:rsidR="00336EFF">
        <w:t xml:space="preserve">temporarily not </w:t>
      </w:r>
      <w:r w:rsidR="00061468">
        <w:t xml:space="preserve">a relevant provider at that time, they would not benefit from the </w:t>
      </w:r>
      <w:r w:rsidR="000C3445">
        <w:t xml:space="preserve">transitional arrangements. This includes </w:t>
      </w:r>
      <w:r w:rsidR="0046149E">
        <w:t xml:space="preserve">advisers </w:t>
      </w:r>
      <w:r w:rsidR="0018019B">
        <w:t>who may have been on leave – such as maternity</w:t>
      </w:r>
      <w:r w:rsidR="00475793">
        <w:t>/paternity</w:t>
      </w:r>
      <w:r w:rsidR="0018019B">
        <w:t xml:space="preserve"> leave</w:t>
      </w:r>
      <w:r w:rsidR="00475793">
        <w:t xml:space="preserve"> or long service leave – or </w:t>
      </w:r>
      <w:r w:rsidR="00DC7DC4">
        <w:t>who may have been temporarily in</w:t>
      </w:r>
      <w:r w:rsidR="00E421FE">
        <w:noBreakHyphen/>
      </w:r>
      <w:r w:rsidR="00DC7DC4">
        <w:t xml:space="preserve">between </w:t>
      </w:r>
      <w:r w:rsidR="00E46E31">
        <w:t>licen</w:t>
      </w:r>
      <w:r w:rsidR="00324684">
        <w:t>s</w:t>
      </w:r>
      <w:r w:rsidR="00E46E31">
        <w:t>ees.</w:t>
      </w:r>
      <w:r w:rsidR="00CE1385">
        <w:t xml:space="preserve"> </w:t>
      </w:r>
      <w:r w:rsidR="00CC4F18">
        <w:t xml:space="preserve">This has unintentionally restricted the provision of tax (financial) advice services. </w:t>
      </w:r>
    </w:p>
    <w:p w14:paraId="07A2F811" w14:textId="77777777" w:rsidR="00077719" w:rsidRDefault="00CE1385" w:rsidP="002648F2">
      <w:pPr>
        <w:spacing w:before="240" w:after="200"/>
      </w:pPr>
      <w:r w:rsidRPr="00AA542E">
        <w:rPr>
          <w:b/>
          <w:bCs/>
        </w:rPr>
        <w:t>Items</w:t>
      </w:r>
      <w:r w:rsidR="00987918" w:rsidRPr="00AA542E">
        <w:rPr>
          <w:b/>
          <w:bCs/>
        </w:rPr>
        <w:t> </w:t>
      </w:r>
      <w:r w:rsidR="00E421FE">
        <w:rPr>
          <w:b/>
          <w:bCs/>
        </w:rPr>
        <w:t>1</w:t>
      </w:r>
      <w:r w:rsidR="00987918" w:rsidRPr="00AA542E">
        <w:rPr>
          <w:b/>
          <w:bCs/>
        </w:rPr>
        <w:t xml:space="preserve"> to </w:t>
      </w:r>
      <w:r w:rsidR="00E421FE">
        <w:rPr>
          <w:b/>
          <w:bCs/>
        </w:rPr>
        <w:t>4</w:t>
      </w:r>
      <w:r w:rsidR="00987918">
        <w:t xml:space="preserve"> </w:t>
      </w:r>
      <w:r w:rsidR="00C41E28">
        <w:t xml:space="preserve">amend </w:t>
      </w:r>
      <w:r w:rsidR="00C30D34">
        <w:t>sections 3</w:t>
      </w:r>
      <w:r w:rsidR="00C30D34">
        <w:noBreakHyphen/>
        <w:t>170 to 3</w:t>
      </w:r>
      <w:r w:rsidR="00C30D34">
        <w:noBreakHyphen/>
        <w:t>172</w:t>
      </w:r>
      <w:r w:rsidR="00547004">
        <w:t xml:space="preserve"> </w:t>
      </w:r>
      <w:r w:rsidR="009A293A">
        <w:t xml:space="preserve">of the </w:t>
      </w:r>
      <w:r w:rsidR="00E267D1">
        <w:t xml:space="preserve">Education and Training Standards </w:t>
      </w:r>
      <w:r w:rsidR="009A293A">
        <w:t xml:space="preserve">Determination </w:t>
      </w:r>
      <w:r w:rsidR="00547004">
        <w:t xml:space="preserve">to remove </w:t>
      </w:r>
      <w:r w:rsidR="00D57F08">
        <w:t>the re</w:t>
      </w:r>
      <w:r w:rsidR="00E32395">
        <w:t>quirement that</w:t>
      </w:r>
      <w:r w:rsidR="00856274">
        <w:t xml:space="preserve"> a person must</w:t>
      </w:r>
      <w:r w:rsidR="00194654">
        <w:t xml:space="preserve"> have been a relevant provider </w:t>
      </w:r>
      <w:r w:rsidR="00194654">
        <w:rPr>
          <w:i/>
          <w:iCs/>
        </w:rPr>
        <w:t>immediately before the new regime commenced on 1 January 2022</w:t>
      </w:r>
      <w:r w:rsidR="00194654">
        <w:t xml:space="preserve"> </w:t>
      </w:r>
      <w:proofErr w:type="gramStart"/>
      <w:r w:rsidR="00194654">
        <w:t>in order to</w:t>
      </w:r>
      <w:proofErr w:type="gramEnd"/>
      <w:r w:rsidR="00194654">
        <w:t xml:space="preserve"> </w:t>
      </w:r>
      <w:r w:rsidR="00391A24">
        <w:t xml:space="preserve">access those transitional arrangements. </w:t>
      </w:r>
      <w:r w:rsidR="003012EA">
        <w:t xml:space="preserve">Relevant providers </w:t>
      </w:r>
      <w:r w:rsidR="00AE4FAE">
        <w:t xml:space="preserve">must still meet any other eligibility requirements specified </w:t>
      </w:r>
      <w:r w:rsidR="00075268">
        <w:t xml:space="preserve">in those sections </w:t>
      </w:r>
      <w:proofErr w:type="gramStart"/>
      <w:r w:rsidR="00075268">
        <w:t>in order to</w:t>
      </w:r>
      <w:proofErr w:type="gramEnd"/>
      <w:r w:rsidR="00075268">
        <w:t xml:space="preserve"> access the</w:t>
      </w:r>
      <w:r w:rsidR="006F6838">
        <w:t xml:space="preserve"> transitional arrangements.</w:t>
      </w:r>
    </w:p>
    <w:p w14:paraId="42862B4A" w14:textId="409F2714" w:rsidR="00826271" w:rsidRPr="00F87F57" w:rsidRDefault="00077719" w:rsidP="002648F2">
      <w:pPr>
        <w:spacing w:before="240" w:after="200"/>
      </w:pPr>
      <w:r>
        <w:t xml:space="preserve">The amendments are consistent with the intended outcomes in the Better Advice Act. The transitional provisions in the Better Advice Act apply to </w:t>
      </w:r>
      <w:r>
        <w:rPr>
          <w:i/>
          <w:iCs/>
        </w:rPr>
        <w:t xml:space="preserve">relevant providers </w:t>
      </w:r>
      <w:r>
        <w:t xml:space="preserve">but they do not require such persons to be relevant providers </w:t>
      </w:r>
      <w:r>
        <w:rPr>
          <w:i/>
          <w:iCs/>
        </w:rPr>
        <w:t>immediately before 1 January 2022.</w:t>
      </w:r>
      <w:r>
        <w:t xml:space="preserve"> Similarly, if the person was a relevant provider </w:t>
      </w:r>
      <w:r>
        <w:rPr>
          <w:i/>
          <w:iCs/>
        </w:rPr>
        <w:t xml:space="preserve">immediately before the new regime commenced on 1 January 2022 </w:t>
      </w:r>
      <w:r>
        <w:t>should not be a relevant criterion to access transitional arrangements for the education requirements.</w:t>
      </w:r>
      <w:r w:rsidR="00AE4FAE">
        <w:t xml:space="preserve"> </w:t>
      </w:r>
      <w:r w:rsidR="00E32395">
        <w:t xml:space="preserve"> </w:t>
      </w:r>
      <w:r w:rsidR="00C30D34">
        <w:t xml:space="preserve"> </w:t>
      </w:r>
      <w:r w:rsidR="00CE1385">
        <w:t xml:space="preserve"> </w:t>
      </w:r>
    </w:p>
    <w:p w14:paraId="71996327" w14:textId="1D19ACCA" w:rsidR="00B170D5" w:rsidRPr="00084821" w:rsidRDefault="00AF0A9A" w:rsidP="002648F2">
      <w:pPr>
        <w:spacing w:before="240" w:after="200"/>
        <w:rPr>
          <w:u w:val="single"/>
        </w:rPr>
      </w:pPr>
      <w:r w:rsidRPr="00084821">
        <w:rPr>
          <w:u w:val="single"/>
        </w:rPr>
        <w:t xml:space="preserve">Relevant providers who were registered as a tax (financial) adviser under the old </w:t>
      </w:r>
      <w:proofErr w:type="gramStart"/>
      <w:r w:rsidRPr="00084821">
        <w:rPr>
          <w:u w:val="single"/>
        </w:rPr>
        <w:t>regime</w:t>
      </w:r>
      <w:proofErr w:type="gramEnd"/>
    </w:p>
    <w:p w14:paraId="46E67BC2" w14:textId="77777777" w:rsidR="00056BD0" w:rsidRDefault="00276BC6" w:rsidP="002648F2">
      <w:pPr>
        <w:spacing w:before="240" w:after="200"/>
      </w:pPr>
      <w:r>
        <w:t>Section 3</w:t>
      </w:r>
      <w:r>
        <w:noBreakHyphen/>
        <w:t>170</w:t>
      </w:r>
      <w:r w:rsidR="00252997">
        <w:t xml:space="preserve"> </w:t>
      </w:r>
      <w:r w:rsidR="00B92127">
        <w:t>of the</w:t>
      </w:r>
      <w:r w:rsidR="00B92127" w:rsidRPr="00165E9E">
        <w:t xml:space="preserve"> </w:t>
      </w:r>
      <w:r w:rsidR="00B92127">
        <w:t xml:space="preserve">Education and Training Standards Determination </w:t>
      </w:r>
      <w:r w:rsidR="00C6690E">
        <w:t xml:space="preserve">switches off the </w:t>
      </w:r>
      <w:r w:rsidR="00EE64F2">
        <w:t xml:space="preserve">obligation </w:t>
      </w:r>
      <w:r w:rsidR="00696105">
        <w:t xml:space="preserve">to meet the additional study requirements outlined in </w:t>
      </w:r>
      <w:r w:rsidR="00A41F49">
        <w:t>Division 3</w:t>
      </w:r>
      <w:r w:rsidR="000D78DF">
        <w:t xml:space="preserve"> for</w:t>
      </w:r>
      <w:r w:rsidR="001D4ECB">
        <w:t xml:space="preserve"> </w:t>
      </w:r>
      <w:r w:rsidR="00BD6574">
        <w:t>relevant providers</w:t>
      </w:r>
      <w:r w:rsidR="00E03837">
        <w:t xml:space="preserve"> who were already registered as a tax (financial) adviser under the old regime</w:t>
      </w:r>
      <w:r w:rsidR="00546B1A">
        <w:t>. This means they</w:t>
      </w:r>
      <w:r w:rsidR="00951FB3">
        <w:t xml:space="preserve"> </w:t>
      </w:r>
      <w:r w:rsidR="00FC65A1">
        <w:t>are not required to undertake further study</w:t>
      </w:r>
      <w:r w:rsidR="000E067F">
        <w:t xml:space="preserve"> </w:t>
      </w:r>
      <w:proofErr w:type="gramStart"/>
      <w:r w:rsidR="000E067F">
        <w:t>in order to</w:t>
      </w:r>
      <w:proofErr w:type="gramEnd"/>
      <w:r w:rsidR="000E067F">
        <w:t xml:space="preserve"> continue </w:t>
      </w:r>
      <w:r w:rsidR="00760720">
        <w:t xml:space="preserve">providing </w:t>
      </w:r>
      <w:r w:rsidR="00814453">
        <w:t>tax (financial) advice following commencement of the new regime</w:t>
      </w:r>
      <w:r w:rsidR="00DF0D2B">
        <w:t xml:space="preserve"> on 1 January 2022.</w:t>
      </w:r>
      <w:r w:rsidR="00062F33">
        <w:t xml:space="preserve"> This </w:t>
      </w:r>
      <w:r w:rsidR="00384CC2">
        <w:lastRenderedPageBreak/>
        <w:t xml:space="preserve">transitional </w:t>
      </w:r>
      <w:r w:rsidR="00062F33">
        <w:t xml:space="preserve">provision reflects that those advisers </w:t>
      </w:r>
      <w:r w:rsidR="007A3241">
        <w:t xml:space="preserve">would have already completed relevant commercial law and taxation law </w:t>
      </w:r>
      <w:r w:rsidR="00D50A5F">
        <w:t>studies</w:t>
      </w:r>
      <w:r w:rsidR="00E304CA">
        <w:t xml:space="preserve"> </w:t>
      </w:r>
      <w:proofErr w:type="gramStart"/>
      <w:r w:rsidR="00FD6AEC">
        <w:t>in order to</w:t>
      </w:r>
      <w:proofErr w:type="gramEnd"/>
      <w:r w:rsidR="00FD6AEC">
        <w:t xml:space="preserve"> be registered </w:t>
      </w:r>
      <w:r w:rsidR="00E304CA">
        <w:t xml:space="preserve">under the old </w:t>
      </w:r>
      <w:r w:rsidR="00FD6AEC">
        <w:t>regime</w:t>
      </w:r>
      <w:r w:rsidR="005561D4">
        <w:t>.</w:t>
      </w:r>
      <w:r w:rsidR="00FC4348">
        <w:t xml:space="preserve"> </w:t>
      </w:r>
    </w:p>
    <w:p w14:paraId="430755A6" w14:textId="68274DF4" w:rsidR="00ED41C7" w:rsidRDefault="00FC4348" w:rsidP="002648F2">
      <w:pPr>
        <w:spacing w:before="240" w:after="200"/>
      </w:pPr>
      <w:r w:rsidRPr="00AA542E">
        <w:rPr>
          <w:b/>
          <w:bCs/>
        </w:rPr>
        <w:t xml:space="preserve">Item </w:t>
      </w:r>
      <w:r w:rsidR="00062563">
        <w:rPr>
          <w:b/>
          <w:bCs/>
        </w:rPr>
        <w:t>1</w:t>
      </w:r>
      <w:r>
        <w:t xml:space="preserve"> amend</w:t>
      </w:r>
      <w:r w:rsidR="00917E0A">
        <w:t>s</w:t>
      </w:r>
      <w:r>
        <w:t xml:space="preserve"> </w:t>
      </w:r>
      <w:r w:rsidR="00685879">
        <w:t xml:space="preserve">this </w:t>
      </w:r>
      <w:r w:rsidR="00D75485">
        <w:t xml:space="preserve">transitional </w:t>
      </w:r>
      <w:r w:rsidR="00DD1A08">
        <w:t>provision</w:t>
      </w:r>
      <w:r w:rsidR="00FA65B5">
        <w:t xml:space="preserve"> </w:t>
      </w:r>
      <w:r w:rsidR="006462E3">
        <w:t xml:space="preserve">so that </w:t>
      </w:r>
      <w:r w:rsidR="005A7E63">
        <w:t>it applies to</w:t>
      </w:r>
      <w:r w:rsidR="003C696F">
        <w:t xml:space="preserve"> any</w:t>
      </w:r>
      <w:r w:rsidR="00C95022">
        <w:t xml:space="preserve"> relevant provider</w:t>
      </w:r>
      <w:r w:rsidR="00A7640D">
        <w:t xml:space="preserve"> who was </w:t>
      </w:r>
      <w:r w:rsidR="00952060">
        <w:t xml:space="preserve">registered as a tax (financial) adviser </w:t>
      </w:r>
      <w:r w:rsidR="00952060" w:rsidRPr="00952060">
        <w:t>immediately before the new regime commenced on 1 January 2022</w:t>
      </w:r>
      <w:r w:rsidR="003C696F">
        <w:t xml:space="preserve">, </w:t>
      </w:r>
      <w:r w:rsidR="003C696F" w:rsidRPr="00A90D64">
        <w:rPr>
          <w:i/>
          <w:iCs/>
        </w:rPr>
        <w:t xml:space="preserve">irrespective of whether they were also a relevant provider </w:t>
      </w:r>
      <w:r w:rsidR="004A13D6" w:rsidRPr="00A90D64">
        <w:rPr>
          <w:i/>
          <w:iCs/>
        </w:rPr>
        <w:t>at that same point in time</w:t>
      </w:r>
      <w:r w:rsidR="00B2283D">
        <w:t xml:space="preserve">. </w:t>
      </w:r>
      <w:r w:rsidR="00E51A17" w:rsidRPr="00AA542E">
        <w:rPr>
          <w:b/>
          <w:bCs/>
        </w:rPr>
        <w:t>Item </w:t>
      </w:r>
      <w:r w:rsidR="00A40846">
        <w:rPr>
          <w:b/>
          <w:bCs/>
        </w:rPr>
        <w:t>1</w:t>
      </w:r>
      <w:r w:rsidR="00E51A17">
        <w:t xml:space="preserve"> </w:t>
      </w:r>
      <w:r w:rsidR="00A40846">
        <w:t xml:space="preserve">also </w:t>
      </w:r>
      <w:r w:rsidR="00E51A17">
        <w:t>amends</w:t>
      </w:r>
      <w:r w:rsidR="00FA65B5">
        <w:t xml:space="preserve"> the heading to better reflect </w:t>
      </w:r>
      <w:r w:rsidR="008B532D">
        <w:t>who the provision applies</w:t>
      </w:r>
      <w:r w:rsidR="00E51A17">
        <w:t xml:space="preserve"> to.</w:t>
      </w:r>
      <w:r w:rsidR="005561D4">
        <w:t xml:space="preserve"> </w:t>
      </w:r>
    </w:p>
    <w:p w14:paraId="5D0713BC" w14:textId="121F896F" w:rsidR="00EE3753" w:rsidRPr="00084821" w:rsidRDefault="00EE3753" w:rsidP="00EE3753">
      <w:pPr>
        <w:spacing w:before="240" w:after="200"/>
        <w:rPr>
          <w:u w:val="single"/>
        </w:rPr>
      </w:pPr>
      <w:r w:rsidRPr="00084821">
        <w:rPr>
          <w:u w:val="single"/>
        </w:rPr>
        <w:t xml:space="preserve">Relevant providers who </w:t>
      </w:r>
      <w:r w:rsidR="00AD037A" w:rsidRPr="00084821">
        <w:rPr>
          <w:u w:val="single"/>
        </w:rPr>
        <w:t>had a pending application for</w:t>
      </w:r>
      <w:r w:rsidRPr="00084821">
        <w:rPr>
          <w:u w:val="single"/>
        </w:rPr>
        <w:t xml:space="preserve"> regist</w:t>
      </w:r>
      <w:r w:rsidR="00AD037A" w:rsidRPr="00084821">
        <w:rPr>
          <w:u w:val="single"/>
        </w:rPr>
        <w:t>ration</w:t>
      </w:r>
      <w:r w:rsidRPr="00084821">
        <w:rPr>
          <w:u w:val="single"/>
        </w:rPr>
        <w:t xml:space="preserve"> as a tax (financial) adviser under the old regime</w:t>
      </w:r>
    </w:p>
    <w:p w14:paraId="2BB6C838" w14:textId="77777777" w:rsidR="00CB25E8" w:rsidRDefault="00C71E5E" w:rsidP="00C71E5E">
      <w:pPr>
        <w:spacing w:before="240" w:after="200"/>
      </w:pPr>
      <w:r>
        <w:t>Section 3</w:t>
      </w:r>
      <w:r>
        <w:noBreakHyphen/>
        <w:t xml:space="preserve">171 </w:t>
      </w:r>
      <w:r w:rsidR="00B92127">
        <w:t>of the</w:t>
      </w:r>
      <w:r w:rsidR="00B92127" w:rsidRPr="00165E9E">
        <w:t xml:space="preserve"> </w:t>
      </w:r>
      <w:r w:rsidR="00B92127">
        <w:t xml:space="preserve">Education and Training Standards Determination </w:t>
      </w:r>
      <w:r w:rsidR="008D6BF8">
        <w:t>switches off the obligation to meet the additional study requirements outlined in Division 3 for</w:t>
      </w:r>
      <w:r>
        <w:t xml:space="preserve"> relevant providers </w:t>
      </w:r>
      <w:r w:rsidR="00D670EA">
        <w:t xml:space="preserve">who </w:t>
      </w:r>
      <w:r w:rsidR="00287D0D">
        <w:t xml:space="preserve">had applied </w:t>
      </w:r>
      <w:r w:rsidR="00975E35">
        <w:t xml:space="preserve">for </w:t>
      </w:r>
      <w:r>
        <w:t>regist</w:t>
      </w:r>
      <w:r w:rsidR="00975E35">
        <w:t>ration</w:t>
      </w:r>
      <w:r>
        <w:t xml:space="preserve"> as a tax (financial) adviser under the old regime</w:t>
      </w:r>
      <w:r w:rsidR="00B55AC4">
        <w:t xml:space="preserve">, if their application was then </w:t>
      </w:r>
      <w:r w:rsidR="00C6558F">
        <w:t>granted after</w:t>
      </w:r>
      <w:r w:rsidR="006A5CD1">
        <w:t xml:space="preserve"> </w:t>
      </w:r>
      <w:r w:rsidR="00C6558F" w:rsidRPr="00952060">
        <w:t>the new regime commenced on 1 January 2022</w:t>
      </w:r>
      <w:r w:rsidR="00B16818">
        <w:t xml:space="preserve">. </w:t>
      </w:r>
      <w:r>
        <w:t xml:space="preserve">This provision reflects that those advisers would have already completed relevant commercial law and taxation law studies </w:t>
      </w:r>
      <w:proofErr w:type="gramStart"/>
      <w:r>
        <w:t>in order to</w:t>
      </w:r>
      <w:proofErr w:type="gramEnd"/>
      <w:r>
        <w:t xml:space="preserve"> </w:t>
      </w:r>
      <w:r w:rsidR="00D2258F">
        <w:t>meet the</w:t>
      </w:r>
      <w:r>
        <w:t xml:space="preserve"> regist</w:t>
      </w:r>
      <w:r w:rsidR="00D2258F">
        <w:t>ration requirements</w:t>
      </w:r>
      <w:r>
        <w:t xml:space="preserve"> under the old regime. </w:t>
      </w:r>
    </w:p>
    <w:p w14:paraId="728B438F" w14:textId="7FD50F3E" w:rsidR="00C71E5E" w:rsidRDefault="00C71E5E" w:rsidP="00C71E5E">
      <w:pPr>
        <w:spacing w:before="240" w:after="200"/>
      </w:pPr>
      <w:r w:rsidRPr="00D922B5">
        <w:rPr>
          <w:b/>
          <w:bCs/>
        </w:rPr>
        <w:t xml:space="preserve">Item </w:t>
      </w:r>
      <w:r w:rsidR="00A40846">
        <w:rPr>
          <w:b/>
          <w:bCs/>
        </w:rPr>
        <w:t>2</w:t>
      </w:r>
      <w:r>
        <w:t xml:space="preserve"> amends this transitional provision so that it applies to any relevant provider who</w:t>
      </w:r>
      <w:r w:rsidR="00054101">
        <w:t xml:space="preserve">se application for </w:t>
      </w:r>
      <w:r>
        <w:t>regist</w:t>
      </w:r>
      <w:r w:rsidR="001107F1">
        <w:t>ration</w:t>
      </w:r>
      <w:r>
        <w:t xml:space="preserve"> as a tax (financial) adviser</w:t>
      </w:r>
      <w:r w:rsidR="0023405F">
        <w:t xml:space="preserve"> was pending</w:t>
      </w:r>
      <w:r>
        <w:t xml:space="preserve"> </w:t>
      </w:r>
      <w:r w:rsidRPr="00952060">
        <w:t>immediately before the new regime commenced on 1</w:t>
      </w:r>
      <w:r w:rsidR="005D113E">
        <w:t> </w:t>
      </w:r>
      <w:r w:rsidRPr="00952060">
        <w:t>January 2022</w:t>
      </w:r>
      <w:r w:rsidR="0023405F">
        <w:t xml:space="preserve"> and granted </w:t>
      </w:r>
      <w:r w:rsidR="005D113E">
        <w:t>after that date</w:t>
      </w:r>
      <w:r>
        <w:t xml:space="preserve">, </w:t>
      </w:r>
      <w:r w:rsidRPr="00D922B5">
        <w:rPr>
          <w:i/>
          <w:iCs/>
        </w:rPr>
        <w:t xml:space="preserve">irrespective of whether they were also a relevant provider </w:t>
      </w:r>
      <w:r w:rsidR="005D113E" w:rsidRPr="00C12940">
        <w:rPr>
          <w:i/>
          <w:iCs/>
        </w:rPr>
        <w:t>i</w:t>
      </w:r>
      <w:r w:rsidR="005D113E" w:rsidRPr="00164C09">
        <w:rPr>
          <w:i/>
          <w:iCs/>
        </w:rPr>
        <w:t>mmediately before 1 January 2022</w:t>
      </w:r>
      <w:r>
        <w:t xml:space="preserve">. </w:t>
      </w:r>
    </w:p>
    <w:p w14:paraId="3B5901B4" w14:textId="093B2CF8" w:rsidR="00F642FF" w:rsidRPr="00AF66AB" w:rsidRDefault="00394F8B" w:rsidP="005D113E">
      <w:pPr>
        <w:spacing w:before="240" w:after="200"/>
        <w:rPr>
          <w:u w:val="single"/>
        </w:rPr>
      </w:pPr>
      <w:r>
        <w:rPr>
          <w:u w:val="single"/>
        </w:rPr>
        <w:t xml:space="preserve">Existing providers who become tax (financial) advisers </w:t>
      </w:r>
      <w:r w:rsidR="00DD7B17">
        <w:rPr>
          <w:u w:val="single"/>
        </w:rPr>
        <w:t>on or after 1 January 2022</w:t>
      </w:r>
    </w:p>
    <w:p w14:paraId="24A2436C" w14:textId="144382B0" w:rsidR="00817D75" w:rsidRDefault="00BD084E" w:rsidP="00C6634F">
      <w:pPr>
        <w:spacing w:before="240" w:after="200"/>
      </w:pPr>
      <w:r>
        <w:t>The transitional arrangements for</w:t>
      </w:r>
      <w:r w:rsidR="008D21C0">
        <w:t xml:space="preserve"> existing providers</w:t>
      </w:r>
      <w:r w:rsidR="007A5B01">
        <w:t xml:space="preserve"> outlined in the Corporations Act</w:t>
      </w:r>
      <w:r w:rsidR="00C928CA">
        <w:t xml:space="preserve"> include </w:t>
      </w:r>
      <w:r w:rsidR="00F0424A">
        <w:t xml:space="preserve">temporarily switching off their obligation to meet the qualification standard </w:t>
      </w:r>
      <w:r w:rsidR="00FD720E">
        <w:t xml:space="preserve">under </w:t>
      </w:r>
      <w:r w:rsidR="008E217C">
        <w:t>the new regime</w:t>
      </w:r>
      <w:r w:rsidR="003B5FF7">
        <w:t xml:space="preserve"> (section 1684A</w:t>
      </w:r>
      <w:r w:rsidR="00063AA0">
        <w:t xml:space="preserve"> of the </w:t>
      </w:r>
      <w:r w:rsidR="00605DD0">
        <w:t xml:space="preserve">Corporations </w:t>
      </w:r>
      <w:r w:rsidR="00063AA0">
        <w:t>Act)</w:t>
      </w:r>
      <w:r w:rsidR="008E217C">
        <w:t xml:space="preserve">. </w:t>
      </w:r>
      <w:r w:rsidR="00F15030">
        <w:t>This means</w:t>
      </w:r>
      <w:r w:rsidR="00026C8E">
        <w:t xml:space="preserve"> existing providers can continue to provide financial advice to retail clients </w:t>
      </w:r>
      <w:r w:rsidR="0056569E">
        <w:t xml:space="preserve">during a transition period </w:t>
      </w:r>
      <w:r w:rsidR="009466C7">
        <w:t>– until 31 December 2025</w:t>
      </w:r>
      <w:r w:rsidR="004B27BD">
        <w:t xml:space="preserve"> – </w:t>
      </w:r>
      <w:r w:rsidR="00ED639A">
        <w:t xml:space="preserve">while they undertake </w:t>
      </w:r>
      <w:r w:rsidR="00A75D4C">
        <w:t xml:space="preserve">any additional study required to </w:t>
      </w:r>
      <w:r w:rsidR="000D709A">
        <w:t xml:space="preserve">meet </w:t>
      </w:r>
      <w:r w:rsidR="000E4A6E">
        <w:t>the new qualifications standard</w:t>
      </w:r>
      <w:r w:rsidR="00F659C9">
        <w:t xml:space="preserve"> in section 921B</w:t>
      </w:r>
      <w:r w:rsidR="00720A34">
        <w:t xml:space="preserve"> of the Corporations Act</w:t>
      </w:r>
      <w:r w:rsidR="000E4A6E">
        <w:t xml:space="preserve">. </w:t>
      </w:r>
      <w:r w:rsidR="00E55B9A">
        <w:t xml:space="preserve">If </w:t>
      </w:r>
      <w:r w:rsidR="00E47436">
        <w:t xml:space="preserve">an existing provider has not met the qualifications standard by the end of the transition period, </w:t>
      </w:r>
      <w:r w:rsidR="00904027">
        <w:t>they will no longer be able to provide financial advice to retails clients</w:t>
      </w:r>
      <w:r w:rsidR="00F42218">
        <w:t>.</w:t>
      </w:r>
    </w:p>
    <w:p w14:paraId="57784D3F" w14:textId="61261D42" w:rsidR="0077657D" w:rsidRDefault="00C6634F" w:rsidP="00C6634F">
      <w:pPr>
        <w:spacing w:before="240" w:after="200"/>
      </w:pPr>
      <w:r>
        <w:t>S</w:t>
      </w:r>
      <w:r w:rsidR="008A28FA">
        <w:t>imilarly, s</w:t>
      </w:r>
      <w:r>
        <w:t>ection 3</w:t>
      </w:r>
      <w:r>
        <w:noBreakHyphen/>
        <w:t>172</w:t>
      </w:r>
      <w:r w:rsidR="00F659C9">
        <w:t xml:space="preserve"> of the</w:t>
      </w:r>
      <w:r w:rsidR="00165E9E" w:rsidRPr="00165E9E">
        <w:t xml:space="preserve"> </w:t>
      </w:r>
      <w:r w:rsidR="00165E9E">
        <w:t>Education and Training Standards</w:t>
      </w:r>
      <w:r w:rsidR="00F659C9">
        <w:t xml:space="preserve"> Determination</w:t>
      </w:r>
      <w:r>
        <w:t xml:space="preserve"> temporarily switches off the obligation to meet the additional study requirements outlined in Division 3 for existing providers who are not subject to the transitional arrangements under sections 3</w:t>
      </w:r>
      <w:r>
        <w:noBreakHyphen/>
        <w:t>170 and 3</w:t>
      </w:r>
      <w:r>
        <w:noBreakHyphen/>
        <w:t xml:space="preserve">171. </w:t>
      </w:r>
      <w:r w:rsidR="0018051F">
        <w:t xml:space="preserve">This means existing providers can also provide </w:t>
      </w:r>
      <w:r w:rsidR="00233721">
        <w:t xml:space="preserve">tax </w:t>
      </w:r>
      <w:r w:rsidR="0018051F">
        <w:t>(financial</w:t>
      </w:r>
      <w:r w:rsidR="00233721">
        <w:t>)</w:t>
      </w:r>
      <w:r w:rsidR="0018051F">
        <w:t xml:space="preserve"> advice to retail clients during a transition period – </w:t>
      </w:r>
      <w:r w:rsidR="00F73E12">
        <w:t xml:space="preserve">again, </w:t>
      </w:r>
      <w:r w:rsidR="0018051F">
        <w:t xml:space="preserve">until 31 December 2025 – while they undertake any additional study required to meet the </w:t>
      </w:r>
      <w:r w:rsidR="004507A1">
        <w:t xml:space="preserve">additional </w:t>
      </w:r>
      <w:r w:rsidR="006B5FA1">
        <w:t>education requirements under</w:t>
      </w:r>
      <w:r w:rsidR="0018051F">
        <w:t xml:space="preserve"> section 921B</w:t>
      </w:r>
      <w:r w:rsidR="00F73E12">
        <w:t>B</w:t>
      </w:r>
      <w:r w:rsidR="00152514">
        <w:t xml:space="preserve"> of the </w:t>
      </w:r>
      <w:r w:rsidR="00720A34">
        <w:t xml:space="preserve">Corporations </w:t>
      </w:r>
      <w:r w:rsidR="00152514">
        <w:t>Act</w:t>
      </w:r>
      <w:r w:rsidR="0018051F">
        <w:t xml:space="preserve">. If an existing provider has not </w:t>
      </w:r>
      <w:r w:rsidR="00152514">
        <w:t xml:space="preserve">completed the additional </w:t>
      </w:r>
      <w:r w:rsidR="00866CAD">
        <w:t>education requirements</w:t>
      </w:r>
      <w:r w:rsidR="0018051F">
        <w:t xml:space="preserve"> by the end of the transition period, they will no longer be able to provide </w:t>
      </w:r>
      <w:r w:rsidR="00866CAD">
        <w:t>tax (</w:t>
      </w:r>
      <w:r w:rsidR="0018051F">
        <w:t>financial</w:t>
      </w:r>
      <w:r w:rsidR="00866CAD">
        <w:t>)</w:t>
      </w:r>
      <w:r w:rsidR="0018051F">
        <w:t xml:space="preserve"> advice to retails clients.</w:t>
      </w:r>
      <w:r>
        <w:t xml:space="preserve"> </w:t>
      </w:r>
    </w:p>
    <w:p w14:paraId="66930CDE" w14:textId="446E5C13" w:rsidR="00E37FF7" w:rsidRPr="00AB3657" w:rsidRDefault="00C6634F" w:rsidP="007116CC">
      <w:pPr>
        <w:spacing w:before="240" w:after="200"/>
      </w:pPr>
      <w:r w:rsidRPr="00AA542E">
        <w:rPr>
          <w:b/>
          <w:bCs/>
        </w:rPr>
        <w:t xml:space="preserve">Item </w:t>
      </w:r>
      <w:r w:rsidR="00DE76A8">
        <w:rPr>
          <w:b/>
          <w:bCs/>
        </w:rPr>
        <w:t>4</w:t>
      </w:r>
      <w:r>
        <w:t xml:space="preserve"> amends this transitional provision </w:t>
      </w:r>
      <w:r w:rsidR="000B240A">
        <w:t>in the</w:t>
      </w:r>
      <w:r w:rsidR="00617E8E" w:rsidRPr="00617E8E">
        <w:t xml:space="preserve"> </w:t>
      </w:r>
      <w:r w:rsidR="00617E8E">
        <w:t>Education and Training Standards</w:t>
      </w:r>
      <w:r w:rsidR="000B240A">
        <w:t xml:space="preserve"> Determination </w:t>
      </w:r>
      <w:r>
        <w:t xml:space="preserve">so that it applies to any relevant provider who </w:t>
      </w:r>
      <w:r w:rsidR="000D21A4">
        <w:t>is an e</w:t>
      </w:r>
      <w:r w:rsidR="000F763E">
        <w:t>xisting provider (as defined by section 1546</w:t>
      </w:r>
      <w:r w:rsidR="001139F2">
        <w:t xml:space="preserve">A of the </w:t>
      </w:r>
      <w:r w:rsidR="00D85522">
        <w:t>Corporations </w:t>
      </w:r>
      <w:r w:rsidR="001139F2">
        <w:t>Act)</w:t>
      </w:r>
      <w:r>
        <w:t xml:space="preserve">, </w:t>
      </w:r>
      <w:r w:rsidRPr="00A90D64">
        <w:rPr>
          <w:i/>
          <w:iCs/>
        </w:rPr>
        <w:t xml:space="preserve">irrespective of whether they were also a relevant provider </w:t>
      </w:r>
      <w:r w:rsidR="00DD6AEE" w:rsidRPr="00C12940">
        <w:rPr>
          <w:i/>
          <w:iCs/>
        </w:rPr>
        <w:t>i</w:t>
      </w:r>
      <w:r w:rsidR="00DD6AEE" w:rsidRPr="00164C09">
        <w:rPr>
          <w:i/>
          <w:iCs/>
        </w:rPr>
        <w:t>mmediately before 1 January 2022</w:t>
      </w:r>
      <w:r>
        <w:t xml:space="preserve">. </w:t>
      </w:r>
      <w:r w:rsidRPr="00AA542E">
        <w:rPr>
          <w:b/>
          <w:bCs/>
        </w:rPr>
        <w:t>Item </w:t>
      </w:r>
      <w:r w:rsidR="00DE76A8">
        <w:rPr>
          <w:b/>
          <w:bCs/>
        </w:rPr>
        <w:t>3</w:t>
      </w:r>
      <w:r>
        <w:t xml:space="preserve"> amends the heading to better reflect who the provision applies to. </w:t>
      </w:r>
    </w:p>
    <w:sectPr w:rsidR="00E37FF7" w:rsidRPr="00AB3657" w:rsidSect="004A27A8">
      <w:headerReference w:type="even" r:id="rId12"/>
      <w:headerReference w:type="default" r:id="rId13"/>
      <w:footerReference w:type="even" r:id="rId14"/>
      <w:footerReference w:type="default" r:id="rId15"/>
      <w:headerReference w:type="first" r:id="rId16"/>
      <w:footerReference w:type="first" r:id="rId17"/>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52E0B" w14:textId="77777777" w:rsidR="008A51D0" w:rsidRDefault="008A51D0" w:rsidP="00954679">
      <w:pPr>
        <w:spacing w:before="0" w:after="0"/>
      </w:pPr>
      <w:r>
        <w:separator/>
      </w:r>
    </w:p>
  </w:endnote>
  <w:endnote w:type="continuationSeparator" w:id="0">
    <w:p w14:paraId="0EE110B4" w14:textId="77777777" w:rsidR="008A51D0" w:rsidRDefault="008A51D0"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E97F" w14:textId="77777777" w:rsidR="00330B4E" w:rsidRDefault="00330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B50F280"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F8FD" w14:textId="77777777" w:rsidR="00330B4E" w:rsidRDefault="00330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B2D1D" w14:textId="77777777" w:rsidR="008A51D0" w:rsidRDefault="008A51D0" w:rsidP="00954679">
      <w:pPr>
        <w:spacing w:before="0" w:after="0"/>
      </w:pPr>
      <w:r>
        <w:separator/>
      </w:r>
    </w:p>
  </w:footnote>
  <w:footnote w:type="continuationSeparator" w:id="0">
    <w:p w14:paraId="56E2F909" w14:textId="77777777" w:rsidR="008A51D0" w:rsidRDefault="008A51D0" w:rsidP="0095467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F3013" w14:textId="77777777" w:rsidR="00330B4E" w:rsidRDefault="00330B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002407"/>
      <w:docPartObj>
        <w:docPartGallery w:val="Watermarks"/>
        <w:docPartUnique/>
      </w:docPartObj>
    </w:sdtPr>
    <w:sdtEndPr/>
    <w:sdtContent>
      <w:p w14:paraId="0E656EC9" w14:textId="610E0B4A" w:rsidR="00330B4E" w:rsidRDefault="00B55005">
        <w:pPr>
          <w:pStyle w:val="Header"/>
        </w:pPr>
        <w:r>
          <w:rPr>
            <w:noProof/>
          </w:rPr>
          <w:pict w14:anchorId="0C84F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198923" o:spid="_x0000_s1025" type="#_x0000_t136" style="position:absolute;margin-left:0;margin-top:0;width:503.25pt;height:116.1pt;rotation:315;z-index:-251658752;mso-position-horizontal:center;mso-position-horizontal-relative:margin;mso-position-vertical:center;mso-position-vertical-relative:margin" o:allowincell="f" fillcolor="silver" stroked="f">
              <v:fill opacity=".5"/>
              <v:textpath style="font-family:&quot;Calibri&quot;;font-size:1pt" string="EXPOSURE 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4434" w14:textId="77777777" w:rsidR="00330B4E" w:rsidRDefault="00330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0A1"/>
    <w:multiLevelType w:val="hybridMultilevel"/>
    <w:tmpl w:val="A4886CEA"/>
    <w:lvl w:ilvl="0" w:tplc="CA1E9F5A">
      <w:start w:val="1"/>
      <w:numFmt w:val="bullet"/>
      <w:lvlText w:val=""/>
      <w:lvlJc w:val="left"/>
      <w:pPr>
        <w:ind w:left="720" w:hanging="360"/>
      </w:pPr>
      <w:rPr>
        <w:rFonts w:ascii="Symbol" w:hAnsi="Symbol"/>
      </w:rPr>
    </w:lvl>
    <w:lvl w:ilvl="1" w:tplc="D3B202EC">
      <w:start w:val="1"/>
      <w:numFmt w:val="bullet"/>
      <w:lvlText w:val=""/>
      <w:lvlJc w:val="left"/>
      <w:pPr>
        <w:ind w:left="720" w:hanging="360"/>
      </w:pPr>
      <w:rPr>
        <w:rFonts w:ascii="Symbol" w:hAnsi="Symbol"/>
      </w:rPr>
    </w:lvl>
    <w:lvl w:ilvl="2" w:tplc="5950E79C">
      <w:start w:val="1"/>
      <w:numFmt w:val="bullet"/>
      <w:lvlText w:val=""/>
      <w:lvlJc w:val="left"/>
      <w:pPr>
        <w:ind w:left="720" w:hanging="360"/>
      </w:pPr>
      <w:rPr>
        <w:rFonts w:ascii="Symbol" w:hAnsi="Symbol"/>
      </w:rPr>
    </w:lvl>
    <w:lvl w:ilvl="3" w:tplc="06623F0A">
      <w:start w:val="1"/>
      <w:numFmt w:val="bullet"/>
      <w:lvlText w:val=""/>
      <w:lvlJc w:val="left"/>
      <w:pPr>
        <w:ind w:left="720" w:hanging="360"/>
      </w:pPr>
      <w:rPr>
        <w:rFonts w:ascii="Symbol" w:hAnsi="Symbol"/>
      </w:rPr>
    </w:lvl>
    <w:lvl w:ilvl="4" w:tplc="B7E8DA4C">
      <w:start w:val="1"/>
      <w:numFmt w:val="bullet"/>
      <w:lvlText w:val=""/>
      <w:lvlJc w:val="left"/>
      <w:pPr>
        <w:ind w:left="720" w:hanging="360"/>
      </w:pPr>
      <w:rPr>
        <w:rFonts w:ascii="Symbol" w:hAnsi="Symbol"/>
      </w:rPr>
    </w:lvl>
    <w:lvl w:ilvl="5" w:tplc="58948CC4">
      <w:start w:val="1"/>
      <w:numFmt w:val="bullet"/>
      <w:lvlText w:val=""/>
      <w:lvlJc w:val="left"/>
      <w:pPr>
        <w:ind w:left="720" w:hanging="360"/>
      </w:pPr>
      <w:rPr>
        <w:rFonts w:ascii="Symbol" w:hAnsi="Symbol"/>
      </w:rPr>
    </w:lvl>
    <w:lvl w:ilvl="6" w:tplc="C50AA4AA">
      <w:start w:val="1"/>
      <w:numFmt w:val="bullet"/>
      <w:lvlText w:val=""/>
      <w:lvlJc w:val="left"/>
      <w:pPr>
        <w:ind w:left="720" w:hanging="360"/>
      </w:pPr>
      <w:rPr>
        <w:rFonts w:ascii="Symbol" w:hAnsi="Symbol"/>
      </w:rPr>
    </w:lvl>
    <w:lvl w:ilvl="7" w:tplc="AFCC980C">
      <w:start w:val="1"/>
      <w:numFmt w:val="bullet"/>
      <w:lvlText w:val=""/>
      <w:lvlJc w:val="left"/>
      <w:pPr>
        <w:ind w:left="720" w:hanging="360"/>
      </w:pPr>
      <w:rPr>
        <w:rFonts w:ascii="Symbol" w:hAnsi="Symbol"/>
      </w:rPr>
    </w:lvl>
    <w:lvl w:ilvl="8" w:tplc="756063C6">
      <w:start w:val="1"/>
      <w:numFmt w:val="bullet"/>
      <w:lvlText w:val=""/>
      <w:lvlJc w:val="left"/>
      <w:pPr>
        <w:ind w:left="720" w:hanging="360"/>
      </w:pPr>
      <w:rPr>
        <w:rFonts w:ascii="Symbol" w:hAnsi="Symbol"/>
      </w:rPr>
    </w:lvl>
  </w:abstractNum>
  <w:abstractNum w:abstractNumId="1"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755BE2"/>
    <w:multiLevelType w:val="hybridMultilevel"/>
    <w:tmpl w:val="6908D2BA"/>
    <w:lvl w:ilvl="0" w:tplc="CDFE2AE0">
      <w:start w:val="1"/>
      <w:numFmt w:val="bullet"/>
      <w:lvlText w:val=""/>
      <w:lvlJc w:val="left"/>
      <w:pPr>
        <w:ind w:left="720" w:hanging="360"/>
      </w:pPr>
      <w:rPr>
        <w:rFonts w:ascii="Symbol" w:hAnsi="Symbol"/>
      </w:rPr>
    </w:lvl>
    <w:lvl w:ilvl="1" w:tplc="3C782F30">
      <w:start w:val="1"/>
      <w:numFmt w:val="bullet"/>
      <w:lvlText w:val=""/>
      <w:lvlJc w:val="left"/>
      <w:pPr>
        <w:ind w:left="720" w:hanging="360"/>
      </w:pPr>
      <w:rPr>
        <w:rFonts w:ascii="Symbol" w:hAnsi="Symbol"/>
      </w:rPr>
    </w:lvl>
    <w:lvl w:ilvl="2" w:tplc="C1BAA25E">
      <w:start w:val="1"/>
      <w:numFmt w:val="bullet"/>
      <w:lvlText w:val=""/>
      <w:lvlJc w:val="left"/>
      <w:pPr>
        <w:ind w:left="720" w:hanging="360"/>
      </w:pPr>
      <w:rPr>
        <w:rFonts w:ascii="Symbol" w:hAnsi="Symbol"/>
      </w:rPr>
    </w:lvl>
    <w:lvl w:ilvl="3" w:tplc="9F8643D8">
      <w:start w:val="1"/>
      <w:numFmt w:val="bullet"/>
      <w:lvlText w:val=""/>
      <w:lvlJc w:val="left"/>
      <w:pPr>
        <w:ind w:left="720" w:hanging="360"/>
      </w:pPr>
      <w:rPr>
        <w:rFonts w:ascii="Symbol" w:hAnsi="Symbol"/>
      </w:rPr>
    </w:lvl>
    <w:lvl w:ilvl="4" w:tplc="00644FBA">
      <w:start w:val="1"/>
      <w:numFmt w:val="bullet"/>
      <w:lvlText w:val=""/>
      <w:lvlJc w:val="left"/>
      <w:pPr>
        <w:ind w:left="720" w:hanging="360"/>
      </w:pPr>
      <w:rPr>
        <w:rFonts w:ascii="Symbol" w:hAnsi="Symbol"/>
      </w:rPr>
    </w:lvl>
    <w:lvl w:ilvl="5" w:tplc="E95E52AA">
      <w:start w:val="1"/>
      <w:numFmt w:val="bullet"/>
      <w:lvlText w:val=""/>
      <w:lvlJc w:val="left"/>
      <w:pPr>
        <w:ind w:left="720" w:hanging="360"/>
      </w:pPr>
      <w:rPr>
        <w:rFonts w:ascii="Symbol" w:hAnsi="Symbol"/>
      </w:rPr>
    </w:lvl>
    <w:lvl w:ilvl="6" w:tplc="D4EE6B20">
      <w:start w:val="1"/>
      <w:numFmt w:val="bullet"/>
      <w:lvlText w:val=""/>
      <w:lvlJc w:val="left"/>
      <w:pPr>
        <w:ind w:left="720" w:hanging="360"/>
      </w:pPr>
      <w:rPr>
        <w:rFonts w:ascii="Symbol" w:hAnsi="Symbol"/>
      </w:rPr>
    </w:lvl>
    <w:lvl w:ilvl="7" w:tplc="3996C14E">
      <w:start w:val="1"/>
      <w:numFmt w:val="bullet"/>
      <w:lvlText w:val=""/>
      <w:lvlJc w:val="left"/>
      <w:pPr>
        <w:ind w:left="720" w:hanging="360"/>
      </w:pPr>
      <w:rPr>
        <w:rFonts w:ascii="Symbol" w:hAnsi="Symbol"/>
      </w:rPr>
    </w:lvl>
    <w:lvl w:ilvl="8" w:tplc="69648FD6">
      <w:start w:val="1"/>
      <w:numFmt w:val="bullet"/>
      <w:lvlText w:val=""/>
      <w:lvlJc w:val="left"/>
      <w:pPr>
        <w:ind w:left="720" w:hanging="360"/>
      </w:pPr>
      <w:rPr>
        <w:rFonts w:ascii="Symbol" w:hAnsi="Symbol"/>
      </w:rPr>
    </w:lvl>
  </w:abstractNum>
  <w:abstractNum w:abstractNumId="4"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5" w15:restartNumberingAfterBreak="0">
    <w:nsid w:val="67A43C0B"/>
    <w:multiLevelType w:val="multilevel"/>
    <w:tmpl w:val="3524201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1953478"/>
    <w:multiLevelType w:val="hybridMultilevel"/>
    <w:tmpl w:val="EAD6AAF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2919768">
    <w:abstractNumId w:val="4"/>
  </w:num>
  <w:num w:numId="2" w16cid:durableId="92435628">
    <w:abstractNumId w:val="5"/>
  </w:num>
  <w:num w:numId="3" w16cid:durableId="102648425">
    <w:abstractNumId w:val="2"/>
  </w:num>
  <w:num w:numId="4" w16cid:durableId="1451314351">
    <w:abstractNumId w:val="1"/>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2094741990">
    <w:abstractNumId w:val="6"/>
  </w:num>
  <w:num w:numId="18" w16cid:durableId="1204749306">
    <w:abstractNumId w:val="3"/>
  </w:num>
  <w:num w:numId="19" w16cid:durableId="218244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4E"/>
    <w:rsid w:val="000005A5"/>
    <w:rsid w:val="00000A6B"/>
    <w:rsid w:val="000026BE"/>
    <w:rsid w:val="00003189"/>
    <w:rsid w:val="00004395"/>
    <w:rsid w:val="00005B13"/>
    <w:rsid w:val="00005B51"/>
    <w:rsid w:val="00005B8D"/>
    <w:rsid w:val="0000628C"/>
    <w:rsid w:val="00006ADA"/>
    <w:rsid w:val="00006CD0"/>
    <w:rsid w:val="00012873"/>
    <w:rsid w:val="0001304A"/>
    <w:rsid w:val="00013390"/>
    <w:rsid w:val="000136BD"/>
    <w:rsid w:val="00016EA2"/>
    <w:rsid w:val="00020E8C"/>
    <w:rsid w:val="00021F91"/>
    <w:rsid w:val="000247F4"/>
    <w:rsid w:val="00024C40"/>
    <w:rsid w:val="0002546A"/>
    <w:rsid w:val="00025E77"/>
    <w:rsid w:val="00026C8E"/>
    <w:rsid w:val="00027F3C"/>
    <w:rsid w:val="00031AE1"/>
    <w:rsid w:val="0003426E"/>
    <w:rsid w:val="00036090"/>
    <w:rsid w:val="000365E0"/>
    <w:rsid w:val="00037894"/>
    <w:rsid w:val="00037BEA"/>
    <w:rsid w:val="00040464"/>
    <w:rsid w:val="00040A3C"/>
    <w:rsid w:val="00040DDC"/>
    <w:rsid w:val="00041C87"/>
    <w:rsid w:val="000455BA"/>
    <w:rsid w:val="00050161"/>
    <w:rsid w:val="00051648"/>
    <w:rsid w:val="000524A9"/>
    <w:rsid w:val="0005316A"/>
    <w:rsid w:val="00053D23"/>
    <w:rsid w:val="00054101"/>
    <w:rsid w:val="000547DB"/>
    <w:rsid w:val="00055B96"/>
    <w:rsid w:val="000567D6"/>
    <w:rsid w:val="00056BD0"/>
    <w:rsid w:val="000576C4"/>
    <w:rsid w:val="00060679"/>
    <w:rsid w:val="00061468"/>
    <w:rsid w:val="00062563"/>
    <w:rsid w:val="00062F33"/>
    <w:rsid w:val="00063AA0"/>
    <w:rsid w:val="00064327"/>
    <w:rsid w:val="0006461C"/>
    <w:rsid w:val="0006518B"/>
    <w:rsid w:val="00065307"/>
    <w:rsid w:val="000724C8"/>
    <w:rsid w:val="00073F7C"/>
    <w:rsid w:val="00074094"/>
    <w:rsid w:val="00075268"/>
    <w:rsid w:val="00075A77"/>
    <w:rsid w:val="00076178"/>
    <w:rsid w:val="00076E15"/>
    <w:rsid w:val="00076FF9"/>
    <w:rsid w:val="00077719"/>
    <w:rsid w:val="00080673"/>
    <w:rsid w:val="00084720"/>
    <w:rsid w:val="00084821"/>
    <w:rsid w:val="000854E0"/>
    <w:rsid w:val="000856E1"/>
    <w:rsid w:val="000864E2"/>
    <w:rsid w:val="0008741E"/>
    <w:rsid w:val="00087A40"/>
    <w:rsid w:val="00092E31"/>
    <w:rsid w:val="00095211"/>
    <w:rsid w:val="000A2DA1"/>
    <w:rsid w:val="000A5579"/>
    <w:rsid w:val="000A60F1"/>
    <w:rsid w:val="000A69C5"/>
    <w:rsid w:val="000B240A"/>
    <w:rsid w:val="000B39A1"/>
    <w:rsid w:val="000C10DF"/>
    <w:rsid w:val="000C23ED"/>
    <w:rsid w:val="000C2E12"/>
    <w:rsid w:val="000C3445"/>
    <w:rsid w:val="000C3ECC"/>
    <w:rsid w:val="000C44C8"/>
    <w:rsid w:val="000C4B61"/>
    <w:rsid w:val="000C5C40"/>
    <w:rsid w:val="000C6935"/>
    <w:rsid w:val="000D11E5"/>
    <w:rsid w:val="000D1E1A"/>
    <w:rsid w:val="000D21A4"/>
    <w:rsid w:val="000D2234"/>
    <w:rsid w:val="000D5827"/>
    <w:rsid w:val="000D59B4"/>
    <w:rsid w:val="000D5B91"/>
    <w:rsid w:val="000D6DCD"/>
    <w:rsid w:val="000D709A"/>
    <w:rsid w:val="000D7272"/>
    <w:rsid w:val="000D78DF"/>
    <w:rsid w:val="000E067F"/>
    <w:rsid w:val="000E272C"/>
    <w:rsid w:val="000E32E3"/>
    <w:rsid w:val="000E4A6E"/>
    <w:rsid w:val="000F1F12"/>
    <w:rsid w:val="000F3A05"/>
    <w:rsid w:val="000F45CE"/>
    <w:rsid w:val="000F53D9"/>
    <w:rsid w:val="000F763E"/>
    <w:rsid w:val="001012C2"/>
    <w:rsid w:val="00101BE4"/>
    <w:rsid w:val="00103D2F"/>
    <w:rsid w:val="00104B30"/>
    <w:rsid w:val="001107F1"/>
    <w:rsid w:val="00110C9A"/>
    <w:rsid w:val="00110F8C"/>
    <w:rsid w:val="00113054"/>
    <w:rsid w:val="001139F2"/>
    <w:rsid w:val="00113ABA"/>
    <w:rsid w:val="00113B45"/>
    <w:rsid w:val="00114003"/>
    <w:rsid w:val="001145F4"/>
    <w:rsid w:val="0011527C"/>
    <w:rsid w:val="00115575"/>
    <w:rsid w:val="001168CE"/>
    <w:rsid w:val="0011786F"/>
    <w:rsid w:val="00117C02"/>
    <w:rsid w:val="00121BB9"/>
    <w:rsid w:val="00123D96"/>
    <w:rsid w:val="00125260"/>
    <w:rsid w:val="00126C49"/>
    <w:rsid w:val="001276B4"/>
    <w:rsid w:val="00130102"/>
    <w:rsid w:val="00130CF8"/>
    <w:rsid w:val="001319C8"/>
    <w:rsid w:val="00132587"/>
    <w:rsid w:val="001331B7"/>
    <w:rsid w:val="0013325E"/>
    <w:rsid w:val="00133D7A"/>
    <w:rsid w:val="00134117"/>
    <w:rsid w:val="00135150"/>
    <w:rsid w:val="001355C1"/>
    <w:rsid w:val="001356EA"/>
    <w:rsid w:val="001360F7"/>
    <w:rsid w:val="00136761"/>
    <w:rsid w:val="00142BCF"/>
    <w:rsid w:val="00143364"/>
    <w:rsid w:val="001457C7"/>
    <w:rsid w:val="0014608E"/>
    <w:rsid w:val="00147981"/>
    <w:rsid w:val="00147ED0"/>
    <w:rsid w:val="00150EE1"/>
    <w:rsid w:val="00151781"/>
    <w:rsid w:val="001517C3"/>
    <w:rsid w:val="00152514"/>
    <w:rsid w:val="00152B5E"/>
    <w:rsid w:val="00153161"/>
    <w:rsid w:val="00153C61"/>
    <w:rsid w:val="00161139"/>
    <w:rsid w:val="00165E9E"/>
    <w:rsid w:val="00166766"/>
    <w:rsid w:val="00166E5D"/>
    <w:rsid w:val="00170333"/>
    <w:rsid w:val="00172B5A"/>
    <w:rsid w:val="00173EB6"/>
    <w:rsid w:val="00174C47"/>
    <w:rsid w:val="00175D3A"/>
    <w:rsid w:val="0018019B"/>
    <w:rsid w:val="0018051F"/>
    <w:rsid w:val="00180B4A"/>
    <w:rsid w:val="0018497B"/>
    <w:rsid w:val="00186318"/>
    <w:rsid w:val="0018648A"/>
    <w:rsid w:val="0018693F"/>
    <w:rsid w:val="00187857"/>
    <w:rsid w:val="0019144D"/>
    <w:rsid w:val="00194654"/>
    <w:rsid w:val="00195A29"/>
    <w:rsid w:val="00195B90"/>
    <w:rsid w:val="001A198C"/>
    <w:rsid w:val="001A6EF2"/>
    <w:rsid w:val="001B2551"/>
    <w:rsid w:val="001B2DDA"/>
    <w:rsid w:val="001B4919"/>
    <w:rsid w:val="001B4D74"/>
    <w:rsid w:val="001B5080"/>
    <w:rsid w:val="001B7535"/>
    <w:rsid w:val="001B7EC2"/>
    <w:rsid w:val="001C0477"/>
    <w:rsid w:val="001C0514"/>
    <w:rsid w:val="001C2809"/>
    <w:rsid w:val="001D135C"/>
    <w:rsid w:val="001D1B0D"/>
    <w:rsid w:val="001D48B1"/>
    <w:rsid w:val="001D4ECB"/>
    <w:rsid w:val="001E2E53"/>
    <w:rsid w:val="001E6A74"/>
    <w:rsid w:val="001F1262"/>
    <w:rsid w:val="001F18BE"/>
    <w:rsid w:val="001F41D0"/>
    <w:rsid w:val="001F462C"/>
    <w:rsid w:val="0020145F"/>
    <w:rsid w:val="00202FED"/>
    <w:rsid w:val="00203128"/>
    <w:rsid w:val="00206ED7"/>
    <w:rsid w:val="002071C8"/>
    <w:rsid w:val="00210C9F"/>
    <w:rsid w:val="00212F3B"/>
    <w:rsid w:val="0022088A"/>
    <w:rsid w:val="00220F16"/>
    <w:rsid w:val="00221082"/>
    <w:rsid w:val="00222E46"/>
    <w:rsid w:val="0022681B"/>
    <w:rsid w:val="00231837"/>
    <w:rsid w:val="00233249"/>
    <w:rsid w:val="00233721"/>
    <w:rsid w:val="00233B2A"/>
    <w:rsid w:val="0023405F"/>
    <w:rsid w:val="002349A0"/>
    <w:rsid w:val="00235C3A"/>
    <w:rsid w:val="00237DC5"/>
    <w:rsid w:val="00240D31"/>
    <w:rsid w:val="002417FB"/>
    <w:rsid w:val="0024245F"/>
    <w:rsid w:val="00242799"/>
    <w:rsid w:val="00243A22"/>
    <w:rsid w:val="00245D83"/>
    <w:rsid w:val="002465EA"/>
    <w:rsid w:val="00252997"/>
    <w:rsid w:val="002540A2"/>
    <w:rsid w:val="00254C5B"/>
    <w:rsid w:val="002554F9"/>
    <w:rsid w:val="00260036"/>
    <w:rsid w:val="00261E20"/>
    <w:rsid w:val="0026215E"/>
    <w:rsid w:val="002648F2"/>
    <w:rsid w:val="002660CE"/>
    <w:rsid w:val="00267ED9"/>
    <w:rsid w:val="0027118E"/>
    <w:rsid w:val="002725F4"/>
    <w:rsid w:val="002750B9"/>
    <w:rsid w:val="00276BC6"/>
    <w:rsid w:val="002771E5"/>
    <w:rsid w:val="00277840"/>
    <w:rsid w:val="0028116A"/>
    <w:rsid w:val="00281AB7"/>
    <w:rsid w:val="00287567"/>
    <w:rsid w:val="00287C5A"/>
    <w:rsid w:val="00287D0D"/>
    <w:rsid w:val="00291568"/>
    <w:rsid w:val="0029157C"/>
    <w:rsid w:val="00293839"/>
    <w:rsid w:val="00295784"/>
    <w:rsid w:val="00296515"/>
    <w:rsid w:val="002A1236"/>
    <w:rsid w:val="002A2D7A"/>
    <w:rsid w:val="002A3C5D"/>
    <w:rsid w:val="002A3C80"/>
    <w:rsid w:val="002A48F3"/>
    <w:rsid w:val="002A570B"/>
    <w:rsid w:val="002A6910"/>
    <w:rsid w:val="002A6DA4"/>
    <w:rsid w:val="002A7B74"/>
    <w:rsid w:val="002A7E1F"/>
    <w:rsid w:val="002B28C8"/>
    <w:rsid w:val="002B5193"/>
    <w:rsid w:val="002B6649"/>
    <w:rsid w:val="002C0792"/>
    <w:rsid w:val="002C0A5A"/>
    <w:rsid w:val="002C226C"/>
    <w:rsid w:val="002C306F"/>
    <w:rsid w:val="002C3EE2"/>
    <w:rsid w:val="002C6157"/>
    <w:rsid w:val="002C7A8B"/>
    <w:rsid w:val="002D196E"/>
    <w:rsid w:val="002D2651"/>
    <w:rsid w:val="002D36C4"/>
    <w:rsid w:val="002D4B55"/>
    <w:rsid w:val="002D4BBF"/>
    <w:rsid w:val="002E194D"/>
    <w:rsid w:val="002E21A9"/>
    <w:rsid w:val="002E5366"/>
    <w:rsid w:val="002E73BB"/>
    <w:rsid w:val="002F022D"/>
    <w:rsid w:val="002F1B53"/>
    <w:rsid w:val="002F1E54"/>
    <w:rsid w:val="002F21AD"/>
    <w:rsid w:val="002F34D6"/>
    <w:rsid w:val="002F41B8"/>
    <w:rsid w:val="002F6BB1"/>
    <w:rsid w:val="003012EA"/>
    <w:rsid w:val="003017D1"/>
    <w:rsid w:val="00301E87"/>
    <w:rsid w:val="00302EAE"/>
    <w:rsid w:val="003037F8"/>
    <w:rsid w:val="003041FA"/>
    <w:rsid w:val="00304C00"/>
    <w:rsid w:val="00305C39"/>
    <w:rsid w:val="00307A41"/>
    <w:rsid w:val="00311856"/>
    <w:rsid w:val="00312A68"/>
    <w:rsid w:val="00315E57"/>
    <w:rsid w:val="0032223A"/>
    <w:rsid w:val="00324684"/>
    <w:rsid w:val="00330B4E"/>
    <w:rsid w:val="00331E5F"/>
    <w:rsid w:val="003330A0"/>
    <w:rsid w:val="00333A5F"/>
    <w:rsid w:val="003342CD"/>
    <w:rsid w:val="0033477F"/>
    <w:rsid w:val="003347A6"/>
    <w:rsid w:val="00335042"/>
    <w:rsid w:val="00336EFF"/>
    <w:rsid w:val="00341642"/>
    <w:rsid w:val="003452A8"/>
    <w:rsid w:val="00355872"/>
    <w:rsid w:val="00355FC7"/>
    <w:rsid w:val="00356FB7"/>
    <w:rsid w:val="0035710A"/>
    <w:rsid w:val="00357733"/>
    <w:rsid w:val="003603C1"/>
    <w:rsid w:val="00360C0A"/>
    <w:rsid w:val="00362B70"/>
    <w:rsid w:val="0036346E"/>
    <w:rsid w:val="003634AA"/>
    <w:rsid w:val="00363A88"/>
    <w:rsid w:val="00364DEE"/>
    <w:rsid w:val="003662D0"/>
    <w:rsid w:val="00370395"/>
    <w:rsid w:val="0037180D"/>
    <w:rsid w:val="00371BB9"/>
    <w:rsid w:val="00372E22"/>
    <w:rsid w:val="0037369E"/>
    <w:rsid w:val="0037379C"/>
    <w:rsid w:val="00373853"/>
    <w:rsid w:val="00373F14"/>
    <w:rsid w:val="003759AA"/>
    <w:rsid w:val="0037766F"/>
    <w:rsid w:val="00380293"/>
    <w:rsid w:val="00381784"/>
    <w:rsid w:val="0038291A"/>
    <w:rsid w:val="00383120"/>
    <w:rsid w:val="00383822"/>
    <w:rsid w:val="003840CF"/>
    <w:rsid w:val="003840D0"/>
    <w:rsid w:val="00384CC2"/>
    <w:rsid w:val="00385D6C"/>
    <w:rsid w:val="00386313"/>
    <w:rsid w:val="003903C8"/>
    <w:rsid w:val="00391A24"/>
    <w:rsid w:val="00391A94"/>
    <w:rsid w:val="00392BBA"/>
    <w:rsid w:val="00392C0C"/>
    <w:rsid w:val="00394EB8"/>
    <w:rsid w:val="00394F8B"/>
    <w:rsid w:val="003954FD"/>
    <w:rsid w:val="00397A7D"/>
    <w:rsid w:val="003A40E8"/>
    <w:rsid w:val="003A435D"/>
    <w:rsid w:val="003A5BC7"/>
    <w:rsid w:val="003A7508"/>
    <w:rsid w:val="003A7D72"/>
    <w:rsid w:val="003B19DD"/>
    <w:rsid w:val="003B2F64"/>
    <w:rsid w:val="003B31F4"/>
    <w:rsid w:val="003B4356"/>
    <w:rsid w:val="003B5FF7"/>
    <w:rsid w:val="003B75AC"/>
    <w:rsid w:val="003C1584"/>
    <w:rsid w:val="003C445C"/>
    <w:rsid w:val="003C4714"/>
    <w:rsid w:val="003C5719"/>
    <w:rsid w:val="003C696F"/>
    <w:rsid w:val="003C7907"/>
    <w:rsid w:val="003C7B82"/>
    <w:rsid w:val="003D0B99"/>
    <w:rsid w:val="003D392B"/>
    <w:rsid w:val="003D60D7"/>
    <w:rsid w:val="003D63D7"/>
    <w:rsid w:val="003D78D9"/>
    <w:rsid w:val="003D78F1"/>
    <w:rsid w:val="003E0411"/>
    <w:rsid w:val="003E13EB"/>
    <w:rsid w:val="003E1C8F"/>
    <w:rsid w:val="003E1CE3"/>
    <w:rsid w:val="003E24F3"/>
    <w:rsid w:val="003E4521"/>
    <w:rsid w:val="003E77BC"/>
    <w:rsid w:val="003E789B"/>
    <w:rsid w:val="003F02EC"/>
    <w:rsid w:val="003F17A4"/>
    <w:rsid w:val="003F1A5D"/>
    <w:rsid w:val="003F2FE9"/>
    <w:rsid w:val="003F3B86"/>
    <w:rsid w:val="003F5C52"/>
    <w:rsid w:val="003F6378"/>
    <w:rsid w:val="003F76DF"/>
    <w:rsid w:val="004000AE"/>
    <w:rsid w:val="00401AE8"/>
    <w:rsid w:val="004049A9"/>
    <w:rsid w:val="004079F0"/>
    <w:rsid w:val="00407DAF"/>
    <w:rsid w:val="00410650"/>
    <w:rsid w:val="00412BB6"/>
    <w:rsid w:val="00414119"/>
    <w:rsid w:val="00414B03"/>
    <w:rsid w:val="00416ED4"/>
    <w:rsid w:val="00421C1A"/>
    <w:rsid w:val="00422027"/>
    <w:rsid w:val="0042275A"/>
    <w:rsid w:val="00432F62"/>
    <w:rsid w:val="00433AA2"/>
    <w:rsid w:val="00436952"/>
    <w:rsid w:val="00437E3D"/>
    <w:rsid w:val="00441EF6"/>
    <w:rsid w:val="0044313B"/>
    <w:rsid w:val="00444678"/>
    <w:rsid w:val="00444D8C"/>
    <w:rsid w:val="00445B07"/>
    <w:rsid w:val="004507A1"/>
    <w:rsid w:val="00454E2D"/>
    <w:rsid w:val="00455F12"/>
    <w:rsid w:val="004577E7"/>
    <w:rsid w:val="00457869"/>
    <w:rsid w:val="0046149E"/>
    <w:rsid w:val="00462095"/>
    <w:rsid w:val="00463F12"/>
    <w:rsid w:val="00463F8E"/>
    <w:rsid w:val="00464356"/>
    <w:rsid w:val="00466731"/>
    <w:rsid w:val="00466AF8"/>
    <w:rsid w:val="00466DD5"/>
    <w:rsid w:val="00467E83"/>
    <w:rsid w:val="00471E30"/>
    <w:rsid w:val="0047265F"/>
    <w:rsid w:val="00472765"/>
    <w:rsid w:val="00473B71"/>
    <w:rsid w:val="004755FE"/>
    <w:rsid w:val="00475793"/>
    <w:rsid w:val="00480B15"/>
    <w:rsid w:val="0048215C"/>
    <w:rsid w:val="00482B81"/>
    <w:rsid w:val="00482D4C"/>
    <w:rsid w:val="00483475"/>
    <w:rsid w:val="004838E4"/>
    <w:rsid w:val="0048426F"/>
    <w:rsid w:val="0048463A"/>
    <w:rsid w:val="004859DF"/>
    <w:rsid w:val="0048776E"/>
    <w:rsid w:val="00490E8C"/>
    <w:rsid w:val="00492BF6"/>
    <w:rsid w:val="004930E0"/>
    <w:rsid w:val="00496F13"/>
    <w:rsid w:val="00497C5C"/>
    <w:rsid w:val="004A10CE"/>
    <w:rsid w:val="004A13D6"/>
    <w:rsid w:val="004A1638"/>
    <w:rsid w:val="004A1E97"/>
    <w:rsid w:val="004A2260"/>
    <w:rsid w:val="004A2745"/>
    <w:rsid w:val="004A27A8"/>
    <w:rsid w:val="004A283E"/>
    <w:rsid w:val="004A3018"/>
    <w:rsid w:val="004A3154"/>
    <w:rsid w:val="004A3C56"/>
    <w:rsid w:val="004A4499"/>
    <w:rsid w:val="004A44D8"/>
    <w:rsid w:val="004A52C5"/>
    <w:rsid w:val="004B18DA"/>
    <w:rsid w:val="004B21D2"/>
    <w:rsid w:val="004B27BD"/>
    <w:rsid w:val="004B2D14"/>
    <w:rsid w:val="004B3C0F"/>
    <w:rsid w:val="004B4A3C"/>
    <w:rsid w:val="004B4E94"/>
    <w:rsid w:val="004B5C78"/>
    <w:rsid w:val="004B65F0"/>
    <w:rsid w:val="004B6C9F"/>
    <w:rsid w:val="004C05E4"/>
    <w:rsid w:val="004C07C0"/>
    <w:rsid w:val="004C28DF"/>
    <w:rsid w:val="004C2C8B"/>
    <w:rsid w:val="004C2CF6"/>
    <w:rsid w:val="004C4C45"/>
    <w:rsid w:val="004C6A73"/>
    <w:rsid w:val="004D3978"/>
    <w:rsid w:val="004D4AE5"/>
    <w:rsid w:val="004D6906"/>
    <w:rsid w:val="004D6ABD"/>
    <w:rsid w:val="004E2EE7"/>
    <w:rsid w:val="004E3590"/>
    <w:rsid w:val="004E3657"/>
    <w:rsid w:val="004E39E1"/>
    <w:rsid w:val="004E4B9F"/>
    <w:rsid w:val="004E78DA"/>
    <w:rsid w:val="004F00BA"/>
    <w:rsid w:val="004F011F"/>
    <w:rsid w:val="004F03F4"/>
    <w:rsid w:val="004F09C4"/>
    <w:rsid w:val="004F286C"/>
    <w:rsid w:val="004F4C00"/>
    <w:rsid w:val="004F56D0"/>
    <w:rsid w:val="004F6E42"/>
    <w:rsid w:val="004F7C39"/>
    <w:rsid w:val="004F7F23"/>
    <w:rsid w:val="00500D6D"/>
    <w:rsid w:val="0050235E"/>
    <w:rsid w:val="00502AAF"/>
    <w:rsid w:val="00503A99"/>
    <w:rsid w:val="00503E44"/>
    <w:rsid w:val="00503F64"/>
    <w:rsid w:val="0050777E"/>
    <w:rsid w:val="00507CFF"/>
    <w:rsid w:val="00511874"/>
    <w:rsid w:val="00511C03"/>
    <w:rsid w:val="00512DBB"/>
    <w:rsid w:val="00513FE8"/>
    <w:rsid w:val="0051429B"/>
    <w:rsid w:val="005149C2"/>
    <w:rsid w:val="00514A3F"/>
    <w:rsid w:val="00515283"/>
    <w:rsid w:val="005227CE"/>
    <w:rsid w:val="005231C5"/>
    <w:rsid w:val="005234E5"/>
    <w:rsid w:val="00526BA6"/>
    <w:rsid w:val="0052758E"/>
    <w:rsid w:val="00530229"/>
    <w:rsid w:val="005312DF"/>
    <w:rsid w:val="00532CC2"/>
    <w:rsid w:val="00533926"/>
    <w:rsid w:val="00536243"/>
    <w:rsid w:val="00537FB7"/>
    <w:rsid w:val="005411D1"/>
    <w:rsid w:val="0054135F"/>
    <w:rsid w:val="00542873"/>
    <w:rsid w:val="00542FD7"/>
    <w:rsid w:val="00546B1A"/>
    <w:rsid w:val="00547004"/>
    <w:rsid w:val="005561D4"/>
    <w:rsid w:val="0055675D"/>
    <w:rsid w:val="005573C4"/>
    <w:rsid w:val="00560C86"/>
    <w:rsid w:val="00562265"/>
    <w:rsid w:val="00564547"/>
    <w:rsid w:val="00564E79"/>
    <w:rsid w:val="0056569E"/>
    <w:rsid w:val="00566941"/>
    <w:rsid w:val="00566E8F"/>
    <w:rsid w:val="005709DE"/>
    <w:rsid w:val="00571E0D"/>
    <w:rsid w:val="005726BA"/>
    <w:rsid w:val="00573FFC"/>
    <w:rsid w:val="0057422E"/>
    <w:rsid w:val="00575C9C"/>
    <w:rsid w:val="005833BE"/>
    <w:rsid w:val="005858FB"/>
    <w:rsid w:val="00590E51"/>
    <w:rsid w:val="00591992"/>
    <w:rsid w:val="00591AE9"/>
    <w:rsid w:val="00592351"/>
    <w:rsid w:val="0059302A"/>
    <w:rsid w:val="00593AE2"/>
    <w:rsid w:val="00594794"/>
    <w:rsid w:val="00594D74"/>
    <w:rsid w:val="005A2572"/>
    <w:rsid w:val="005A4CF1"/>
    <w:rsid w:val="005A5040"/>
    <w:rsid w:val="005A7E63"/>
    <w:rsid w:val="005B1B6E"/>
    <w:rsid w:val="005B3AF1"/>
    <w:rsid w:val="005B62CD"/>
    <w:rsid w:val="005B6562"/>
    <w:rsid w:val="005B6D08"/>
    <w:rsid w:val="005B6D0B"/>
    <w:rsid w:val="005C02BA"/>
    <w:rsid w:val="005C032C"/>
    <w:rsid w:val="005C73D6"/>
    <w:rsid w:val="005D0E07"/>
    <w:rsid w:val="005D113E"/>
    <w:rsid w:val="005D2168"/>
    <w:rsid w:val="005D3783"/>
    <w:rsid w:val="005D75B1"/>
    <w:rsid w:val="005D7D5A"/>
    <w:rsid w:val="005D7E35"/>
    <w:rsid w:val="005E06F7"/>
    <w:rsid w:val="005E4792"/>
    <w:rsid w:val="005E4BAC"/>
    <w:rsid w:val="005E580A"/>
    <w:rsid w:val="005F0ABE"/>
    <w:rsid w:val="005F0E16"/>
    <w:rsid w:val="005F0FA6"/>
    <w:rsid w:val="005F10A9"/>
    <w:rsid w:val="005F1BC2"/>
    <w:rsid w:val="005F25FB"/>
    <w:rsid w:val="00600C70"/>
    <w:rsid w:val="0060130D"/>
    <w:rsid w:val="00604F27"/>
    <w:rsid w:val="00605DD0"/>
    <w:rsid w:val="00606217"/>
    <w:rsid w:val="00606671"/>
    <w:rsid w:val="006100E5"/>
    <w:rsid w:val="00610C59"/>
    <w:rsid w:val="00611A77"/>
    <w:rsid w:val="00611E35"/>
    <w:rsid w:val="00612329"/>
    <w:rsid w:val="006137A6"/>
    <w:rsid w:val="00613B16"/>
    <w:rsid w:val="00614EE9"/>
    <w:rsid w:val="00615574"/>
    <w:rsid w:val="00617E8E"/>
    <w:rsid w:val="00621AC9"/>
    <w:rsid w:val="006236E2"/>
    <w:rsid w:val="00623F9C"/>
    <w:rsid w:val="006243C6"/>
    <w:rsid w:val="006249BD"/>
    <w:rsid w:val="006251B7"/>
    <w:rsid w:val="0062715B"/>
    <w:rsid w:val="00630893"/>
    <w:rsid w:val="00635516"/>
    <w:rsid w:val="00641051"/>
    <w:rsid w:val="00641214"/>
    <w:rsid w:val="0064129F"/>
    <w:rsid w:val="0064309D"/>
    <w:rsid w:val="00643493"/>
    <w:rsid w:val="00644CBC"/>
    <w:rsid w:val="00645165"/>
    <w:rsid w:val="006462E3"/>
    <w:rsid w:val="00646F6B"/>
    <w:rsid w:val="00647BB7"/>
    <w:rsid w:val="0065355C"/>
    <w:rsid w:val="00654EB5"/>
    <w:rsid w:val="00655ED5"/>
    <w:rsid w:val="00660441"/>
    <w:rsid w:val="00660448"/>
    <w:rsid w:val="00660F56"/>
    <w:rsid w:val="006614F7"/>
    <w:rsid w:val="00663010"/>
    <w:rsid w:val="006630B5"/>
    <w:rsid w:val="006640CB"/>
    <w:rsid w:val="0066524B"/>
    <w:rsid w:val="00666F52"/>
    <w:rsid w:val="00667241"/>
    <w:rsid w:val="00667432"/>
    <w:rsid w:val="006711DF"/>
    <w:rsid w:val="00671204"/>
    <w:rsid w:val="00671992"/>
    <w:rsid w:val="00680297"/>
    <w:rsid w:val="0068046D"/>
    <w:rsid w:val="00680871"/>
    <w:rsid w:val="00680BD8"/>
    <w:rsid w:val="00683956"/>
    <w:rsid w:val="00685879"/>
    <w:rsid w:val="00685F9F"/>
    <w:rsid w:val="0068613C"/>
    <w:rsid w:val="00686EDC"/>
    <w:rsid w:val="006873CE"/>
    <w:rsid w:val="0069001E"/>
    <w:rsid w:val="0069021E"/>
    <w:rsid w:val="00690E00"/>
    <w:rsid w:val="00691846"/>
    <w:rsid w:val="0069205F"/>
    <w:rsid w:val="006943DE"/>
    <w:rsid w:val="00696105"/>
    <w:rsid w:val="006970ED"/>
    <w:rsid w:val="006A0786"/>
    <w:rsid w:val="006A11D6"/>
    <w:rsid w:val="006A1523"/>
    <w:rsid w:val="006A3157"/>
    <w:rsid w:val="006A31FD"/>
    <w:rsid w:val="006A4D7D"/>
    <w:rsid w:val="006A5CD1"/>
    <w:rsid w:val="006A7A85"/>
    <w:rsid w:val="006B023C"/>
    <w:rsid w:val="006B036F"/>
    <w:rsid w:val="006B520A"/>
    <w:rsid w:val="006B523A"/>
    <w:rsid w:val="006B5C01"/>
    <w:rsid w:val="006B5FA1"/>
    <w:rsid w:val="006B7429"/>
    <w:rsid w:val="006C170A"/>
    <w:rsid w:val="006C499B"/>
    <w:rsid w:val="006C6C15"/>
    <w:rsid w:val="006D06C5"/>
    <w:rsid w:val="006D10EC"/>
    <w:rsid w:val="006D478B"/>
    <w:rsid w:val="006D4DAA"/>
    <w:rsid w:val="006D5F8D"/>
    <w:rsid w:val="006D60D0"/>
    <w:rsid w:val="006D672B"/>
    <w:rsid w:val="006D7F48"/>
    <w:rsid w:val="006E04DB"/>
    <w:rsid w:val="006E0852"/>
    <w:rsid w:val="006E0CBA"/>
    <w:rsid w:val="006E3AB4"/>
    <w:rsid w:val="006E3F2B"/>
    <w:rsid w:val="006E57BE"/>
    <w:rsid w:val="006E5A8F"/>
    <w:rsid w:val="006E6321"/>
    <w:rsid w:val="006E776F"/>
    <w:rsid w:val="006F06C1"/>
    <w:rsid w:val="006F0E0A"/>
    <w:rsid w:val="006F1C94"/>
    <w:rsid w:val="006F2E39"/>
    <w:rsid w:val="006F3FDE"/>
    <w:rsid w:val="006F5248"/>
    <w:rsid w:val="006F6838"/>
    <w:rsid w:val="006F683C"/>
    <w:rsid w:val="006F69B7"/>
    <w:rsid w:val="006F6C2A"/>
    <w:rsid w:val="006F74AB"/>
    <w:rsid w:val="007003B0"/>
    <w:rsid w:val="00700F92"/>
    <w:rsid w:val="0070169C"/>
    <w:rsid w:val="00701729"/>
    <w:rsid w:val="00701EAE"/>
    <w:rsid w:val="00701F57"/>
    <w:rsid w:val="007033E1"/>
    <w:rsid w:val="00703B36"/>
    <w:rsid w:val="00704CCA"/>
    <w:rsid w:val="00705171"/>
    <w:rsid w:val="007053B0"/>
    <w:rsid w:val="0070563C"/>
    <w:rsid w:val="0070717F"/>
    <w:rsid w:val="007072BC"/>
    <w:rsid w:val="00710E94"/>
    <w:rsid w:val="007116CC"/>
    <w:rsid w:val="00712AEE"/>
    <w:rsid w:val="00713C68"/>
    <w:rsid w:val="0072011F"/>
    <w:rsid w:val="00720A34"/>
    <w:rsid w:val="00721FB8"/>
    <w:rsid w:val="0072654B"/>
    <w:rsid w:val="00727481"/>
    <w:rsid w:val="00727D8A"/>
    <w:rsid w:val="00730DA8"/>
    <w:rsid w:val="00731FEA"/>
    <w:rsid w:val="007323F4"/>
    <w:rsid w:val="00734AE4"/>
    <w:rsid w:val="00735921"/>
    <w:rsid w:val="0073599B"/>
    <w:rsid w:val="007364A6"/>
    <w:rsid w:val="00736F61"/>
    <w:rsid w:val="00740BA0"/>
    <w:rsid w:val="0074185E"/>
    <w:rsid w:val="00742253"/>
    <w:rsid w:val="00742510"/>
    <w:rsid w:val="00743550"/>
    <w:rsid w:val="007436F0"/>
    <w:rsid w:val="0074422A"/>
    <w:rsid w:val="00746CEC"/>
    <w:rsid w:val="0074728E"/>
    <w:rsid w:val="0075044B"/>
    <w:rsid w:val="00751507"/>
    <w:rsid w:val="00756D2B"/>
    <w:rsid w:val="00757B95"/>
    <w:rsid w:val="00760720"/>
    <w:rsid w:val="00760A78"/>
    <w:rsid w:val="00765FF7"/>
    <w:rsid w:val="007662C7"/>
    <w:rsid w:val="00772FAF"/>
    <w:rsid w:val="00774438"/>
    <w:rsid w:val="00776306"/>
    <w:rsid w:val="0077657D"/>
    <w:rsid w:val="0077713A"/>
    <w:rsid w:val="0078038B"/>
    <w:rsid w:val="007816E2"/>
    <w:rsid w:val="00781F9E"/>
    <w:rsid w:val="0078259B"/>
    <w:rsid w:val="0078292C"/>
    <w:rsid w:val="007900E0"/>
    <w:rsid w:val="00790D2D"/>
    <w:rsid w:val="00791142"/>
    <w:rsid w:val="00795A9E"/>
    <w:rsid w:val="007A1808"/>
    <w:rsid w:val="007A1887"/>
    <w:rsid w:val="007A2BF5"/>
    <w:rsid w:val="007A3241"/>
    <w:rsid w:val="007A33F8"/>
    <w:rsid w:val="007A3A82"/>
    <w:rsid w:val="007A4B42"/>
    <w:rsid w:val="007A55A7"/>
    <w:rsid w:val="007A57BC"/>
    <w:rsid w:val="007A5B01"/>
    <w:rsid w:val="007B1F10"/>
    <w:rsid w:val="007B2143"/>
    <w:rsid w:val="007B335E"/>
    <w:rsid w:val="007B4A9D"/>
    <w:rsid w:val="007B7ABB"/>
    <w:rsid w:val="007C0565"/>
    <w:rsid w:val="007C137D"/>
    <w:rsid w:val="007C1AC3"/>
    <w:rsid w:val="007C2823"/>
    <w:rsid w:val="007C7D64"/>
    <w:rsid w:val="007D0186"/>
    <w:rsid w:val="007D3428"/>
    <w:rsid w:val="007D6771"/>
    <w:rsid w:val="007E018D"/>
    <w:rsid w:val="007E4755"/>
    <w:rsid w:val="007E6A45"/>
    <w:rsid w:val="007F1B71"/>
    <w:rsid w:val="007F62BA"/>
    <w:rsid w:val="007F675A"/>
    <w:rsid w:val="007F7817"/>
    <w:rsid w:val="0080011E"/>
    <w:rsid w:val="008008AC"/>
    <w:rsid w:val="00802FB4"/>
    <w:rsid w:val="0080320B"/>
    <w:rsid w:val="00803ED6"/>
    <w:rsid w:val="0080533E"/>
    <w:rsid w:val="00806566"/>
    <w:rsid w:val="00807E7D"/>
    <w:rsid w:val="0081136C"/>
    <w:rsid w:val="00813332"/>
    <w:rsid w:val="00813EC0"/>
    <w:rsid w:val="00814453"/>
    <w:rsid w:val="008145BA"/>
    <w:rsid w:val="00814C75"/>
    <w:rsid w:val="00815021"/>
    <w:rsid w:val="008159B4"/>
    <w:rsid w:val="00817D75"/>
    <w:rsid w:val="00820AF8"/>
    <w:rsid w:val="00821340"/>
    <w:rsid w:val="00822700"/>
    <w:rsid w:val="00823E16"/>
    <w:rsid w:val="008249BE"/>
    <w:rsid w:val="00824CB5"/>
    <w:rsid w:val="00826271"/>
    <w:rsid w:val="00831675"/>
    <w:rsid w:val="00833654"/>
    <w:rsid w:val="0083675B"/>
    <w:rsid w:val="00837360"/>
    <w:rsid w:val="008404AD"/>
    <w:rsid w:val="008445C3"/>
    <w:rsid w:val="00844740"/>
    <w:rsid w:val="00844849"/>
    <w:rsid w:val="00844FBE"/>
    <w:rsid w:val="008450BC"/>
    <w:rsid w:val="00845A30"/>
    <w:rsid w:val="00845A80"/>
    <w:rsid w:val="00845C7C"/>
    <w:rsid w:val="008535BF"/>
    <w:rsid w:val="008552D6"/>
    <w:rsid w:val="00855DA3"/>
    <w:rsid w:val="00855E54"/>
    <w:rsid w:val="00856274"/>
    <w:rsid w:val="00856FA4"/>
    <w:rsid w:val="00857F66"/>
    <w:rsid w:val="00860BB5"/>
    <w:rsid w:val="008612A6"/>
    <w:rsid w:val="00862443"/>
    <w:rsid w:val="008635B1"/>
    <w:rsid w:val="00866233"/>
    <w:rsid w:val="00866CAD"/>
    <w:rsid w:val="0087357B"/>
    <w:rsid w:val="00877071"/>
    <w:rsid w:val="008779B4"/>
    <w:rsid w:val="00877A2F"/>
    <w:rsid w:val="0088138D"/>
    <w:rsid w:val="00881A6D"/>
    <w:rsid w:val="0088311D"/>
    <w:rsid w:val="00883863"/>
    <w:rsid w:val="0088467C"/>
    <w:rsid w:val="008853B9"/>
    <w:rsid w:val="00885A10"/>
    <w:rsid w:val="00885AA3"/>
    <w:rsid w:val="008912AA"/>
    <w:rsid w:val="00891F21"/>
    <w:rsid w:val="008926A6"/>
    <w:rsid w:val="00892AC2"/>
    <w:rsid w:val="00892D3B"/>
    <w:rsid w:val="00892D56"/>
    <w:rsid w:val="008931B4"/>
    <w:rsid w:val="0089341F"/>
    <w:rsid w:val="00894579"/>
    <w:rsid w:val="008A0E9A"/>
    <w:rsid w:val="008A28FA"/>
    <w:rsid w:val="008A2BDB"/>
    <w:rsid w:val="008A2D52"/>
    <w:rsid w:val="008A2E50"/>
    <w:rsid w:val="008A51D0"/>
    <w:rsid w:val="008A5695"/>
    <w:rsid w:val="008A5B67"/>
    <w:rsid w:val="008A5CCD"/>
    <w:rsid w:val="008A6A6D"/>
    <w:rsid w:val="008A7C9B"/>
    <w:rsid w:val="008B1854"/>
    <w:rsid w:val="008B29E7"/>
    <w:rsid w:val="008B2C4E"/>
    <w:rsid w:val="008B32E1"/>
    <w:rsid w:val="008B33DF"/>
    <w:rsid w:val="008B532D"/>
    <w:rsid w:val="008B553C"/>
    <w:rsid w:val="008B5C0B"/>
    <w:rsid w:val="008C2216"/>
    <w:rsid w:val="008C2EA8"/>
    <w:rsid w:val="008C3D05"/>
    <w:rsid w:val="008C68C5"/>
    <w:rsid w:val="008D07E2"/>
    <w:rsid w:val="008D16F7"/>
    <w:rsid w:val="008D21C0"/>
    <w:rsid w:val="008D280A"/>
    <w:rsid w:val="008D2A1E"/>
    <w:rsid w:val="008D369D"/>
    <w:rsid w:val="008D40FA"/>
    <w:rsid w:val="008D4568"/>
    <w:rsid w:val="008D4835"/>
    <w:rsid w:val="008D6BF8"/>
    <w:rsid w:val="008D7FE1"/>
    <w:rsid w:val="008E1427"/>
    <w:rsid w:val="008E217C"/>
    <w:rsid w:val="008E236C"/>
    <w:rsid w:val="008E52C7"/>
    <w:rsid w:val="008E5A1D"/>
    <w:rsid w:val="008E667E"/>
    <w:rsid w:val="008E796B"/>
    <w:rsid w:val="008F0C50"/>
    <w:rsid w:val="008F2529"/>
    <w:rsid w:val="008F2CD3"/>
    <w:rsid w:val="008F3623"/>
    <w:rsid w:val="008F4E4B"/>
    <w:rsid w:val="008F778A"/>
    <w:rsid w:val="00902ED6"/>
    <w:rsid w:val="0090320B"/>
    <w:rsid w:val="00903A8E"/>
    <w:rsid w:val="00904027"/>
    <w:rsid w:val="00904377"/>
    <w:rsid w:val="00905A26"/>
    <w:rsid w:val="00906037"/>
    <w:rsid w:val="0091280A"/>
    <w:rsid w:val="00912E96"/>
    <w:rsid w:val="009143A0"/>
    <w:rsid w:val="00916161"/>
    <w:rsid w:val="00917BC5"/>
    <w:rsid w:val="00917E0A"/>
    <w:rsid w:val="00921B5A"/>
    <w:rsid w:val="00922196"/>
    <w:rsid w:val="009231E5"/>
    <w:rsid w:val="009239A3"/>
    <w:rsid w:val="00924317"/>
    <w:rsid w:val="00925124"/>
    <w:rsid w:val="00925635"/>
    <w:rsid w:val="00925BD0"/>
    <w:rsid w:val="00925BF0"/>
    <w:rsid w:val="00927C59"/>
    <w:rsid w:val="00931881"/>
    <w:rsid w:val="00933747"/>
    <w:rsid w:val="0093421F"/>
    <w:rsid w:val="00934B25"/>
    <w:rsid w:val="00936902"/>
    <w:rsid w:val="00937B80"/>
    <w:rsid w:val="00942170"/>
    <w:rsid w:val="009434E0"/>
    <w:rsid w:val="0094403C"/>
    <w:rsid w:val="0094486D"/>
    <w:rsid w:val="009466C7"/>
    <w:rsid w:val="00950E58"/>
    <w:rsid w:val="00951FB3"/>
    <w:rsid w:val="00952060"/>
    <w:rsid w:val="00952DF0"/>
    <w:rsid w:val="00954679"/>
    <w:rsid w:val="009552FE"/>
    <w:rsid w:val="00955673"/>
    <w:rsid w:val="009562E9"/>
    <w:rsid w:val="00956B01"/>
    <w:rsid w:val="0095740A"/>
    <w:rsid w:val="0096546B"/>
    <w:rsid w:val="009655DA"/>
    <w:rsid w:val="00965BBC"/>
    <w:rsid w:val="009673D0"/>
    <w:rsid w:val="009675D7"/>
    <w:rsid w:val="00972417"/>
    <w:rsid w:val="00972823"/>
    <w:rsid w:val="0097382F"/>
    <w:rsid w:val="00974996"/>
    <w:rsid w:val="00974AAB"/>
    <w:rsid w:val="00975223"/>
    <w:rsid w:val="00975E35"/>
    <w:rsid w:val="00980080"/>
    <w:rsid w:val="00983279"/>
    <w:rsid w:val="009837BD"/>
    <w:rsid w:val="009855A8"/>
    <w:rsid w:val="0098737D"/>
    <w:rsid w:val="00987918"/>
    <w:rsid w:val="00990BE6"/>
    <w:rsid w:val="009A0CAF"/>
    <w:rsid w:val="009A2167"/>
    <w:rsid w:val="009A293A"/>
    <w:rsid w:val="009A49F0"/>
    <w:rsid w:val="009A5307"/>
    <w:rsid w:val="009A6B74"/>
    <w:rsid w:val="009B0EC1"/>
    <w:rsid w:val="009B1238"/>
    <w:rsid w:val="009B294B"/>
    <w:rsid w:val="009B29F6"/>
    <w:rsid w:val="009B353C"/>
    <w:rsid w:val="009B4F3A"/>
    <w:rsid w:val="009B55E8"/>
    <w:rsid w:val="009B7A38"/>
    <w:rsid w:val="009C0051"/>
    <w:rsid w:val="009C0A2A"/>
    <w:rsid w:val="009C392E"/>
    <w:rsid w:val="009C6A1E"/>
    <w:rsid w:val="009C6BD4"/>
    <w:rsid w:val="009D0AAB"/>
    <w:rsid w:val="009D0F6F"/>
    <w:rsid w:val="009D1515"/>
    <w:rsid w:val="009D2F0C"/>
    <w:rsid w:val="009D36A9"/>
    <w:rsid w:val="009D3EAF"/>
    <w:rsid w:val="009D477C"/>
    <w:rsid w:val="009D6A12"/>
    <w:rsid w:val="009E27A5"/>
    <w:rsid w:val="009E2F86"/>
    <w:rsid w:val="009F0CD0"/>
    <w:rsid w:val="009F2506"/>
    <w:rsid w:val="009F2B5E"/>
    <w:rsid w:val="009F573D"/>
    <w:rsid w:val="009F5E14"/>
    <w:rsid w:val="009F7713"/>
    <w:rsid w:val="009F7DD8"/>
    <w:rsid w:val="00A00A31"/>
    <w:rsid w:val="00A0201F"/>
    <w:rsid w:val="00A04300"/>
    <w:rsid w:val="00A07029"/>
    <w:rsid w:val="00A12209"/>
    <w:rsid w:val="00A129F4"/>
    <w:rsid w:val="00A15868"/>
    <w:rsid w:val="00A16934"/>
    <w:rsid w:val="00A21438"/>
    <w:rsid w:val="00A222CE"/>
    <w:rsid w:val="00A225F6"/>
    <w:rsid w:val="00A26C2E"/>
    <w:rsid w:val="00A307D5"/>
    <w:rsid w:val="00A31484"/>
    <w:rsid w:val="00A31681"/>
    <w:rsid w:val="00A32ECC"/>
    <w:rsid w:val="00A34CA4"/>
    <w:rsid w:val="00A35F0D"/>
    <w:rsid w:val="00A36DF3"/>
    <w:rsid w:val="00A40846"/>
    <w:rsid w:val="00A41E77"/>
    <w:rsid w:val="00A41F49"/>
    <w:rsid w:val="00A441C7"/>
    <w:rsid w:val="00A442DE"/>
    <w:rsid w:val="00A4441D"/>
    <w:rsid w:val="00A532DD"/>
    <w:rsid w:val="00A541BA"/>
    <w:rsid w:val="00A550F0"/>
    <w:rsid w:val="00A5522E"/>
    <w:rsid w:val="00A55F0A"/>
    <w:rsid w:val="00A565D1"/>
    <w:rsid w:val="00A568A7"/>
    <w:rsid w:val="00A56B53"/>
    <w:rsid w:val="00A611E9"/>
    <w:rsid w:val="00A6270D"/>
    <w:rsid w:val="00A649B6"/>
    <w:rsid w:val="00A72246"/>
    <w:rsid w:val="00A72F4C"/>
    <w:rsid w:val="00A74B90"/>
    <w:rsid w:val="00A75D4C"/>
    <w:rsid w:val="00A760F0"/>
    <w:rsid w:val="00A7640D"/>
    <w:rsid w:val="00A80BCF"/>
    <w:rsid w:val="00A81DFB"/>
    <w:rsid w:val="00A825D1"/>
    <w:rsid w:val="00A83219"/>
    <w:rsid w:val="00A8369C"/>
    <w:rsid w:val="00A852D4"/>
    <w:rsid w:val="00A86579"/>
    <w:rsid w:val="00A868A9"/>
    <w:rsid w:val="00A90212"/>
    <w:rsid w:val="00A90CC4"/>
    <w:rsid w:val="00A90D64"/>
    <w:rsid w:val="00A911E1"/>
    <w:rsid w:val="00A919AF"/>
    <w:rsid w:val="00A9401D"/>
    <w:rsid w:val="00A950F3"/>
    <w:rsid w:val="00A954F5"/>
    <w:rsid w:val="00A962D1"/>
    <w:rsid w:val="00A9674E"/>
    <w:rsid w:val="00A97743"/>
    <w:rsid w:val="00AA1428"/>
    <w:rsid w:val="00AA1689"/>
    <w:rsid w:val="00AA17E0"/>
    <w:rsid w:val="00AA26B4"/>
    <w:rsid w:val="00AA2DC3"/>
    <w:rsid w:val="00AA4244"/>
    <w:rsid w:val="00AA496F"/>
    <w:rsid w:val="00AA542E"/>
    <w:rsid w:val="00AA5770"/>
    <w:rsid w:val="00AA70DB"/>
    <w:rsid w:val="00AB07D0"/>
    <w:rsid w:val="00AB136D"/>
    <w:rsid w:val="00AB2E70"/>
    <w:rsid w:val="00AB31EA"/>
    <w:rsid w:val="00AB33C1"/>
    <w:rsid w:val="00AB3657"/>
    <w:rsid w:val="00AB3E03"/>
    <w:rsid w:val="00AB42FD"/>
    <w:rsid w:val="00AB462E"/>
    <w:rsid w:val="00AB5D2C"/>
    <w:rsid w:val="00AB6B72"/>
    <w:rsid w:val="00AC07FF"/>
    <w:rsid w:val="00AC0ABF"/>
    <w:rsid w:val="00AC1D15"/>
    <w:rsid w:val="00AC290D"/>
    <w:rsid w:val="00AC34BA"/>
    <w:rsid w:val="00AC3813"/>
    <w:rsid w:val="00AD037A"/>
    <w:rsid w:val="00AD098F"/>
    <w:rsid w:val="00AD103D"/>
    <w:rsid w:val="00AD44C6"/>
    <w:rsid w:val="00AE0B5E"/>
    <w:rsid w:val="00AE2981"/>
    <w:rsid w:val="00AE2BE5"/>
    <w:rsid w:val="00AE460D"/>
    <w:rsid w:val="00AE4FAE"/>
    <w:rsid w:val="00AE69AD"/>
    <w:rsid w:val="00AE7778"/>
    <w:rsid w:val="00AE7F82"/>
    <w:rsid w:val="00AF0A9A"/>
    <w:rsid w:val="00AF11F6"/>
    <w:rsid w:val="00AF1C30"/>
    <w:rsid w:val="00AF1DED"/>
    <w:rsid w:val="00AF210A"/>
    <w:rsid w:val="00AF2726"/>
    <w:rsid w:val="00AF34F1"/>
    <w:rsid w:val="00AF4C42"/>
    <w:rsid w:val="00AF66AB"/>
    <w:rsid w:val="00AF6CB9"/>
    <w:rsid w:val="00AF7AEF"/>
    <w:rsid w:val="00B03312"/>
    <w:rsid w:val="00B07B0C"/>
    <w:rsid w:val="00B10F6B"/>
    <w:rsid w:val="00B120F9"/>
    <w:rsid w:val="00B16818"/>
    <w:rsid w:val="00B170D5"/>
    <w:rsid w:val="00B22146"/>
    <w:rsid w:val="00B2283D"/>
    <w:rsid w:val="00B22D70"/>
    <w:rsid w:val="00B23CDB"/>
    <w:rsid w:val="00B2489B"/>
    <w:rsid w:val="00B25563"/>
    <w:rsid w:val="00B25E2A"/>
    <w:rsid w:val="00B26D48"/>
    <w:rsid w:val="00B2734E"/>
    <w:rsid w:val="00B2789F"/>
    <w:rsid w:val="00B31118"/>
    <w:rsid w:val="00B321BF"/>
    <w:rsid w:val="00B340BB"/>
    <w:rsid w:val="00B358D2"/>
    <w:rsid w:val="00B369D8"/>
    <w:rsid w:val="00B36DA8"/>
    <w:rsid w:val="00B3784E"/>
    <w:rsid w:val="00B40949"/>
    <w:rsid w:val="00B40D80"/>
    <w:rsid w:val="00B41404"/>
    <w:rsid w:val="00B41C0F"/>
    <w:rsid w:val="00B41F7B"/>
    <w:rsid w:val="00B42EE1"/>
    <w:rsid w:val="00B47A59"/>
    <w:rsid w:val="00B47A70"/>
    <w:rsid w:val="00B5178E"/>
    <w:rsid w:val="00B52E49"/>
    <w:rsid w:val="00B531F8"/>
    <w:rsid w:val="00B5349B"/>
    <w:rsid w:val="00B53FCC"/>
    <w:rsid w:val="00B55005"/>
    <w:rsid w:val="00B55AC4"/>
    <w:rsid w:val="00B5649C"/>
    <w:rsid w:val="00B56F19"/>
    <w:rsid w:val="00B60414"/>
    <w:rsid w:val="00B63C8C"/>
    <w:rsid w:val="00B7138A"/>
    <w:rsid w:val="00B733E0"/>
    <w:rsid w:val="00B74137"/>
    <w:rsid w:val="00B8293D"/>
    <w:rsid w:val="00B87A49"/>
    <w:rsid w:val="00B9001E"/>
    <w:rsid w:val="00B91ECE"/>
    <w:rsid w:val="00B92127"/>
    <w:rsid w:val="00B92478"/>
    <w:rsid w:val="00B92B72"/>
    <w:rsid w:val="00B92D4E"/>
    <w:rsid w:val="00B943FB"/>
    <w:rsid w:val="00B95434"/>
    <w:rsid w:val="00B955DB"/>
    <w:rsid w:val="00B95F81"/>
    <w:rsid w:val="00B963DD"/>
    <w:rsid w:val="00B96ED6"/>
    <w:rsid w:val="00B97026"/>
    <w:rsid w:val="00B97463"/>
    <w:rsid w:val="00BA13A1"/>
    <w:rsid w:val="00BA25B4"/>
    <w:rsid w:val="00BA359B"/>
    <w:rsid w:val="00BA3E1F"/>
    <w:rsid w:val="00BA6188"/>
    <w:rsid w:val="00BA62D6"/>
    <w:rsid w:val="00BA64BD"/>
    <w:rsid w:val="00BA7BBB"/>
    <w:rsid w:val="00BB0A33"/>
    <w:rsid w:val="00BB11A9"/>
    <w:rsid w:val="00BB2457"/>
    <w:rsid w:val="00BB39D5"/>
    <w:rsid w:val="00BB608E"/>
    <w:rsid w:val="00BB7567"/>
    <w:rsid w:val="00BC1EBB"/>
    <w:rsid w:val="00BC361A"/>
    <w:rsid w:val="00BC3CF6"/>
    <w:rsid w:val="00BC6792"/>
    <w:rsid w:val="00BC68C2"/>
    <w:rsid w:val="00BC7121"/>
    <w:rsid w:val="00BD084E"/>
    <w:rsid w:val="00BD2045"/>
    <w:rsid w:val="00BD2B40"/>
    <w:rsid w:val="00BD3450"/>
    <w:rsid w:val="00BD3D7D"/>
    <w:rsid w:val="00BD49F7"/>
    <w:rsid w:val="00BD61A2"/>
    <w:rsid w:val="00BD6574"/>
    <w:rsid w:val="00BD6E4A"/>
    <w:rsid w:val="00BE3B75"/>
    <w:rsid w:val="00BE484D"/>
    <w:rsid w:val="00BE4967"/>
    <w:rsid w:val="00BE6008"/>
    <w:rsid w:val="00BE7D58"/>
    <w:rsid w:val="00BF17C7"/>
    <w:rsid w:val="00BF2596"/>
    <w:rsid w:val="00BF7491"/>
    <w:rsid w:val="00BF7669"/>
    <w:rsid w:val="00C00B11"/>
    <w:rsid w:val="00C02C0A"/>
    <w:rsid w:val="00C0302A"/>
    <w:rsid w:val="00C10390"/>
    <w:rsid w:val="00C12940"/>
    <w:rsid w:val="00C17A24"/>
    <w:rsid w:val="00C21A4E"/>
    <w:rsid w:val="00C24EDE"/>
    <w:rsid w:val="00C27E3F"/>
    <w:rsid w:val="00C30D1C"/>
    <w:rsid w:val="00C30D34"/>
    <w:rsid w:val="00C35D29"/>
    <w:rsid w:val="00C36DAB"/>
    <w:rsid w:val="00C37E05"/>
    <w:rsid w:val="00C40110"/>
    <w:rsid w:val="00C41E28"/>
    <w:rsid w:val="00C4270A"/>
    <w:rsid w:val="00C433DB"/>
    <w:rsid w:val="00C43C12"/>
    <w:rsid w:val="00C44BCF"/>
    <w:rsid w:val="00C44D2F"/>
    <w:rsid w:val="00C455A3"/>
    <w:rsid w:val="00C45FF3"/>
    <w:rsid w:val="00C47789"/>
    <w:rsid w:val="00C51914"/>
    <w:rsid w:val="00C52172"/>
    <w:rsid w:val="00C523A9"/>
    <w:rsid w:val="00C55D29"/>
    <w:rsid w:val="00C569F7"/>
    <w:rsid w:val="00C56F2E"/>
    <w:rsid w:val="00C618B3"/>
    <w:rsid w:val="00C62B3A"/>
    <w:rsid w:val="00C6558F"/>
    <w:rsid w:val="00C658C8"/>
    <w:rsid w:val="00C6634F"/>
    <w:rsid w:val="00C6690E"/>
    <w:rsid w:val="00C67058"/>
    <w:rsid w:val="00C67AC2"/>
    <w:rsid w:val="00C71E5E"/>
    <w:rsid w:val="00C73733"/>
    <w:rsid w:val="00C73B05"/>
    <w:rsid w:val="00C75DBD"/>
    <w:rsid w:val="00C7625A"/>
    <w:rsid w:val="00C76842"/>
    <w:rsid w:val="00C8012C"/>
    <w:rsid w:val="00C83DB6"/>
    <w:rsid w:val="00C84AEA"/>
    <w:rsid w:val="00C84FA0"/>
    <w:rsid w:val="00C85B88"/>
    <w:rsid w:val="00C86F6D"/>
    <w:rsid w:val="00C87D55"/>
    <w:rsid w:val="00C928CA"/>
    <w:rsid w:val="00C948D8"/>
    <w:rsid w:val="00C94ACF"/>
    <w:rsid w:val="00C94D3E"/>
    <w:rsid w:val="00C94F16"/>
    <w:rsid w:val="00C95022"/>
    <w:rsid w:val="00C96D0E"/>
    <w:rsid w:val="00C97E62"/>
    <w:rsid w:val="00CA0BE9"/>
    <w:rsid w:val="00CA138D"/>
    <w:rsid w:val="00CA2089"/>
    <w:rsid w:val="00CA4552"/>
    <w:rsid w:val="00CA4815"/>
    <w:rsid w:val="00CA4DB6"/>
    <w:rsid w:val="00CA4ED0"/>
    <w:rsid w:val="00CA57D9"/>
    <w:rsid w:val="00CA5B61"/>
    <w:rsid w:val="00CA5D67"/>
    <w:rsid w:val="00CB25E8"/>
    <w:rsid w:val="00CB5C88"/>
    <w:rsid w:val="00CB684F"/>
    <w:rsid w:val="00CB6D47"/>
    <w:rsid w:val="00CC136F"/>
    <w:rsid w:val="00CC220F"/>
    <w:rsid w:val="00CC2AFE"/>
    <w:rsid w:val="00CC390D"/>
    <w:rsid w:val="00CC3D7E"/>
    <w:rsid w:val="00CC4F18"/>
    <w:rsid w:val="00CC7641"/>
    <w:rsid w:val="00CD38B1"/>
    <w:rsid w:val="00CD4703"/>
    <w:rsid w:val="00CE0B46"/>
    <w:rsid w:val="00CE1385"/>
    <w:rsid w:val="00CE3192"/>
    <w:rsid w:val="00CE474C"/>
    <w:rsid w:val="00CE4EFB"/>
    <w:rsid w:val="00CE6F2F"/>
    <w:rsid w:val="00CE7D19"/>
    <w:rsid w:val="00CF0681"/>
    <w:rsid w:val="00CF0762"/>
    <w:rsid w:val="00CF1007"/>
    <w:rsid w:val="00CF2515"/>
    <w:rsid w:val="00CF3C8E"/>
    <w:rsid w:val="00CF3E79"/>
    <w:rsid w:val="00CF456F"/>
    <w:rsid w:val="00CF5907"/>
    <w:rsid w:val="00D01668"/>
    <w:rsid w:val="00D0361C"/>
    <w:rsid w:val="00D03C20"/>
    <w:rsid w:val="00D068D9"/>
    <w:rsid w:val="00D06C9D"/>
    <w:rsid w:val="00D074A2"/>
    <w:rsid w:val="00D12D00"/>
    <w:rsid w:val="00D13794"/>
    <w:rsid w:val="00D13B08"/>
    <w:rsid w:val="00D16CF3"/>
    <w:rsid w:val="00D218E7"/>
    <w:rsid w:val="00D21F44"/>
    <w:rsid w:val="00D2258F"/>
    <w:rsid w:val="00D233D4"/>
    <w:rsid w:val="00D24052"/>
    <w:rsid w:val="00D24386"/>
    <w:rsid w:val="00D24801"/>
    <w:rsid w:val="00D261C5"/>
    <w:rsid w:val="00D31575"/>
    <w:rsid w:val="00D31A89"/>
    <w:rsid w:val="00D34626"/>
    <w:rsid w:val="00D34921"/>
    <w:rsid w:val="00D34FB4"/>
    <w:rsid w:val="00D359BA"/>
    <w:rsid w:val="00D41A64"/>
    <w:rsid w:val="00D4257A"/>
    <w:rsid w:val="00D427B7"/>
    <w:rsid w:val="00D45415"/>
    <w:rsid w:val="00D456A9"/>
    <w:rsid w:val="00D5078B"/>
    <w:rsid w:val="00D50A5F"/>
    <w:rsid w:val="00D51351"/>
    <w:rsid w:val="00D52798"/>
    <w:rsid w:val="00D52A6D"/>
    <w:rsid w:val="00D5468A"/>
    <w:rsid w:val="00D550AB"/>
    <w:rsid w:val="00D5574A"/>
    <w:rsid w:val="00D57F08"/>
    <w:rsid w:val="00D61745"/>
    <w:rsid w:val="00D62665"/>
    <w:rsid w:val="00D63341"/>
    <w:rsid w:val="00D63F5D"/>
    <w:rsid w:val="00D645AC"/>
    <w:rsid w:val="00D64B29"/>
    <w:rsid w:val="00D66428"/>
    <w:rsid w:val="00D66C71"/>
    <w:rsid w:val="00D66D7C"/>
    <w:rsid w:val="00D670EA"/>
    <w:rsid w:val="00D70205"/>
    <w:rsid w:val="00D735EF"/>
    <w:rsid w:val="00D73C27"/>
    <w:rsid w:val="00D75485"/>
    <w:rsid w:val="00D7602A"/>
    <w:rsid w:val="00D7609F"/>
    <w:rsid w:val="00D77C2C"/>
    <w:rsid w:val="00D77F87"/>
    <w:rsid w:val="00D8158A"/>
    <w:rsid w:val="00D81AA7"/>
    <w:rsid w:val="00D82E47"/>
    <w:rsid w:val="00D84A01"/>
    <w:rsid w:val="00D85522"/>
    <w:rsid w:val="00D8778E"/>
    <w:rsid w:val="00D922B5"/>
    <w:rsid w:val="00D92C92"/>
    <w:rsid w:val="00D975EA"/>
    <w:rsid w:val="00D977EA"/>
    <w:rsid w:val="00DA07C7"/>
    <w:rsid w:val="00DA0AE3"/>
    <w:rsid w:val="00DA2833"/>
    <w:rsid w:val="00DA2BB2"/>
    <w:rsid w:val="00DA38A9"/>
    <w:rsid w:val="00DA44A7"/>
    <w:rsid w:val="00DA75C2"/>
    <w:rsid w:val="00DA7A14"/>
    <w:rsid w:val="00DA7D9C"/>
    <w:rsid w:val="00DB0008"/>
    <w:rsid w:val="00DB048E"/>
    <w:rsid w:val="00DB0C03"/>
    <w:rsid w:val="00DB139C"/>
    <w:rsid w:val="00DB148C"/>
    <w:rsid w:val="00DB1A31"/>
    <w:rsid w:val="00DB1AF0"/>
    <w:rsid w:val="00DB202E"/>
    <w:rsid w:val="00DB259A"/>
    <w:rsid w:val="00DB4F78"/>
    <w:rsid w:val="00DB5147"/>
    <w:rsid w:val="00DB5860"/>
    <w:rsid w:val="00DC027B"/>
    <w:rsid w:val="00DC0CDE"/>
    <w:rsid w:val="00DC1186"/>
    <w:rsid w:val="00DC1A85"/>
    <w:rsid w:val="00DC498E"/>
    <w:rsid w:val="00DC4D72"/>
    <w:rsid w:val="00DC5601"/>
    <w:rsid w:val="00DC6525"/>
    <w:rsid w:val="00DC7018"/>
    <w:rsid w:val="00DC7DC4"/>
    <w:rsid w:val="00DD12B0"/>
    <w:rsid w:val="00DD1A08"/>
    <w:rsid w:val="00DD211F"/>
    <w:rsid w:val="00DD55B5"/>
    <w:rsid w:val="00DD5610"/>
    <w:rsid w:val="00DD6AEE"/>
    <w:rsid w:val="00DD7B17"/>
    <w:rsid w:val="00DE016C"/>
    <w:rsid w:val="00DE0E16"/>
    <w:rsid w:val="00DE13EA"/>
    <w:rsid w:val="00DE16AD"/>
    <w:rsid w:val="00DE2831"/>
    <w:rsid w:val="00DE36F1"/>
    <w:rsid w:val="00DE5CDA"/>
    <w:rsid w:val="00DE5F89"/>
    <w:rsid w:val="00DE76A8"/>
    <w:rsid w:val="00DF0CB3"/>
    <w:rsid w:val="00DF0D2B"/>
    <w:rsid w:val="00DF3431"/>
    <w:rsid w:val="00DF494C"/>
    <w:rsid w:val="00DF5748"/>
    <w:rsid w:val="00DF6D0B"/>
    <w:rsid w:val="00DF7E0D"/>
    <w:rsid w:val="00DF7F96"/>
    <w:rsid w:val="00E03837"/>
    <w:rsid w:val="00E043E6"/>
    <w:rsid w:val="00E0624D"/>
    <w:rsid w:val="00E06C23"/>
    <w:rsid w:val="00E07686"/>
    <w:rsid w:val="00E1487A"/>
    <w:rsid w:val="00E15C23"/>
    <w:rsid w:val="00E179D4"/>
    <w:rsid w:val="00E20023"/>
    <w:rsid w:val="00E20215"/>
    <w:rsid w:val="00E21018"/>
    <w:rsid w:val="00E22230"/>
    <w:rsid w:val="00E22FCA"/>
    <w:rsid w:val="00E24E21"/>
    <w:rsid w:val="00E267D1"/>
    <w:rsid w:val="00E304CA"/>
    <w:rsid w:val="00E32395"/>
    <w:rsid w:val="00E33C07"/>
    <w:rsid w:val="00E353A3"/>
    <w:rsid w:val="00E3598B"/>
    <w:rsid w:val="00E35C9D"/>
    <w:rsid w:val="00E36F0F"/>
    <w:rsid w:val="00E37638"/>
    <w:rsid w:val="00E37861"/>
    <w:rsid w:val="00E37FF7"/>
    <w:rsid w:val="00E421FE"/>
    <w:rsid w:val="00E42DFD"/>
    <w:rsid w:val="00E434FA"/>
    <w:rsid w:val="00E437A9"/>
    <w:rsid w:val="00E4438C"/>
    <w:rsid w:val="00E45502"/>
    <w:rsid w:val="00E457F3"/>
    <w:rsid w:val="00E46E31"/>
    <w:rsid w:val="00E47436"/>
    <w:rsid w:val="00E50663"/>
    <w:rsid w:val="00E51A17"/>
    <w:rsid w:val="00E51F14"/>
    <w:rsid w:val="00E5338F"/>
    <w:rsid w:val="00E54A45"/>
    <w:rsid w:val="00E55B9A"/>
    <w:rsid w:val="00E55BC4"/>
    <w:rsid w:val="00E55F9B"/>
    <w:rsid w:val="00E5668A"/>
    <w:rsid w:val="00E576F5"/>
    <w:rsid w:val="00E57A6A"/>
    <w:rsid w:val="00E60464"/>
    <w:rsid w:val="00E61098"/>
    <w:rsid w:val="00E632A1"/>
    <w:rsid w:val="00E6463F"/>
    <w:rsid w:val="00E656E6"/>
    <w:rsid w:val="00E67E92"/>
    <w:rsid w:val="00E70ED1"/>
    <w:rsid w:val="00E73CC1"/>
    <w:rsid w:val="00E83AFE"/>
    <w:rsid w:val="00E86357"/>
    <w:rsid w:val="00E87284"/>
    <w:rsid w:val="00E90334"/>
    <w:rsid w:val="00E928CA"/>
    <w:rsid w:val="00E95155"/>
    <w:rsid w:val="00E97664"/>
    <w:rsid w:val="00EA2AB6"/>
    <w:rsid w:val="00EA2CF3"/>
    <w:rsid w:val="00EA4D99"/>
    <w:rsid w:val="00EA4DD8"/>
    <w:rsid w:val="00EA764F"/>
    <w:rsid w:val="00EA7959"/>
    <w:rsid w:val="00EB2AEF"/>
    <w:rsid w:val="00EB2BED"/>
    <w:rsid w:val="00EB768F"/>
    <w:rsid w:val="00EB7E71"/>
    <w:rsid w:val="00EC0845"/>
    <w:rsid w:val="00EC2CC1"/>
    <w:rsid w:val="00EC587D"/>
    <w:rsid w:val="00EC6291"/>
    <w:rsid w:val="00ED123E"/>
    <w:rsid w:val="00ED1F15"/>
    <w:rsid w:val="00ED216B"/>
    <w:rsid w:val="00ED2A95"/>
    <w:rsid w:val="00ED38D8"/>
    <w:rsid w:val="00ED3943"/>
    <w:rsid w:val="00ED41C7"/>
    <w:rsid w:val="00ED4F05"/>
    <w:rsid w:val="00ED639A"/>
    <w:rsid w:val="00EE0376"/>
    <w:rsid w:val="00EE1350"/>
    <w:rsid w:val="00EE2410"/>
    <w:rsid w:val="00EE3606"/>
    <w:rsid w:val="00EE3753"/>
    <w:rsid w:val="00EE5CCB"/>
    <w:rsid w:val="00EE5F13"/>
    <w:rsid w:val="00EE64F2"/>
    <w:rsid w:val="00EF2788"/>
    <w:rsid w:val="00EF2BE8"/>
    <w:rsid w:val="00EF3022"/>
    <w:rsid w:val="00EF3103"/>
    <w:rsid w:val="00EF666A"/>
    <w:rsid w:val="00EF6E9B"/>
    <w:rsid w:val="00EF7714"/>
    <w:rsid w:val="00F013A5"/>
    <w:rsid w:val="00F023DB"/>
    <w:rsid w:val="00F038E0"/>
    <w:rsid w:val="00F0424A"/>
    <w:rsid w:val="00F07255"/>
    <w:rsid w:val="00F109D4"/>
    <w:rsid w:val="00F10A6F"/>
    <w:rsid w:val="00F12E0E"/>
    <w:rsid w:val="00F149B7"/>
    <w:rsid w:val="00F15030"/>
    <w:rsid w:val="00F15ECE"/>
    <w:rsid w:val="00F15EE9"/>
    <w:rsid w:val="00F21FC3"/>
    <w:rsid w:val="00F232FC"/>
    <w:rsid w:val="00F24736"/>
    <w:rsid w:val="00F25881"/>
    <w:rsid w:val="00F26130"/>
    <w:rsid w:val="00F27344"/>
    <w:rsid w:val="00F27E54"/>
    <w:rsid w:val="00F30771"/>
    <w:rsid w:val="00F322CA"/>
    <w:rsid w:val="00F32790"/>
    <w:rsid w:val="00F32967"/>
    <w:rsid w:val="00F343AA"/>
    <w:rsid w:val="00F37332"/>
    <w:rsid w:val="00F377AF"/>
    <w:rsid w:val="00F40A9F"/>
    <w:rsid w:val="00F42218"/>
    <w:rsid w:val="00F4241B"/>
    <w:rsid w:val="00F46704"/>
    <w:rsid w:val="00F46C17"/>
    <w:rsid w:val="00F47065"/>
    <w:rsid w:val="00F47585"/>
    <w:rsid w:val="00F47DDD"/>
    <w:rsid w:val="00F5114E"/>
    <w:rsid w:val="00F54D0E"/>
    <w:rsid w:val="00F56689"/>
    <w:rsid w:val="00F6028D"/>
    <w:rsid w:val="00F6249C"/>
    <w:rsid w:val="00F642FF"/>
    <w:rsid w:val="00F651A9"/>
    <w:rsid w:val="00F659C9"/>
    <w:rsid w:val="00F66EFC"/>
    <w:rsid w:val="00F678B8"/>
    <w:rsid w:val="00F7078E"/>
    <w:rsid w:val="00F73E12"/>
    <w:rsid w:val="00F75BDB"/>
    <w:rsid w:val="00F81232"/>
    <w:rsid w:val="00F8291C"/>
    <w:rsid w:val="00F82ED1"/>
    <w:rsid w:val="00F85E6F"/>
    <w:rsid w:val="00F861E3"/>
    <w:rsid w:val="00F87F57"/>
    <w:rsid w:val="00F91FB4"/>
    <w:rsid w:val="00F948C7"/>
    <w:rsid w:val="00F95449"/>
    <w:rsid w:val="00F978D6"/>
    <w:rsid w:val="00FA1942"/>
    <w:rsid w:val="00FA1A15"/>
    <w:rsid w:val="00FA380A"/>
    <w:rsid w:val="00FA652F"/>
    <w:rsid w:val="00FA65B5"/>
    <w:rsid w:val="00FB1A78"/>
    <w:rsid w:val="00FB218B"/>
    <w:rsid w:val="00FB470D"/>
    <w:rsid w:val="00FB5621"/>
    <w:rsid w:val="00FB5BAF"/>
    <w:rsid w:val="00FC2CB5"/>
    <w:rsid w:val="00FC3558"/>
    <w:rsid w:val="00FC38D9"/>
    <w:rsid w:val="00FC3A8F"/>
    <w:rsid w:val="00FC4348"/>
    <w:rsid w:val="00FC4DBD"/>
    <w:rsid w:val="00FC595E"/>
    <w:rsid w:val="00FC65A1"/>
    <w:rsid w:val="00FD0424"/>
    <w:rsid w:val="00FD19F7"/>
    <w:rsid w:val="00FD3B4C"/>
    <w:rsid w:val="00FD4574"/>
    <w:rsid w:val="00FD6910"/>
    <w:rsid w:val="00FD6AEC"/>
    <w:rsid w:val="00FD720E"/>
    <w:rsid w:val="00FD7402"/>
    <w:rsid w:val="00FE04E4"/>
    <w:rsid w:val="00FE2DD7"/>
    <w:rsid w:val="00FE3C9B"/>
    <w:rsid w:val="00FE3D96"/>
    <w:rsid w:val="00FE73F9"/>
    <w:rsid w:val="00FF1057"/>
    <w:rsid w:val="00FF231C"/>
    <w:rsid w:val="00FF3E25"/>
    <w:rsid w:val="00FF5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6978F"/>
  <w15:docId w15:val="{DFC475D5-7DC1-4BE7-8A2D-C03AFC8E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ail" ma:contentTypeID="0x0101003ECC5A3B3DB5EC46B1D76B9A37FC826900F921EFCA09523249B1A2EE1ED46492A2" ma:contentTypeVersion="40" ma:contentTypeDescription="" ma:contentTypeScope="" ma:versionID="a99e9f68c66c5c032e4db0ac268a8aaf">
  <xsd:schema xmlns:xsd="http://www.w3.org/2001/XMLSchema" xmlns:xs="http://www.w3.org/2001/XMLSchema" xmlns:p="http://schemas.microsoft.com/office/2006/metadata/properties" xmlns:ns1="http://schemas.microsoft.com/sharepoint/v3" xmlns:ns2="ff38c824-6e29-4496-8487-69f397e7ed29" xmlns:ns3="fe39d773-a83d-4623-ae74-f25711a76616" xmlns:ns4="a289cb20-8bb9-401f-8d7b-706fb1a2988d" targetNamespace="http://schemas.microsoft.com/office/2006/metadata/properties" ma:root="true" ma:fieldsID="d85aeb6df59fe51b70f177c63d25dc67" ns1:_="" ns2:_="" ns3:_="" ns4:_="">
    <xsd:import namespace="http://schemas.microsoft.com/sharepoint/v3"/>
    <xsd:import namespace="ff38c824-6e29-4496-8487-69f397e7ed29"/>
    <xsd:import namespace="fe39d773-a83d-4623-ae74-f25711a76616"/>
    <xsd:import namespace="a289cb20-8bb9-401f-8d7b-706fb1a2988d"/>
    <xsd:element name="properties">
      <xsd:complexType>
        <xsd:sequence>
          <xsd:element name="documentManagement">
            <xsd:complexType>
              <xsd:all>
                <xsd:element ref="ns3:Cc" minOccurs="0"/>
                <xsd:element ref="ns3:Date12" minOccurs="0"/>
                <xsd:element ref="ns3:EmailAttachments" minOccurs="0"/>
                <xsd:element ref="ns3:From1" minOccurs="0"/>
                <xsd:element ref="ns3:MailIn-Reply-To" minOccurs="0"/>
                <xsd:element ref="ns3:MailReferences" minOccurs="0"/>
                <xsd:element ref="ns3:MailSubject" minOccurs="0"/>
                <xsd:element ref="ns3:MailTo" minOccurs="0"/>
                <xsd:element ref="ns3:OriginalSubject" minOccurs="0"/>
                <xsd:element ref="ns3:a48f371a4a874164b16a8c4aab488f5c"/>
                <xsd:element ref="ns3:kfc39f3e4e2747ae990d3c8bb74a5a64"/>
                <xsd:element ref="ns3:ge25bdd0d6464e36b066695d9e81d63d" minOccurs="0"/>
                <xsd:element ref="ns3:_dlc_DocId" minOccurs="0"/>
                <xsd:element ref="ns2:TaxCatchAll" minOccurs="0"/>
                <xsd:element ref="ns3:gfba5f33532c49208d2320ce38cc3c2b"/>
                <xsd:element ref="ns3:_dlc_DocIdPersistId" minOccurs="0"/>
                <xsd:element ref="ns3:e4fe7dcdd1c0411bbf19a4de3665191f"/>
                <xsd:element ref="ns3:_dlc_DocIdUrl" minOccurs="0"/>
                <xsd:element ref="ns2:TaxCatchAllLabel" minOccurs="0"/>
                <xsd:element ref="ns3:oae75e2df9d943898d59cb03ca0993c5" minOccurs="0"/>
                <xsd:element ref="ns4:Keydoc" minOccurs="0"/>
                <xsd:element ref="ns4:Projectname" minOccurs="0"/>
                <xsd:element ref="ns4:Measureorigin" minOccurs="0"/>
                <xsd:element ref="ns4:Act_x0028_s_x0029_beingamended" minOccurs="0"/>
                <xsd:element ref="ns2:PT_x002f_Measure_x0020_No."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8"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37" nillable="true" ma:displayName="PT/Measure No." ma:internalName="PT_x002F_Measure_x0020_No_x002e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Cc" ma:index="7" nillable="true" ma:displayName="Cc" ma:internalName="Cc" ma:readOnly="false">
      <xsd:simpleType>
        <xsd:restriction base="dms:Note">
          <xsd:maxLength value="255"/>
        </xsd:restriction>
      </xsd:simpleType>
    </xsd:element>
    <xsd:element name="Date12" ma:index="8" nillable="true" ma:displayName="Date" ma:description="The date and time when the message was sent" ma:format="DateTime" ma:internalName="Date12" ma:readOnly="false">
      <xsd:simpleType>
        <xsd:restriction base="dms:DateTime"/>
      </xsd:simpleType>
    </xsd:element>
    <xsd:element name="EmailAttachments" ma:index="9" nillable="true" ma:displayName="EmailAttachments" ma:default="0" ma:description="Indicates if the e-mail message contains one or more attachments" ma:internalName="EmailAttachments" ma:readOnly="false">
      <xsd:simpleType>
        <xsd:restriction base="dms:Boolean"/>
      </xsd:simpleType>
    </xsd:element>
    <xsd:element name="From1" ma:index="10" nillable="true" ma:displayName="From" ma:description="The identity of the person who sent the message." ma:internalName="From1" ma:readOnly="false">
      <xsd:simpleType>
        <xsd:restriction base="dms:Text">
          <xsd:maxLength value="255"/>
        </xsd:restriction>
      </xsd:simpleType>
    </xsd:element>
    <xsd:element name="MailIn-Reply-To" ma:index="11" nillable="true" ma:displayName="MailIn-Reply-To" ma:description="The contents of this field identify previous correspondence that this message answers" ma:internalName="MailIn_x002d_Reply_x002d_To" ma:readOnly="false">
      <xsd:simpleType>
        <xsd:restriction base="dms:Text">
          <xsd:maxLength value="255"/>
        </xsd:restriction>
      </xsd:simpleType>
    </xsd:element>
    <xsd:element name="MailReferences" ma:index="12" nillable="true" ma:displayName="MailReferences" ma:description="The contents of this field identify other correspondence that this message answers" ma:internalName="MailReferences" ma:readOnly="false">
      <xsd:simpleType>
        <xsd:restriction base="dms:Text">
          <xsd:maxLength value="255"/>
        </xsd:restriction>
      </xsd:simpleType>
    </xsd:element>
    <xsd:element name="MailSubject" ma:index="13" nillable="true" ma:displayName="MailSubject" ma:description="A summary of the message" ma:internalName="MailSubject" ma:readOnly="false">
      <xsd:simpleType>
        <xsd:restriction base="dms:Text">
          <xsd:maxLength value="255"/>
        </xsd:restriction>
      </xsd:simpleType>
    </xsd:element>
    <xsd:element name="MailTo" ma:index="14" nillable="true" ma:displayName="MailTo" ma:internalName="MailTo" ma:readOnly="false">
      <xsd:simpleType>
        <xsd:restriction base="dms:Note">
          <xsd:maxLength value="255"/>
        </xsd:restriction>
      </xsd:simpleType>
    </xsd:element>
    <xsd:element name="OriginalSubject" ma:index="15" nillable="true" ma:displayName="OriginalSubject" ma:internalName="OriginalSubject" ma:readOnly="false">
      <xsd:simpleType>
        <xsd:restriction base="dms:Text">
          <xsd:maxLength value="255"/>
        </xsd:restriction>
      </xsd:simpleType>
    </xsd:element>
    <xsd:element name="a48f371a4a874164b16a8c4aab488f5c" ma:index="17"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0"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gfba5f33532c49208d2320ce38cc3c2b" ma:index="2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e4fe7dcdd1c0411bbf19a4de3665191f" ma:index="29"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oae75e2df9d943898d59cb03ca0993c5" ma:index="32" nillable="true" ma:displayName="Topics_1" ma:hidden="true" ma:internalName="oae75e2df9d943898d59cb03ca0993c5"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Keydoc" ma:index="33"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34"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35"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36"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5D7SUYYWNZQE-981606584-776</_dlc_DocId>
    <_dlc_DocIdUrl xmlns="fe39d773-a83d-4623-ae74-f25711a76616">
      <Url>https://austreasury.sharepoint.com/sites/leg-meas-function/_layouts/15/DocIdRedir.aspx?ID=5D7SUYYWNZQE-981606584-776</Url>
      <Description>5D7SUYYWNZQE-981606584-776</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TaxCatchAll xmlns="ff38c824-6e29-4496-8487-69f397e7ed29">
      <Value>153</Value>
      <Value>96</Value>
      <Value>3</Value>
      <Value>1</Value>
      <Value>28</Value>
    </TaxCatchAll>
    <MailIn-Reply-To xmlns="fe39d773-a83d-4623-ae74-f25711a76616" xsi:nil="true"/>
    <Cc xmlns="fe39d773-a83d-4623-ae74-f25711a76616" xsi:nil="true"/>
    <DocumentSetDescription xmlns="http://schemas.microsoft.com/sharepoint/v3" xsi:nil="true"/>
    <Measureorigin xmlns="a289cb20-8bb9-401f-8d7b-706fb1a2988d" xsi:nil="true"/>
    <PT_x002f_Measure_x0020_No. xmlns="ff38c824-6e29-4496-8487-69f397e7ed29">TSY/46/989</PT_x002f_Measure_x0020_No.>
    <From1 xmlns="fe39d773-a83d-4623-ae74-f25711a76616" xsi:nil="true"/>
    <MailSubject xmlns="fe39d773-a83d-4623-ae74-f25711a76616" xsi:nil="true"/>
    <Keydoc xmlns="a289cb20-8bb9-401f-8d7b-706fb1a2988d" xsi:nil="true"/>
    <Act_x0028_s_x0029_beingamended xmlns="a289cb20-8bb9-401f-8d7b-706fb1a2988d" xsi:nil="true"/>
    <Date12 xmlns="fe39d773-a83d-4623-ae74-f25711a76616" xsi:nil="true"/>
    <MailReferences xmlns="fe39d773-a83d-4623-ae74-f25711a76616" xsi:nil="true"/>
    <OriginalSubject xmlns="fe39d773-a83d-4623-ae74-f25711a76616" xsi:nil="true"/>
    <Projectname xmlns="a289cb20-8bb9-401f-8d7b-706fb1a2988d" xsi:nil="true"/>
    <oae75e2df9d943898d59cb03ca0993c5 xmlns="fe39d773-a83d-4623-ae74-f25711a76616" xsi:nil="true"/>
    <EmailAttachments xmlns="fe39d773-a83d-4623-ae74-f25711a76616">false</EmailAttachments>
    <MailTo xmlns="fe39d773-a83d-4623-ae74-f25711a76616" xsi:nil="true"/>
  </documentManagement>
</p:properties>
</file>

<file path=customXml/itemProps1.xml><?xml version="1.0" encoding="utf-8"?>
<ds:datastoreItem xmlns:ds="http://schemas.openxmlformats.org/officeDocument/2006/customXml" ds:itemID="{E5F1B5D2-C501-4481-BAE1-8C28832F9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8c824-6e29-4496-8487-69f397e7ed29"/>
    <ds:schemaRef ds:uri="fe39d773-a83d-4623-ae74-f25711a76616"/>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4.xml><?xml version="1.0" encoding="utf-8"?>
<ds:datastoreItem xmlns:ds="http://schemas.openxmlformats.org/officeDocument/2006/customXml" ds:itemID="{72AEC2BA-AE17-4950-B3EF-899968B6381E}">
  <ds:schemaRefs>
    <ds:schemaRef ds:uri="http://schemas.microsoft.com/sharepoint/events"/>
  </ds:schemaRefs>
</ds:datastoreItem>
</file>

<file path=customXml/itemProps5.xml><?xml version="1.0" encoding="utf-8"?>
<ds:datastoreItem xmlns:ds="http://schemas.openxmlformats.org/officeDocument/2006/customXml" ds:itemID="{46278533-3486-40E5-9013-DD26FD164D39}">
  <ds:schemaRef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schemas.openxmlformats.org/package/2006/metadata/core-properties"/>
    <ds:schemaRef ds:uri="http://purl.org/dc/elements/1.1/"/>
    <ds:schemaRef ds:uri="http://schemas.microsoft.com/sharepoint/v3"/>
    <ds:schemaRef ds:uri="a289cb20-8bb9-401f-8d7b-706fb1a2988d"/>
    <ds:schemaRef ds:uri="fe39d773-a83d-4623-ae74-f25711a76616"/>
    <ds:schemaRef ds:uri="ff38c824-6e29-4496-8487-69f397e7ed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Sub-ES.dotx</Template>
  <TotalTime>2627</TotalTime>
  <Pages>6</Pages>
  <Words>2477</Words>
  <Characters>14476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Explanatory statement: Financial advisers – amendments to certain legislative instruments</vt:lpstr>
    </vt:vector>
  </TitlesOfParts>
  <Company>Treasury</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Financial advisers – amendments to certain legislative instruments</dc:title>
  <dc:creator>Treasury</dc:creator>
  <cp:lastModifiedBy>Pazios, Georgia</cp:lastModifiedBy>
  <cp:revision>1080</cp:revision>
  <cp:lastPrinted>2019-02-17T23:23:00Z</cp:lastPrinted>
  <dcterms:created xsi:type="dcterms:W3CDTF">2023-08-14T05:23:00Z</dcterms:created>
  <dcterms:modified xsi:type="dcterms:W3CDTF">2024-01-29T05:09:00Z</dcterms:modified>
</cp:coreProperties>
</file>