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2C0" w14:textId="77777777" w:rsidR="008E134D" w:rsidRPr="00966C31" w:rsidRDefault="008E134D" w:rsidP="00E61401">
      <w:pPr>
        <w:pStyle w:val="Heading1"/>
        <w:spacing w:before="0"/>
        <w:rPr>
          <w:rFonts w:asciiTheme="minorHAnsi" w:eastAsia="Times New Roman" w:hAnsiTheme="minorHAnsi" w:cstheme="minorHAnsi"/>
          <w:b/>
          <w:bCs/>
          <w:color w:val="auto"/>
          <w:sz w:val="40"/>
          <w:szCs w:val="40"/>
          <w:lang w:eastAsia="en-AU"/>
        </w:rPr>
      </w:pPr>
      <w:r w:rsidRPr="00966C31">
        <w:rPr>
          <w:rFonts w:asciiTheme="minorHAnsi" w:eastAsia="Times New Roman" w:hAnsiTheme="minorHAnsi" w:cstheme="minorHAnsi"/>
          <w:b/>
          <w:bCs/>
          <w:color w:val="auto"/>
          <w:sz w:val="40"/>
          <w:szCs w:val="40"/>
          <w:lang w:eastAsia="en-AU"/>
        </w:rPr>
        <w:t>Statement of Expectations:</w:t>
      </w:r>
    </w:p>
    <w:p w14:paraId="3C347607" w14:textId="67FD009C" w:rsidR="008E134D" w:rsidRPr="00966C31" w:rsidRDefault="008E134D" w:rsidP="00E61401">
      <w:pPr>
        <w:pStyle w:val="Heading1"/>
        <w:spacing w:before="0"/>
        <w:rPr>
          <w:rFonts w:asciiTheme="minorHAnsi" w:eastAsia="Times New Roman" w:hAnsiTheme="minorHAnsi" w:cstheme="minorHAnsi"/>
          <w:b/>
          <w:bCs/>
          <w:color w:val="auto"/>
          <w:sz w:val="40"/>
          <w:szCs w:val="40"/>
          <w:lang w:eastAsia="en-AU"/>
        </w:rPr>
      </w:pPr>
      <w:r w:rsidRPr="00966C31">
        <w:rPr>
          <w:rFonts w:asciiTheme="minorHAnsi" w:eastAsia="Times New Roman" w:hAnsiTheme="minorHAnsi" w:cstheme="minorHAnsi"/>
          <w:b/>
          <w:bCs/>
          <w:color w:val="auto"/>
          <w:sz w:val="40"/>
          <w:szCs w:val="40"/>
          <w:lang w:eastAsia="en-AU"/>
        </w:rPr>
        <w:t>Australian Charities and Not-for-profits Commission</w:t>
      </w:r>
      <w:r w:rsidR="00D84562">
        <w:rPr>
          <w:rFonts w:asciiTheme="minorHAnsi" w:eastAsia="Times New Roman" w:hAnsiTheme="minorHAnsi" w:cstheme="minorHAnsi"/>
          <w:b/>
          <w:bCs/>
          <w:color w:val="auto"/>
          <w:sz w:val="40"/>
          <w:szCs w:val="40"/>
          <w:lang w:eastAsia="en-AU"/>
        </w:rPr>
        <w:t>er</w:t>
      </w:r>
    </w:p>
    <w:p w14:paraId="43A0C222" w14:textId="3687091A" w:rsidR="008E134D" w:rsidRPr="00966C31" w:rsidRDefault="00D63FF5" w:rsidP="00E61401">
      <w:pPr>
        <w:pStyle w:val="Heading1"/>
        <w:spacing w:before="200"/>
        <w:rPr>
          <w:rFonts w:asciiTheme="minorHAnsi" w:eastAsia="Times New Roman" w:hAnsiTheme="minorHAnsi" w:cstheme="minorHAnsi"/>
          <w:color w:val="auto"/>
          <w:sz w:val="22"/>
          <w:szCs w:val="22"/>
          <w:lang w:eastAsia="en-AU"/>
        </w:rPr>
      </w:pPr>
      <w:r>
        <w:rPr>
          <w:rFonts w:asciiTheme="minorHAnsi" w:eastAsia="Times New Roman" w:hAnsiTheme="minorHAnsi" w:cstheme="minorHAnsi"/>
          <w:color w:val="auto"/>
          <w:sz w:val="22"/>
          <w:szCs w:val="22"/>
          <w:lang w:eastAsia="en-AU"/>
        </w:rPr>
        <w:t>January</w:t>
      </w:r>
      <w:r w:rsidR="009D2471" w:rsidRPr="00966C31">
        <w:rPr>
          <w:rFonts w:asciiTheme="minorHAnsi" w:eastAsia="Times New Roman" w:hAnsiTheme="minorHAnsi" w:cstheme="minorHAnsi"/>
          <w:color w:val="auto"/>
          <w:sz w:val="22"/>
          <w:szCs w:val="22"/>
          <w:lang w:eastAsia="en-AU"/>
        </w:rPr>
        <w:t xml:space="preserve"> </w:t>
      </w:r>
      <w:r w:rsidR="008E134D" w:rsidRPr="00966C31">
        <w:rPr>
          <w:rFonts w:asciiTheme="minorHAnsi" w:eastAsia="Times New Roman" w:hAnsiTheme="minorHAnsi" w:cstheme="minorHAnsi"/>
          <w:color w:val="auto"/>
          <w:sz w:val="22"/>
          <w:szCs w:val="22"/>
          <w:lang w:eastAsia="en-AU"/>
        </w:rPr>
        <w:t>202</w:t>
      </w:r>
      <w:r>
        <w:rPr>
          <w:rFonts w:asciiTheme="minorHAnsi" w:eastAsia="Times New Roman" w:hAnsiTheme="minorHAnsi" w:cstheme="minorHAnsi"/>
          <w:color w:val="auto"/>
          <w:sz w:val="22"/>
          <w:szCs w:val="22"/>
          <w:lang w:eastAsia="en-AU"/>
        </w:rPr>
        <w:t>4</w:t>
      </w:r>
    </w:p>
    <w:p w14:paraId="09447928" w14:textId="2B569635" w:rsidR="008E134D" w:rsidRDefault="008E134D" w:rsidP="008E134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357" w:hanging="357"/>
        <w:contextualSpacing w:val="0"/>
        <w:rPr>
          <w:rFonts w:eastAsia="Times New Roman" w:cstheme="minorHAnsi"/>
          <w:lang w:eastAsia="en-AU"/>
        </w:rPr>
      </w:pPr>
      <w:r w:rsidRPr="00DC165F">
        <w:rPr>
          <w:rFonts w:eastAsia="Times New Roman" w:cstheme="minorHAnsi"/>
          <w:lang w:eastAsia="en-AU"/>
        </w:rPr>
        <w:t xml:space="preserve">This Statement of Expectations outlines the Australian Government's expectations of how the </w:t>
      </w:r>
      <w:r w:rsidR="00B45889">
        <w:rPr>
          <w:rFonts w:eastAsia="Times New Roman" w:cstheme="minorHAnsi"/>
          <w:lang w:eastAsia="en-AU"/>
        </w:rPr>
        <w:t xml:space="preserve">Commissioner of the </w:t>
      </w:r>
      <w:r w:rsidRPr="00DC165F">
        <w:rPr>
          <w:rFonts w:eastAsia="Times New Roman" w:cstheme="minorHAnsi"/>
          <w:lang w:eastAsia="en-AU"/>
        </w:rPr>
        <w:t xml:space="preserve">Australian Charities and Not-for-profits Commission (ACNC) will </w:t>
      </w:r>
      <w:r w:rsidR="00B45889">
        <w:rPr>
          <w:rFonts w:eastAsia="Times New Roman" w:cstheme="minorHAnsi"/>
          <w:lang w:eastAsia="en-AU"/>
        </w:rPr>
        <w:t xml:space="preserve">ensure </w:t>
      </w:r>
      <w:r w:rsidR="0008580D">
        <w:rPr>
          <w:rFonts w:eastAsia="Times New Roman" w:cstheme="minorHAnsi"/>
          <w:lang w:eastAsia="en-AU"/>
        </w:rPr>
        <w:t xml:space="preserve">the ACNC </w:t>
      </w:r>
      <w:r w:rsidRPr="00DC165F">
        <w:rPr>
          <w:rFonts w:eastAsia="Times New Roman" w:cstheme="minorHAnsi"/>
          <w:lang w:eastAsia="en-AU"/>
        </w:rPr>
        <w:t>achieve</w:t>
      </w:r>
      <w:r w:rsidR="0008580D">
        <w:rPr>
          <w:rFonts w:eastAsia="Times New Roman" w:cstheme="minorHAnsi"/>
          <w:lang w:eastAsia="en-AU"/>
        </w:rPr>
        <w:t>s</w:t>
      </w:r>
      <w:r w:rsidRPr="00DC165F">
        <w:rPr>
          <w:rFonts w:eastAsia="Times New Roman" w:cstheme="minorHAnsi"/>
          <w:lang w:eastAsia="en-AU"/>
        </w:rPr>
        <w:t xml:space="preserve"> its objectives, carr</w:t>
      </w:r>
      <w:r w:rsidR="0008580D">
        <w:rPr>
          <w:rFonts w:eastAsia="Times New Roman" w:cstheme="minorHAnsi"/>
          <w:lang w:eastAsia="en-AU"/>
        </w:rPr>
        <w:t>ies</w:t>
      </w:r>
      <w:r w:rsidRPr="00DC165F">
        <w:rPr>
          <w:rFonts w:eastAsia="Times New Roman" w:cstheme="minorHAnsi"/>
          <w:lang w:eastAsia="en-AU"/>
        </w:rPr>
        <w:t xml:space="preserve"> out its functions and exercise</w:t>
      </w:r>
      <w:r w:rsidR="0008580D">
        <w:rPr>
          <w:rFonts w:eastAsia="Times New Roman" w:cstheme="minorHAnsi"/>
          <w:lang w:eastAsia="en-AU"/>
        </w:rPr>
        <w:t>s</w:t>
      </w:r>
      <w:r w:rsidRPr="00DC165F">
        <w:rPr>
          <w:rFonts w:eastAsia="Times New Roman" w:cstheme="minorHAnsi"/>
          <w:lang w:eastAsia="en-AU"/>
        </w:rPr>
        <w:t xml:space="preserve"> its powers</w:t>
      </w:r>
      <w:r w:rsidR="00446861">
        <w:rPr>
          <w:rFonts w:eastAsia="Times New Roman" w:cstheme="minorHAnsi"/>
          <w:lang w:eastAsia="en-AU"/>
        </w:rPr>
        <w:t>,</w:t>
      </w:r>
      <w:r w:rsidR="004B471D">
        <w:rPr>
          <w:rFonts w:eastAsia="Times New Roman" w:cstheme="minorHAnsi"/>
          <w:lang w:eastAsia="en-AU"/>
        </w:rPr>
        <w:t xml:space="preserve"> while acknowledging the </w:t>
      </w:r>
      <w:r w:rsidR="00691A9E">
        <w:rPr>
          <w:rFonts w:eastAsia="Times New Roman" w:cstheme="minorHAnsi"/>
          <w:lang w:eastAsia="en-AU"/>
        </w:rPr>
        <w:t>ACNC Commissioner’s statutory independence</w:t>
      </w:r>
      <w:r w:rsidRPr="00DC165F">
        <w:rPr>
          <w:rFonts w:eastAsia="Times New Roman" w:cstheme="minorHAnsi"/>
          <w:lang w:eastAsia="en-AU"/>
        </w:rPr>
        <w:t>. It is to be read alongside the laws that apply to the ACNC and the laws that the ACNC administers.</w:t>
      </w:r>
    </w:p>
    <w:p w14:paraId="40097254" w14:textId="4378B847" w:rsidR="005F2724" w:rsidRPr="00DC165F" w:rsidRDefault="005F2724" w:rsidP="008E134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ind w:left="357" w:hanging="357"/>
        <w:contextualSpacing w:val="0"/>
        <w:rPr>
          <w:rFonts w:eastAsia="Times New Roman" w:cstheme="minorHAnsi"/>
          <w:lang w:eastAsia="en-AU"/>
        </w:rPr>
      </w:pPr>
      <w:r>
        <w:rPr>
          <w:rFonts w:eastAsia="Times New Roman" w:cstheme="minorHAnsi"/>
          <w:lang w:eastAsia="en-AU"/>
        </w:rPr>
        <w:t>For the purpose</w:t>
      </w:r>
      <w:r w:rsidR="0058244C">
        <w:rPr>
          <w:rFonts w:eastAsia="Times New Roman" w:cstheme="minorHAnsi"/>
          <w:lang w:eastAsia="en-AU"/>
        </w:rPr>
        <w:t>s</w:t>
      </w:r>
      <w:r w:rsidR="00B27764">
        <w:rPr>
          <w:rFonts w:eastAsia="Times New Roman" w:cstheme="minorHAnsi"/>
          <w:lang w:eastAsia="en-AU"/>
        </w:rPr>
        <w:t xml:space="preserve"> </w:t>
      </w:r>
      <w:r>
        <w:rPr>
          <w:rFonts w:eastAsia="Times New Roman" w:cstheme="minorHAnsi"/>
          <w:lang w:eastAsia="en-AU"/>
        </w:rPr>
        <w:t>of this Statement of Expectations</w:t>
      </w:r>
      <w:r w:rsidR="00366A66">
        <w:rPr>
          <w:rFonts w:eastAsia="Times New Roman" w:cstheme="minorHAnsi"/>
          <w:lang w:eastAsia="en-AU"/>
        </w:rPr>
        <w:t>, the term</w:t>
      </w:r>
      <w:r w:rsidR="00D5531C">
        <w:rPr>
          <w:rFonts w:eastAsia="Times New Roman" w:cstheme="minorHAnsi"/>
          <w:lang w:eastAsia="en-AU"/>
        </w:rPr>
        <w:t xml:space="preserve"> ACNC and </w:t>
      </w:r>
      <w:r w:rsidR="00366A66">
        <w:rPr>
          <w:rFonts w:eastAsia="Times New Roman" w:cstheme="minorHAnsi"/>
          <w:lang w:eastAsia="en-AU"/>
        </w:rPr>
        <w:t>ACNC Commissioner</w:t>
      </w:r>
      <w:r w:rsidR="00DD0C04">
        <w:rPr>
          <w:rFonts w:eastAsia="Times New Roman" w:cstheme="minorHAnsi"/>
          <w:lang w:eastAsia="en-AU"/>
        </w:rPr>
        <w:t xml:space="preserve"> includes the staff who are</w:t>
      </w:r>
      <w:r w:rsidR="00C16A29">
        <w:rPr>
          <w:rFonts w:eastAsia="Times New Roman" w:cstheme="minorHAnsi"/>
          <w:lang w:eastAsia="en-AU"/>
        </w:rPr>
        <w:t xml:space="preserve">, under the </w:t>
      </w:r>
      <w:r w:rsidR="003E0A66" w:rsidRPr="005E0BF9">
        <w:rPr>
          <w:i/>
          <w:iCs/>
        </w:rPr>
        <w:t>Australian Charities and Not-for-profits Commission Act 2012</w:t>
      </w:r>
      <w:r w:rsidR="003E0A66" w:rsidRPr="005E0BF9">
        <w:t xml:space="preserve"> (ACNC Act)</w:t>
      </w:r>
      <w:r w:rsidR="00C16A29">
        <w:rPr>
          <w:rFonts w:eastAsia="Times New Roman" w:cstheme="minorHAnsi"/>
          <w:lang w:eastAsia="en-AU"/>
        </w:rPr>
        <w:t>,</w:t>
      </w:r>
      <w:r w:rsidR="00DD0C04">
        <w:rPr>
          <w:rFonts w:eastAsia="Times New Roman" w:cstheme="minorHAnsi"/>
          <w:lang w:eastAsia="en-AU"/>
        </w:rPr>
        <w:t xml:space="preserve"> provided by the Commissioner of Taxation to support the </w:t>
      </w:r>
      <w:r w:rsidR="00C16A29">
        <w:rPr>
          <w:rFonts w:eastAsia="Times New Roman" w:cstheme="minorHAnsi"/>
          <w:lang w:eastAsia="en-AU"/>
        </w:rPr>
        <w:t>functions of the ACNC Commissioner.</w:t>
      </w:r>
    </w:p>
    <w:p w14:paraId="22E8AF1A" w14:textId="77777777" w:rsidR="008E134D" w:rsidRPr="003E0A66" w:rsidRDefault="008E134D" w:rsidP="008E134D">
      <w:pPr>
        <w:pStyle w:val="Heading2"/>
        <w:spacing w:before="120" w:after="120"/>
        <w:rPr>
          <w:b/>
          <w:caps/>
          <w:sz w:val="28"/>
        </w:rPr>
      </w:pPr>
      <w:r w:rsidRPr="003E0A66">
        <w:rPr>
          <w:rFonts w:asciiTheme="minorHAnsi" w:hAnsiTheme="minorHAnsi"/>
          <w:b/>
          <w:caps/>
          <w:color w:val="auto"/>
          <w:sz w:val="28"/>
        </w:rPr>
        <w:t xml:space="preserve">ACNC’s role </w:t>
      </w:r>
    </w:p>
    <w:p w14:paraId="53923B6E" w14:textId="4584DE4D" w:rsidR="002C6139" w:rsidRDefault="008E134D" w:rsidP="002C613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eastAsia="Times New Roman" w:cstheme="minorHAnsi"/>
          <w:lang w:eastAsia="en-AU"/>
        </w:rPr>
      </w:pPr>
      <w:r w:rsidRPr="00DC165F">
        <w:rPr>
          <w:rFonts w:eastAsia="Times New Roman" w:cstheme="minorHAnsi"/>
          <w:lang w:eastAsia="en-AU"/>
        </w:rPr>
        <w:t xml:space="preserve">The Government expects the </w:t>
      </w:r>
      <w:r w:rsidR="004E763D">
        <w:rPr>
          <w:rFonts w:eastAsia="Times New Roman" w:cstheme="minorHAnsi"/>
          <w:lang w:eastAsia="en-AU"/>
        </w:rPr>
        <w:t>ACNC Commissioner</w:t>
      </w:r>
      <w:r w:rsidR="004E763D" w:rsidRPr="00DC165F" w:rsidDel="004E763D">
        <w:rPr>
          <w:rFonts w:eastAsia="Times New Roman" w:cstheme="minorHAnsi"/>
          <w:lang w:eastAsia="en-AU"/>
        </w:rPr>
        <w:t xml:space="preserve"> </w:t>
      </w:r>
      <w:r w:rsidR="00820F09">
        <w:rPr>
          <w:rFonts w:eastAsia="Times New Roman" w:cstheme="minorHAnsi"/>
          <w:lang w:eastAsia="en-AU"/>
        </w:rPr>
        <w:t>will</w:t>
      </w:r>
      <w:r w:rsidRPr="00DC165F">
        <w:rPr>
          <w:rFonts w:eastAsia="Times New Roman" w:cstheme="minorHAnsi"/>
          <w:lang w:eastAsia="en-AU"/>
        </w:rPr>
        <w:t xml:space="preserve"> contribute to the Government's goals </w:t>
      </w:r>
      <w:r w:rsidR="009E773A">
        <w:rPr>
          <w:rFonts w:eastAsia="Times New Roman" w:cstheme="minorHAnsi"/>
          <w:lang w:eastAsia="en-AU"/>
        </w:rPr>
        <w:t xml:space="preserve">to </w:t>
      </w:r>
      <w:r w:rsidRPr="00A65B49">
        <w:rPr>
          <w:rFonts w:eastAsia="Times New Roman" w:cstheme="minorHAnsi"/>
          <w:lang w:eastAsia="en-AU"/>
        </w:rPr>
        <w:t>build social capital and connectedness in Australian communities</w:t>
      </w:r>
      <w:r>
        <w:rPr>
          <w:rFonts w:eastAsia="Times New Roman" w:cstheme="minorHAnsi"/>
          <w:lang w:eastAsia="en-AU"/>
        </w:rPr>
        <w:t xml:space="preserve"> by </w:t>
      </w:r>
      <w:r w:rsidR="00820F09">
        <w:rPr>
          <w:rFonts w:eastAsia="Times New Roman" w:cstheme="minorHAnsi"/>
          <w:lang w:eastAsia="en-AU"/>
        </w:rPr>
        <w:t xml:space="preserve">ensuring the ACNC is </w:t>
      </w:r>
      <w:r>
        <w:rPr>
          <w:rFonts w:eastAsia="Times New Roman" w:cstheme="minorHAnsi"/>
          <w:lang w:eastAsia="en-AU"/>
        </w:rPr>
        <w:t>supporting and sustaining</w:t>
      </w:r>
      <w:r w:rsidRPr="00DC165F">
        <w:rPr>
          <w:rFonts w:eastAsia="Times New Roman" w:cstheme="minorHAnsi"/>
          <w:lang w:eastAsia="en-AU"/>
        </w:rPr>
        <w:t xml:space="preserve"> a vibrant, transparent, well-governed and innovative charity sector. In </w:t>
      </w:r>
      <w:r w:rsidR="000502FE">
        <w:rPr>
          <w:rFonts w:eastAsia="Times New Roman" w:cstheme="minorHAnsi"/>
          <w:lang w:eastAsia="en-AU"/>
        </w:rPr>
        <w:t>keeping with this expectation</w:t>
      </w:r>
      <w:r w:rsidRPr="00DC165F">
        <w:rPr>
          <w:rFonts w:eastAsia="Times New Roman" w:cstheme="minorHAnsi"/>
          <w:lang w:eastAsia="en-AU"/>
        </w:rPr>
        <w:t xml:space="preserve">, the Government expects the </w:t>
      </w:r>
      <w:r w:rsidR="00F10CCA">
        <w:rPr>
          <w:rFonts w:eastAsia="Times New Roman" w:cstheme="minorHAnsi"/>
          <w:lang w:eastAsia="en-AU"/>
        </w:rPr>
        <w:t xml:space="preserve">Commissioner to ensure that the </w:t>
      </w:r>
      <w:r w:rsidRPr="00DC165F">
        <w:rPr>
          <w:rFonts w:eastAsia="Times New Roman" w:cstheme="minorHAnsi"/>
          <w:lang w:eastAsia="en-AU"/>
        </w:rPr>
        <w:t>ACNC</w:t>
      </w:r>
      <w:r w:rsidR="008047AF">
        <w:rPr>
          <w:rFonts w:eastAsia="Times New Roman" w:cstheme="minorHAnsi"/>
          <w:lang w:eastAsia="en-AU"/>
        </w:rPr>
        <w:t>,</w:t>
      </w:r>
      <w:r w:rsidR="0097414D">
        <w:rPr>
          <w:rFonts w:eastAsia="Times New Roman" w:cstheme="minorHAnsi"/>
          <w:lang w:eastAsia="en-AU"/>
        </w:rPr>
        <w:t xml:space="preserve"> within </w:t>
      </w:r>
      <w:r w:rsidR="008047AF">
        <w:rPr>
          <w:rFonts w:eastAsia="Times New Roman" w:cstheme="minorHAnsi"/>
          <w:lang w:eastAsia="en-AU"/>
        </w:rPr>
        <w:t xml:space="preserve">the greatest extent </w:t>
      </w:r>
      <w:r w:rsidR="00AD0EC6">
        <w:rPr>
          <w:rFonts w:eastAsia="Times New Roman" w:cstheme="minorHAnsi"/>
          <w:lang w:eastAsia="en-AU"/>
        </w:rPr>
        <w:t>of</w:t>
      </w:r>
      <w:r w:rsidR="008047AF">
        <w:rPr>
          <w:rFonts w:eastAsia="Times New Roman" w:cstheme="minorHAnsi"/>
          <w:lang w:eastAsia="en-AU"/>
        </w:rPr>
        <w:t xml:space="preserve"> its powers</w:t>
      </w:r>
      <w:r w:rsidR="00CA5A44">
        <w:rPr>
          <w:rFonts w:eastAsia="Times New Roman" w:cstheme="minorHAnsi"/>
          <w:lang w:eastAsia="en-AU"/>
        </w:rPr>
        <w:t xml:space="preserve">, </w:t>
      </w:r>
      <w:r w:rsidR="007264CE">
        <w:rPr>
          <w:rFonts w:eastAsia="Times New Roman" w:cstheme="minorHAnsi"/>
          <w:lang w:eastAsia="en-AU"/>
        </w:rPr>
        <w:t>will</w:t>
      </w:r>
      <w:r w:rsidRPr="00DC165F">
        <w:rPr>
          <w:rFonts w:eastAsia="Times New Roman" w:cstheme="minorHAnsi"/>
          <w:lang w:eastAsia="en-AU"/>
        </w:rPr>
        <w:t xml:space="preserve">: </w:t>
      </w:r>
    </w:p>
    <w:p w14:paraId="2BFED3A3" w14:textId="002E41CC" w:rsidR="008E134D" w:rsidRPr="002C6139" w:rsidRDefault="008E134D" w:rsidP="002C6139">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eastAsia="Times New Roman" w:cstheme="minorHAnsi"/>
          <w:lang w:eastAsia="en-AU"/>
        </w:rPr>
      </w:pPr>
      <w:r w:rsidRPr="002C6139">
        <w:rPr>
          <w:rFonts w:eastAsia="Times New Roman" w:cstheme="minorHAnsi"/>
          <w:lang w:eastAsia="en-AU"/>
        </w:rPr>
        <w:t>promote the sound functioning of the</w:t>
      </w:r>
      <w:r w:rsidR="00200C2B" w:rsidRPr="002C6139">
        <w:rPr>
          <w:rFonts w:eastAsia="Times New Roman" w:cstheme="minorHAnsi"/>
          <w:lang w:eastAsia="en-AU"/>
        </w:rPr>
        <w:t xml:space="preserve"> charity</w:t>
      </w:r>
      <w:r w:rsidRPr="002C6139">
        <w:rPr>
          <w:rFonts w:eastAsia="Times New Roman" w:cstheme="minorHAnsi"/>
          <w:lang w:eastAsia="en-AU"/>
        </w:rPr>
        <w:t xml:space="preserve"> sector for the benefit of Australians</w:t>
      </w:r>
      <w:r w:rsidR="001D4353" w:rsidRPr="002C6139">
        <w:rPr>
          <w:rFonts w:eastAsia="Times New Roman" w:cstheme="minorHAnsi"/>
          <w:lang w:eastAsia="en-AU"/>
        </w:rPr>
        <w:t xml:space="preserve"> and </w:t>
      </w:r>
      <w:r w:rsidR="002A787B" w:rsidRPr="002C6139">
        <w:rPr>
          <w:rFonts w:eastAsia="Times New Roman" w:cstheme="minorHAnsi"/>
          <w:lang w:eastAsia="en-AU"/>
        </w:rPr>
        <w:t>the overseas communities they support</w:t>
      </w:r>
      <w:r w:rsidRPr="002C6139">
        <w:rPr>
          <w:rFonts w:eastAsia="Times New Roman" w:cstheme="minorHAnsi"/>
          <w:lang w:eastAsia="en-AU"/>
        </w:rPr>
        <w:t>;</w:t>
      </w:r>
    </w:p>
    <w:p w14:paraId="1891512F" w14:textId="68CA8A01" w:rsidR="008E134D" w:rsidRPr="00CE7F04" w:rsidRDefault="008E134D" w:rsidP="008E134D">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eastAsia="Times New Roman" w:cstheme="minorHAnsi"/>
          <w:lang w:eastAsia="en-AU"/>
        </w:rPr>
      </w:pPr>
      <w:r w:rsidRPr="00CE7F04">
        <w:rPr>
          <w:rFonts w:eastAsia="Times New Roman" w:cstheme="minorHAnsi"/>
          <w:lang w:eastAsia="en-AU"/>
        </w:rPr>
        <w:t xml:space="preserve">promote high levels of trust in the sector, ensuring that volunteers, donors and </w:t>
      </w:r>
      <w:r w:rsidR="00D66473" w:rsidRPr="00CE7F04">
        <w:rPr>
          <w:rFonts w:eastAsia="Times New Roman" w:cstheme="minorHAnsi"/>
          <w:lang w:eastAsia="en-AU"/>
        </w:rPr>
        <w:t xml:space="preserve">the </w:t>
      </w:r>
      <w:r w:rsidR="00DF624E" w:rsidRPr="00CE7F04">
        <w:rPr>
          <w:rFonts w:eastAsia="Times New Roman" w:cstheme="minorHAnsi"/>
          <w:lang w:eastAsia="en-AU"/>
        </w:rPr>
        <w:t>public have</w:t>
      </w:r>
      <w:r w:rsidRPr="00CE7F04">
        <w:rPr>
          <w:rFonts w:eastAsia="Times New Roman" w:cstheme="minorHAnsi"/>
          <w:lang w:eastAsia="en-AU"/>
        </w:rPr>
        <w:t xml:space="preserve"> access to appropriate information about </w:t>
      </w:r>
      <w:proofErr w:type="gramStart"/>
      <w:r w:rsidRPr="00CE7F04">
        <w:rPr>
          <w:rFonts w:eastAsia="Times New Roman" w:cstheme="minorHAnsi"/>
          <w:lang w:eastAsia="en-AU"/>
        </w:rPr>
        <w:t>charities;</w:t>
      </w:r>
      <w:proofErr w:type="gramEnd"/>
      <w:r w:rsidRPr="00CE7F04">
        <w:rPr>
          <w:rFonts w:eastAsia="Times New Roman" w:cstheme="minorHAnsi"/>
          <w:lang w:eastAsia="en-AU"/>
        </w:rPr>
        <w:t xml:space="preserve">   </w:t>
      </w:r>
    </w:p>
    <w:p w14:paraId="19E443C1" w14:textId="155119A0" w:rsidR="008E134D" w:rsidRPr="00CE7F04" w:rsidRDefault="008E134D" w:rsidP="008E134D">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eastAsia="Times New Roman" w:cstheme="minorHAnsi"/>
          <w:lang w:eastAsia="en-AU"/>
        </w:rPr>
      </w:pPr>
      <w:r w:rsidRPr="00CE7F04">
        <w:rPr>
          <w:rFonts w:eastAsia="Times New Roman" w:cstheme="minorHAnsi"/>
          <w:lang w:eastAsia="en-AU"/>
        </w:rPr>
        <w:t xml:space="preserve">where appropriate, encourage collaboration and information-sharing between different charities that wish to work together on addressing common challenges; </w:t>
      </w:r>
      <w:r w:rsidR="00730B41">
        <w:rPr>
          <w:rFonts w:eastAsia="Times New Roman" w:cstheme="minorHAnsi"/>
          <w:lang w:eastAsia="en-AU"/>
        </w:rPr>
        <w:t>and</w:t>
      </w:r>
    </w:p>
    <w:p w14:paraId="002C7245" w14:textId="443FEFD4" w:rsidR="008E134D" w:rsidRPr="00CE7F04" w:rsidRDefault="008E134D" w:rsidP="008E134D">
      <w:pPr>
        <w:pStyle w:val="ListParagraph"/>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contextualSpacing w:val="0"/>
        <w:rPr>
          <w:rFonts w:eastAsia="Times New Roman" w:cstheme="minorHAnsi"/>
          <w:lang w:eastAsia="en-AU"/>
        </w:rPr>
      </w:pPr>
      <w:r w:rsidRPr="00CE7F04">
        <w:rPr>
          <w:rFonts w:eastAsia="Times New Roman" w:cstheme="minorHAnsi"/>
          <w:lang w:eastAsia="en-AU"/>
        </w:rPr>
        <w:t>minimise the costs and burdens of regulatory requirements for registered entities, including by working with states and territories to remove unnecessary regulatory burdens and duplicate requirements</w:t>
      </w:r>
      <w:r w:rsidR="00730B41">
        <w:rPr>
          <w:rFonts w:eastAsia="Times New Roman" w:cstheme="minorHAnsi"/>
          <w:lang w:eastAsia="en-AU"/>
        </w:rPr>
        <w:t>.</w:t>
      </w:r>
    </w:p>
    <w:p w14:paraId="5E3153FF" w14:textId="77777777" w:rsidR="008E134D" w:rsidRPr="00D63FF5" w:rsidRDefault="008E134D" w:rsidP="008E134D">
      <w:pPr>
        <w:pStyle w:val="Heading2"/>
        <w:spacing w:before="120" w:after="120"/>
        <w:rPr>
          <w:b/>
          <w:sz w:val="28"/>
        </w:rPr>
      </w:pPr>
      <w:r w:rsidRPr="003E0A66">
        <w:rPr>
          <w:rFonts w:asciiTheme="minorHAnsi" w:hAnsiTheme="minorHAnsi"/>
          <w:b/>
          <w:caps/>
          <w:color w:val="auto"/>
          <w:sz w:val="28"/>
        </w:rPr>
        <w:t xml:space="preserve">The Government’s priorities and objectives </w:t>
      </w:r>
    </w:p>
    <w:p w14:paraId="57568FF4" w14:textId="642AD794" w:rsidR="005E0BF9" w:rsidRDefault="002E7946" w:rsidP="005E0BF9">
      <w:pPr>
        <w:pStyle w:val="OutlineNumbered1"/>
        <w:numPr>
          <w:ilvl w:val="0"/>
          <w:numId w:val="1"/>
        </w:numPr>
        <w:spacing w:after="120"/>
      </w:pPr>
      <w:r>
        <w:t>To</w:t>
      </w:r>
      <w:r w:rsidRPr="00DC165F">
        <w:t xml:space="preserve"> </w:t>
      </w:r>
      <w:r w:rsidR="00730B41">
        <w:t>ensur</w:t>
      </w:r>
      <w:r>
        <w:t>e</w:t>
      </w:r>
      <w:r w:rsidR="00730B41">
        <w:t xml:space="preserve"> the ACNC is </w:t>
      </w:r>
      <w:r w:rsidR="008E134D" w:rsidRPr="00DC165F">
        <w:t xml:space="preserve">achieving its objectives, carrying out its functions, and exercising its powers, the Government also expects </w:t>
      </w:r>
      <w:r w:rsidR="004B6ABC">
        <w:t xml:space="preserve">the Commissioner </w:t>
      </w:r>
      <w:r w:rsidR="00FD6B99">
        <w:t>to</w:t>
      </w:r>
      <w:r w:rsidR="004B6ABC">
        <w:t xml:space="preserve"> ensure </w:t>
      </w:r>
      <w:r w:rsidR="008E134D" w:rsidRPr="00DC165F">
        <w:t>the ACNC</w:t>
      </w:r>
      <w:r w:rsidR="00014964">
        <w:t xml:space="preserve"> </w:t>
      </w:r>
      <w:r w:rsidR="00FD6B99">
        <w:t>will</w:t>
      </w:r>
      <w:r w:rsidR="008E134D" w:rsidRPr="00DC165F">
        <w:t xml:space="preserve">: </w:t>
      </w:r>
    </w:p>
    <w:p w14:paraId="7FB3AE32" w14:textId="5A9D278C" w:rsidR="005E0BF9" w:rsidRDefault="008E134D" w:rsidP="00D63FF5">
      <w:pPr>
        <w:pStyle w:val="OutlineNumbered1"/>
        <w:numPr>
          <w:ilvl w:val="1"/>
          <w:numId w:val="1"/>
        </w:numPr>
        <w:spacing w:after="120"/>
      </w:pPr>
      <w:r w:rsidRPr="00DC165F">
        <w:t xml:space="preserve">ensure its actions are not inconsistent with the policies of the Government in accordance with section 21 of the </w:t>
      </w:r>
      <w:r w:rsidRPr="005E0BF9">
        <w:rPr>
          <w:i/>
          <w:iCs/>
        </w:rPr>
        <w:t xml:space="preserve">Public Governance, Performance and Accountability Act 2013 </w:t>
      </w:r>
      <w:r w:rsidRPr="00DC165F">
        <w:t xml:space="preserve">(PGPA Act); </w:t>
      </w:r>
    </w:p>
    <w:p w14:paraId="3682F1A9" w14:textId="77777777" w:rsidR="005E0BF9" w:rsidRDefault="008E134D" w:rsidP="00D63FF5">
      <w:pPr>
        <w:pStyle w:val="OutlineNumbered1"/>
        <w:numPr>
          <w:ilvl w:val="1"/>
          <w:numId w:val="1"/>
        </w:numPr>
        <w:spacing w:after="120"/>
      </w:pPr>
      <w:r w:rsidRPr="00DC165F">
        <w:t>provide appropriate guidance to assist registered entities to</w:t>
      </w:r>
      <w:r>
        <w:t xml:space="preserve"> understand and</w:t>
      </w:r>
      <w:r w:rsidRPr="00DC165F">
        <w:t xml:space="preserve"> comply with the ACNC Act;</w:t>
      </w:r>
    </w:p>
    <w:p w14:paraId="67B5201E" w14:textId="77777777" w:rsidR="005E0BF9" w:rsidRDefault="008E134D" w:rsidP="00D63FF5">
      <w:pPr>
        <w:pStyle w:val="OutlineNumbered1"/>
        <w:numPr>
          <w:ilvl w:val="1"/>
          <w:numId w:val="1"/>
        </w:numPr>
        <w:spacing w:after="120"/>
      </w:pPr>
      <w:r w:rsidRPr="006B3482">
        <w:t xml:space="preserve">provide public information about registered charities, including their obligations and the ACNC regulatory functions, through a register and website; </w:t>
      </w:r>
    </w:p>
    <w:p w14:paraId="0BEE7EB8" w14:textId="77777777" w:rsidR="005E0BF9" w:rsidRDefault="008E134D" w:rsidP="00D63FF5">
      <w:pPr>
        <w:pStyle w:val="OutlineNumbered1"/>
        <w:numPr>
          <w:ilvl w:val="1"/>
          <w:numId w:val="1"/>
        </w:numPr>
        <w:spacing w:after="120"/>
      </w:pPr>
      <w:r w:rsidRPr="00DC165F">
        <w:t xml:space="preserve">identify and reduce the risk of misconduct through well-targeted and proportionate guidance and education and monitoring and enforcement activities; and </w:t>
      </w:r>
    </w:p>
    <w:p w14:paraId="79C379B0" w14:textId="338055EF" w:rsidR="008E134D" w:rsidRDefault="008E134D" w:rsidP="00D63FF5">
      <w:pPr>
        <w:pStyle w:val="OutlineNumbered1"/>
        <w:numPr>
          <w:ilvl w:val="1"/>
          <w:numId w:val="1"/>
        </w:numPr>
        <w:spacing w:after="120"/>
      </w:pPr>
      <w:r w:rsidRPr="009F3B50">
        <w:lastRenderedPageBreak/>
        <w:t>act independently in</w:t>
      </w:r>
      <w:r>
        <w:t xml:space="preserve"> performing</w:t>
      </w:r>
      <w:r w:rsidRPr="009F3B50">
        <w:t xml:space="preserve"> its regulatory functions including enforcement actions, </w:t>
      </w:r>
      <w:r>
        <w:t>monitoring</w:t>
      </w:r>
      <w:r w:rsidRPr="009F3B50">
        <w:t xml:space="preserve"> activities and </w:t>
      </w:r>
      <w:r>
        <w:t xml:space="preserve">registration </w:t>
      </w:r>
      <w:r w:rsidRPr="009F3B50">
        <w:t>decisions.</w:t>
      </w:r>
    </w:p>
    <w:p w14:paraId="5B203CDD" w14:textId="77777777" w:rsidR="008E134D" w:rsidRPr="00D63FF5" w:rsidRDefault="008E134D" w:rsidP="008E134D">
      <w:pPr>
        <w:pStyle w:val="Heading2"/>
        <w:spacing w:before="120" w:after="120"/>
        <w:rPr>
          <w:b/>
        </w:rPr>
      </w:pPr>
      <w:r w:rsidRPr="00D874A2">
        <w:rPr>
          <w:rFonts w:asciiTheme="minorHAnsi" w:hAnsiTheme="minorHAnsi"/>
          <w:b/>
          <w:caps/>
          <w:color w:val="auto"/>
          <w:sz w:val="28"/>
        </w:rPr>
        <w:t xml:space="preserve">Relationship with stakeholders </w:t>
      </w:r>
    </w:p>
    <w:p w14:paraId="62FDF81E" w14:textId="5A031D72" w:rsidR="005E0BF9" w:rsidRDefault="008E134D" w:rsidP="005E0BF9">
      <w:pPr>
        <w:pStyle w:val="OutlineNumbered1"/>
        <w:numPr>
          <w:ilvl w:val="0"/>
          <w:numId w:val="1"/>
        </w:numPr>
        <w:spacing w:after="120"/>
      </w:pPr>
      <w:r w:rsidRPr="00DC165F">
        <w:t xml:space="preserve">With regard to the ACNC’s relationship with </w:t>
      </w:r>
      <w:r>
        <w:t xml:space="preserve">external </w:t>
      </w:r>
      <w:r w:rsidRPr="00DC165F">
        <w:t xml:space="preserve">stakeholders, the Government expects the </w:t>
      </w:r>
      <w:r w:rsidR="00D5407B">
        <w:t xml:space="preserve">Commissioner to ensure the </w:t>
      </w:r>
      <w:r w:rsidRPr="00DC165F">
        <w:t xml:space="preserve">ACNC </w:t>
      </w:r>
      <w:r w:rsidR="00550572">
        <w:t>will</w:t>
      </w:r>
      <w:r w:rsidRPr="00DC165F">
        <w:t>:</w:t>
      </w:r>
    </w:p>
    <w:p w14:paraId="4755F9B1" w14:textId="77777777" w:rsidR="005E0BF9" w:rsidRPr="005E0BF9" w:rsidRDefault="008E134D" w:rsidP="00D63FF5">
      <w:pPr>
        <w:pStyle w:val="OutlineNumbered1"/>
        <w:numPr>
          <w:ilvl w:val="1"/>
          <w:numId w:val="1"/>
        </w:numPr>
        <w:spacing w:after="120"/>
        <w:rPr>
          <w:rStyle w:val="normaltextrun"/>
        </w:rPr>
      </w:pPr>
      <w:r w:rsidRPr="005E0BF9">
        <w:rPr>
          <w:rStyle w:val="normaltextrun"/>
          <w:shd w:val="clear" w:color="auto" w:fill="FFFFFF"/>
        </w:rPr>
        <w:t xml:space="preserve">maintain an open and sound relationship with the charity sector, the public and other key stakeholders; and </w:t>
      </w:r>
    </w:p>
    <w:p w14:paraId="7EAFEDA5" w14:textId="448D745B" w:rsidR="008E134D" w:rsidRPr="009F3B50" w:rsidRDefault="008E134D" w:rsidP="00D63FF5">
      <w:pPr>
        <w:pStyle w:val="OutlineNumbered1"/>
        <w:numPr>
          <w:ilvl w:val="1"/>
          <w:numId w:val="1"/>
        </w:numPr>
        <w:spacing w:after="120"/>
      </w:pPr>
      <w:r w:rsidRPr="009F3B50">
        <w:t xml:space="preserve">make </w:t>
      </w:r>
      <w:r>
        <w:t xml:space="preserve">charity registration </w:t>
      </w:r>
      <w:r w:rsidRPr="009F3B50">
        <w:t>decisions</w:t>
      </w:r>
      <w:r w:rsidR="00F81730">
        <w:t xml:space="preserve"> that are</w:t>
      </w:r>
      <w:r w:rsidRPr="009F3B50">
        <w:t xml:space="preserve"> informed </w:t>
      </w:r>
      <w:r w:rsidR="00F81730">
        <w:t>by</w:t>
      </w:r>
      <w:r w:rsidR="00F81730" w:rsidRPr="009F3B50">
        <w:t xml:space="preserve"> </w:t>
      </w:r>
      <w:r w:rsidRPr="009F3B50">
        <w:t>open and transparent engagement with</w:t>
      </w:r>
      <w:r>
        <w:t xml:space="preserve"> </w:t>
      </w:r>
      <w:r w:rsidRPr="009F3B50">
        <w:t>entities</w:t>
      </w:r>
      <w:r>
        <w:t>.</w:t>
      </w:r>
    </w:p>
    <w:p w14:paraId="1536C69F" w14:textId="01B5AE04" w:rsidR="005E0BF9" w:rsidRPr="005E0BF9" w:rsidRDefault="008E134D" w:rsidP="005E0BF9">
      <w:pPr>
        <w:pStyle w:val="OutlineNumbered1"/>
        <w:numPr>
          <w:ilvl w:val="0"/>
          <w:numId w:val="1"/>
        </w:numPr>
        <w:spacing w:after="120"/>
        <w:rPr>
          <w:rStyle w:val="normaltextrun"/>
          <w:rFonts w:cstheme="minorBidi"/>
        </w:rPr>
      </w:pPr>
      <w:r>
        <w:rPr>
          <w:rStyle w:val="normaltextrun"/>
        </w:rPr>
        <w:t xml:space="preserve">With regard to the ACNC’s relationship with the Government and other agencies, the Government expects </w:t>
      </w:r>
      <w:r w:rsidR="004242FF">
        <w:rPr>
          <w:rStyle w:val="normaltextrun"/>
        </w:rPr>
        <w:t xml:space="preserve">the Commissioner to ensure </w:t>
      </w:r>
      <w:r>
        <w:rPr>
          <w:rStyle w:val="normaltextrun"/>
        </w:rPr>
        <w:t xml:space="preserve">the ACNC </w:t>
      </w:r>
      <w:r w:rsidR="0055537E">
        <w:rPr>
          <w:rStyle w:val="normaltextrun"/>
        </w:rPr>
        <w:t>will</w:t>
      </w:r>
      <w:r>
        <w:rPr>
          <w:rStyle w:val="normaltextrun"/>
        </w:rPr>
        <w:t xml:space="preserve">: </w:t>
      </w:r>
    </w:p>
    <w:p w14:paraId="37634203" w14:textId="77777777" w:rsidR="005E0BF9" w:rsidRPr="005E0BF9" w:rsidRDefault="008E134D" w:rsidP="00D63FF5">
      <w:pPr>
        <w:pStyle w:val="OutlineNumbered1"/>
        <w:numPr>
          <w:ilvl w:val="1"/>
          <w:numId w:val="1"/>
        </w:numPr>
        <w:spacing w:after="120"/>
      </w:pPr>
      <w:r w:rsidRPr="005E0BF9">
        <w:t>engage and work collaboratively with other Commonwealth and State and Territory agencies;</w:t>
      </w:r>
    </w:p>
    <w:p w14:paraId="69357E4E" w14:textId="77777777" w:rsidR="005E0BF9" w:rsidRPr="005E0BF9" w:rsidRDefault="008E134D" w:rsidP="00D63FF5">
      <w:pPr>
        <w:pStyle w:val="OutlineNumbered1"/>
        <w:numPr>
          <w:ilvl w:val="1"/>
          <w:numId w:val="1"/>
        </w:numPr>
        <w:spacing w:after="120"/>
      </w:pPr>
      <w:r w:rsidRPr="005E0BF9">
        <w:t xml:space="preserve">coordinate regulatory activities with other agencies to avoid duplication, including through sharing information where possible; </w:t>
      </w:r>
    </w:p>
    <w:p w14:paraId="36CF6E5C" w14:textId="31E17298" w:rsidR="005E0BF9" w:rsidRPr="005E0BF9" w:rsidRDefault="008E134D" w:rsidP="00D63FF5">
      <w:pPr>
        <w:pStyle w:val="OutlineNumbered1"/>
        <w:numPr>
          <w:ilvl w:val="1"/>
          <w:numId w:val="1"/>
        </w:numPr>
        <w:spacing w:after="120"/>
      </w:pPr>
      <w:r w:rsidRPr="005E0BF9">
        <w:t xml:space="preserve">work closely with the Government and Treasury, including </w:t>
      </w:r>
      <w:r w:rsidR="00206D9D" w:rsidRPr="001775AF">
        <w:t xml:space="preserve">by assisting the Commissioner of Taxation as Accountable Authority </w:t>
      </w:r>
      <w:r w:rsidR="00780852" w:rsidRPr="001775AF">
        <w:t>to provide</w:t>
      </w:r>
      <w:r w:rsidRPr="005E0BF9">
        <w:t xml:space="preserve"> information to Ministers in accordance with section 19 of the PGPA Act;</w:t>
      </w:r>
    </w:p>
    <w:p w14:paraId="25884258" w14:textId="77777777" w:rsidR="005E0BF9" w:rsidRPr="005E0BF9" w:rsidRDefault="008E134D" w:rsidP="00D63FF5">
      <w:pPr>
        <w:pStyle w:val="OutlineNumbered1"/>
        <w:numPr>
          <w:ilvl w:val="1"/>
          <w:numId w:val="1"/>
        </w:numPr>
        <w:spacing w:after="120"/>
      </w:pPr>
      <w:r w:rsidRPr="005E0BF9">
        <w:t>share expertise with Treasury on administrative design to inform relevant policy issues being considered by the Government; and</w:t>
      </w:r>
    </w:p>
    <w:p w14:paraId="209A9211" w14:textId="520BB4DC" w:rsidR="008E134D" w:rsidRPr="005E0BF9" w:rsidRDefault="008E134D" w:rsidP="00D63FF5">
      <w:pPr>
        <w:pStyle w:val="OutlineNumbered1"/>
        <w:numPr>
          <w:ilvl w:val="1"/>
          <w:numId w:val="1"/>
        </w:numPr>
        <w:spacing w:after="120"/>
      </w:pPr>
      <w:r w:rsidRPr="005E0BF9">
        <w:t>provide an annual report to the Minister in accordance with section 130-5 of the ACNC Act and section 46 of the PGPA Act.</w:t>
      </w:r>
    </w:p>
    <w:p w14:paraId="64E268BF" w14:textId="77777777" w:rsidR="008E134D" w:rsidRPr="00DD0459" w:rsidRDefault="008E134D" w:rsidP="008E134D">
      <w:pPr>
        <w:pStyle w:val="Heading2"/>
        <w:spacing w:before="120" w:after="120"/>
        <w:rPr>
          <w:rFonts w:asciiTheme="minorHAnsi" w:hAnsiTheme="minorHAnsi"/>
          <w:b/>
          <w:caps/>
          <w:color w:val="auto"/>
          <w:sz w:val="28"/>
        </w:rPr>
      </w:pPr>
      <w:r w:rsidRPr="00DD0459">
        <w:rPr>
          <w:rFonts w:asciiTheme="minorHAnsi" w:hAnsiTheme="minorHAnsi"/>
          <w:b/>
          <w:caps/>
          <w:color w:val="auto"/>
          <w:sz w:val="28"/>
        </w:rPr>
        <w:t>Organisational matters  </w:t>
      </w:r>
    </w:p>
    <w:p w14:paraId="7827A0AC" w14:textId="77777777" w:rsidR="005E0BF9" w:rsidRDefault="008E134D" w:rsidP="005E0BF9">
      <w:pPr>
        <w:pStyle w:val="OutlineNumbered1"/>
        <w:numPr>
          <w:ilvl w:val="0"/>
          <w:numId w:val="1"/>
        </w:numPr>
        <w:spacing w:after="120"/>
      </w:pPr>
      <w:r w:rsidRPr="00DC165F">
        <w:t xml:space="preserve">With regard to organisational matters, the Government expects: </w:t>
      </w:r>
    </w:p>
    <w:p w14:paraId="32259C61" w14:textId="77777777" w:rsidR="005E0BF9" w:rsidRDefault="008E134D" w:rsidP="00D63FF5">
      <w:pPr>
        <w:pStyle w:val="OutlineNumbered1"/>
        <w:numPr>
          <w:ilvl w:val="1"/>
          <w:numId w:val="1"/>
        </w:numPr>
        <w:spacing w:after="120"/>
      </w:pPr>
      <w:r w:rsidRPr="005E0BF9">
        <w:t>the Commissioner to have responsibility for the executive management of the ACNC, consistent with their role as set out in the ACNC Act;</w:t>
      </w:r>
    </w:p>
    <w:p w14:paraId="0866121C" w14:textId="77777777" w:rsidR="005E0BF9" w:rsidRDefault="008E134D" w:rsidP="00D63FF5">
      <w:pPr>
        <w:pStyle w:val="OutlineNumbered1"/>
        <w:numPr>
          <w:ilvl w:val="1"/>
          <w:numId w:val="1"/>
        </w:numPr>
        <w:spacing w:after="120"/>
      </w:pPr>
      <w:r w:rsidRPr="005E0BF9">
        <w:t>the Commissioner of the ACNC to work with the ACNC Advisory Board in accordance with section 110-20 of the ACNC Act; and</w:t>
      </w:r>
    </w:p>
    <w:p w14:paraId="77D1C32B" w14:textId="67ECF453" w:rsidR="008E134D" w:rsidRDefault="008E134D" w:rsidP="00D63FF5">
      <w:pPr>
        <w:pStyle w:val="OutlineNumbered1"/>
        <w:numPr>
          <w:ilvl w:val="1"/>
          <w:numId w:val="1"/>
        </w:numPr>
        <w:spacing w:after="120"/>
      </w:pPr>
      <w:r w:rsidRPr="005E0BF9">
        <w:t>ACNC to publish its Statement of Intent in response to this Statement of Expectations on its website, and subsequently incorporate the Statement of Expectations and intent in its Corporate Plan.</w:t>
      </w:r>
    </w:p>
    <w:p w14:paraId="3C58D344" w14:textId="03615BB0" w:rsidR="00F17B8E" w:rsidRDefault="00637294" w:rsidP="00D63FF5">
      <w:pPr>
        <w:pStyle w:val="OutlineNumbered1"/>
        <w:numPr>
          <w:ilvl w:val="0"/>
          <w:numId w:val="1"/>
        </w:numPr>
        <w:spacing w:after="120"/>
      </w:pPr>
      <w:r w:rsidRPr="00CE4E07">
        <w:t>Wherever the PGPA Act is mentioned, the Accountable Authority for the ACNC is the Commissioner of Taxation. The Government’s expectation is that the ACNC Commissioner will work closely with the Commissioner of Taxation</w:t>
      </w:r>
      <w:r w:rsidR="008E134D" w:rsidRPr="00637294">
        <w:t>.</w:t>
      </w:r>
    </w:p>
    <w:sectPr w:rsidR="00F17B8E">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1014" w14:textId="77777777" w:rsidR="00AF6B1A" w:rsidRDefault="00AF6B1A">
      <w:pPr>
        <w:spacing w:after="0" w:line="240" w:lineRule="auto"/>
      </w:pPr>
      <w:r>
        <w:separator/>
      </w:r>
    </w:p>
  </w:endnote>
  <w:endnote w:type="continuationSeparator" w:id="0">
    <w:p w14:paraId="45735E4E" w14:textId="77777777" w:rsidR="00AF6B1A" w:rsidRDefault="00AF6B1A">
      <w:pPr>
        <w:spacing w:after="0" w:line="240" w:lineRule="auto"/>
      </w:pPr>
      <w:r>
        <w:continuationSeparator/>
      </w:r>
    </w:p>
  </w:endnote>
  <w:endnote w:type="continuationNotice" w:id="1">
    <w:p w14:paraId="6CA2A975" w14:textId="77777777" w:rsidR="00AF6B1A" w:rsidRDefault="00AF6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3DFA" w14:textId="23B8A25B" w:rsidR="000A5A16" w:rsidRDefault="00B7380D" w:rsidP="00531357">
    <w:pPr>
      <w:pStyle w:val="SecurityClassificationFooter"/>
    </w:pPr>
    <w:r>
      <w:rPr>
        <w:noProof/>
      </w:rPr>
      <mc:AlternateContent>
        <mc:Choice Requires="wps">
          <w:drawing>
            <wp:anchor distT="0" distB="0" distL="0" distR="0" simplePos="0" relativeHeight="251658752" behindDoc="0" locked="0" layoutInCell="1" allowOverlap="1" wp14:anchorId="73F537C3" wp14:editId="32551ABC">
              <wp:simplePos x="635" y="635"/>
              <wp:positionH relativeFrom="page">
                <wp:align>center</wp:align>
              </wp:positionH>
              <wp:positionV relativeFrom="page">
                <wp:align>bottom</wp:align>
              </wp:positionV>
              <wp:extent cx="443865" cy="443865"/>
              <wp:effectExtent l="0" t="0" r="16510" b="0"/>
              <wp:wrapNone/>
              <wp:docPr id="2086746901" name="Text Box 20867469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606AF" w14:textId="646B5857"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73F537C3" id="_x0000_t202" coordsize="21600,21600" o:spt="202" path="m,l,21600r21600,l21600,xe">
              <v:stroke joinstyle="miter"/>
              <v:path gradientshapeok="t" o:connecttype="rect"/>
            </v:shapetype>
            <v:shape id="Text Box 2086746901" o:spid="_x0000_s1027"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7F606AF" w14:textId="646B5857"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v:textbox>
              <w10:wrap anchorx="page" anchory="page"/>
            </v:shape>
          </w:pict>
        </mc:Fallback>
      </mc:AlternateContent>
    </w:r>
    <w:r w:rsidR="00D63FF5">
      <w:fldChar w:fldCharType="begin"/>
    </w:r>
    <w:r w:rsidR="00D63FF5">
      <w:instrText xml:space="preserve"> DOCPROPERTY SecurityClassification \* MERGEFORMAT </w:instrText>
    </w:r>
    <w:r w:rsidR="00D63FF5">
      <w:fldChar w:fldCharType="separate"/>
    </w:r>
    <w:r w:rsidR="00820F09">
      <w:rPr>
        <w:b w:val="0"/>
        <w:bCs/>
        <w:lang w:val="en-US"/>
      </w:rPr>
      <w:t>Error! Unknown document property name.</w:t>
    </w:r>
    <w:r w:rsidR="00D63FF5">
      <w:rPr>
        <w:b w:val="0"/>
        <w:bCs/>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920052"/>
      <w:docPartObj>
        <w:docPartGallery w:val="Page Numbers (Bottom of Page)"/>
        <w:docPartUnique/>
      </w:docPartObj>
    </w:sdtPr>
    <w:sdtEndPr>
      <w:rPr>
        <w:noProof/>
      </w:rPr>
    </w:sdtEndPr>
    <w:sdtContent>
      <w:p w14:paraId="4B3F1FAB" w14:textId="6256DD1D" w:rsidR="00D201D1" w:rsidRDefault="00D201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FA7AA0" w14:textId="77777777" w:rsidR="00D201D1" w:rsidRDefault="00D2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622F" w14:textId="69B5F5E5" w:rsidR="000A5A16" w:rsidRDefault="00B7380D" w:rsidP="00531357">
    <w:pPr>
      <w:pStyle w:val="SecurityClassificationFooter"/>
    </w:pPr>
    <w:r>
      <w:rPr>
        <w:noProof/>
      </w:rPr>
      <mc:AlternateContent>
        <mc:Choice Requires="wps">
          <w:drawing>
            <wp:anchor distT="0" distB="0" distL="0" distR="0" simplePos="0" relativeHeight="251657728" behindDoc="0" locked="0" layoutInCell="1" allowOverlap="1" wp14:anchorId="1622B914" wp14:editId="35FD077C">
              <wp:simplePos x="635" y="635"/>
              <wp:positionH relativeFrom="page">
                <wp:align>center</wp:align>
              </wp:positionH>
              <wp:positionV relativeFrom="page">
                <wp:align>bottom</wp:align>
              </wp:positionV>
              <wp:extent cx="443865" cy="443865"/>
              <wp:effectExtent l="0" t="0" r="16510" b="0"/>
              <wp:wrapNone/>
              <wp:docPr id="478175931" name="Text Box 4781759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C12C50" w14:textId="32CDED6D"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1622B914" id="_x0000_t202" coordsize="21600,21600" o:spt="202" path="m,l,21600r21600,l21600,xe">
              <v:stroke joinstyle="miter"/>
              <v:path gradientshapeok="t" o:connecttype="rect"/>
            </v:shapetype>
            <v:shape id="Text Box 478175931" o:spid="_x0000_s1029"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9C12C50" w14:textId="32CDED6D"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v:textbox>
              <w10:wrap anchorx="page" anchory="page"/>
            </v:shape>
          </w:pict>
        </mc:Fallback>
      </mc:AlternateContent>
    </w:r>
    <w:r w:rsidR="00D63FF5">
      <w:fldChar w:fldCharType="begin"/>
    </w:r>
    <w:r w:rsidR="00D63FF5">
      <w:instrText xml:space="preserve"> DOCPROPERTY SecurityClassification \* MERGEFORMAT </w:instrText>
    </w:r>
    <w:r w:rsidR="00D63FF5">
      <w:fldChar w:fldCharType="separate"/>
    </w:r>
    <w:r w:rsidR="00820F09">
      <w:rPr>
        <w:b w:val="0"/>
        <w:bCs/>
        <w:lang w:val="en-US"/>
      </w:rPr>
      <w:t>Error! Unknown document property name.</w:t>
    </w:r>
    <w:r w:rsidR="00D63FF5">
      <w:rPr>
        <w:b w:val="0"/>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C030" w14:textId="77777777" w:rsidR="00AF6B1A" w:rsidRDefault="00AF6B1A">
      <w:pPr>
        <w:spacing w:after="0" w:line="240" w:lineRule="auto"/>
      </w:pPr>
      <w:r>
        <w:separator/>
      </w:r>
    </w:p>
  </w:footnote>
  <w:footnote w:type="continuationSeparator" w:id="0">
    <w:p w14:paraId="5247CDD0" w14:textId="77777777" w:rsidR="00AF6B1A" w:rsidRDefault="00AF6B1A">
      <w:pPr>
        <w:spacing w:after="0" w:line="240" w:lineRule="auto"/>
      </w:pPr>
      <w:r>
        <w:continuationSeparator/>
      </w:r>
    </w:p>
  </w:footnote>
  <w:footnote w:type="continuationNotice" w:id="1">
    <w:p w14:paraId="12D0443F" w14:textId="77777777" w:rsidR="00AF6B1A" w:rsidRDefault="00AF6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DA05" w14:textId="4B7C82F7" w:rsidR="000A5A16" w:rsidRDefault="00B7380D" w:rsidP="00531357">
    <w:pPr>
      <w:pStyle w:val="SecurityClassificationHeader"/>
    </w:pPr>
    <w:r>
      <w:rPr>
        <w:noProof/>
      </w:rPr>
      <mc:AlternateContent>
        <mc:Choice Requires="wps">
          <w:drawing>
            <wp:anchor distT="0" distB="0" distL="0" distR="0" simplePos="0" relativeHeight="251655680" behindDoc="0" locked="0" layoutInCell="1" allowOverlap="1" wp14:anchorId="72D77292" wp14:editId="4B63B50A">
              <wp:simplePos x="635" y="635"/>
              <wp:positionH relativeFrom="page">
                <wp:align>center</wp:align>
              </wp:positionH>
              <wp:positionV relativeFrom="page">
                <wp:align>top</wp:align>
              </wp:positionV>
              <wp:extent cx="443865" cy="443865"/>
              <wp:effectExtent l="0" t="0" r="16510" b="4445"/>
              <wp:wrapNone/>
              <wp:docPr id="1985651741" name="Text Box 19856517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616E12" w14:textId="17C86B9A"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2D77292" id="_x0000_t202" coordsize="21600,21600" o:spt="202" path="m,l,21600r21600,l21600,xe">
              <v:stroke joinstyle="miter"/>
              <v:path gradientshapeok="t" o:connecttype="rect"/>
            </v:shapetype>
            <v:shape id="Text Box 1985651741" o:spid="_x0000_s1026"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F616E12" w14:textId="17C86B9A"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v:textbox>
              <w10:wrap anchorx="page" anchory="page"/>
            </v:shape>
          </w:pict>
        </mc:Fallback>
      </mc:AlternateContent>
    </w:r>
    <w:r w:rsidR="00D63FF5">
      <w:fldChar w:fldCharType="begin"/>
    </w:r>
    <w:r w:rsidR="00D63FF5">
      <w:instrText xml:space="preserve"> DOCPROPERTY SecurityClassification \* MERGEFORMAT </w:instrText>
    </w:r>
    <w:r w:rsidR="00D63FF5">
      <w:fldChar w:fldCharType="separate"/>
    </w:r>
    <w:r w:rsidR="00820F09">
      <w:rPr>
        <w:b w:val="0"/>
        <w:bCs/>
        <w:lang w:val="en-US"/>
      </w:rPr>
      <w:t>Error! Unknown document property name.</w:t>
    </w:r>
    <w:r w:rsidR="00D63FF5">
      <w:rPr>
        <w:b w:val="0"/>
        <w:b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AE30" w14:textId="3915CDEE" w:rsidR="000A5A16" w:rsidRDefault="00B7380D" w:rsidP="00531357">
    <w:pPr>
      <w:pStyle w:val="SecurityClassificationHeader"/>
    </w:pPr>
    <w:r>
      <w:rPr>
        <w:noProof/>
      </w:rPr>
      <mc:AlternateContent>
        <mc:Choice Requires="wps">
          <w:drawing>
            <wp:anchor distT="0" distB="0" distL="0" distR="0" simplePos="0" relativeHeight="251654656" behindDoc="0" locked="0" layoutInCell="1" allowOverlap="1" wp14:anchorId="70B31886" wp14:editId="553FEF59">
              <wp:simplePos x="635" y="635"/>
              <wp:positionH relativeFrom="page">
                <wp:align>center</wp:align>
              </wp:positionH>
              <wp:positionV relativeFrom="page">
                <wp:align>top</wp:align>
              </wp:positionV>
              <wp:extent cx="443865" cy="443865"/>
              <wp:effectExtent l="0" t="0" r="16510" b="4445"/>
              <wp:wrapNone/>
              <wp:docPr id="869519304" name="Text Box 86951930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0B7EF8" w14:textId="3712C956"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0B31886" id="_x0000_t202" coordsize="21600,21600" o:spt="202" path="m,l,21600r21600,l21600,xe">
              <v:stroke joinstyle="miter"/>
              <v:path gradientshapeok="t" o:connecttype="rect"/>
            </v:shapetype>
            <v:shape id="Text Box 869519304" o:spid="_x0000_s1028"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F0B7EF8" w14:textId="3712C956" w:rsidR="00B7380D" w:rsidRPr="00B7380D" w:rsidRDefault="00B7380D" w:rsidP="00B7380D">
                    <w:pPr>
                      <w:spacing w:after="0"/>
                      <w:rPr>
                        <w:rFonts w:ascii="Calibri" w:eastAsia="Calibri" w:hAnsi="Calibri" w:cs="Calibri"/>
                        <w:noProof/>
                        <w:color w:val="FF0000"/>
                        <w:sz w:val="20"/>
                        <w:szCs w:val="20"/>
                      </w:rPr>
                    </w:pPr>
                    <w:r w:rsidRPr="00B7380D">
                      <w:rPr>
                        <w:rFonts w:ascii="Calibri" w:eastAsia="Calibri" w:hAnsi="Calibri" w:cs="Calibri"/>
                        <w:noProof/>
                        <w:color w:val="FF0000"/>
                        <w:sz w:val="20"/>
                        <w:szCs w:val="20"/>
                      </w:rPr>
                      <w:t>OFFICIAL</w:t>
                    </w:r>
                  </w:p>
                </w:txbxContent>
              </v:textbox>
              <w10:wrap anchorx="page" anchory="page"/>
            </v:shape>
          </w:pict>
        </mc:Fallback>
      </mc:AlternateContent>
    </w:r>
    <w:r w:rsidR="00D63FF5">
      <w:fldChar w:fldCharType="begin"/>
    </w:r>
    <w:r w:rsidR="00D63FF5">
      <w:instrText xml:space="preserve"> DOCPROPERTY SecurityClassification \* MERGEFORMAT </w:instrText>
    </w:r>
    <w:r w:rsidR="00D63FF5">
      <w:fldChar w:fldCharType="separate"/>
    </w:r>
    <w:r w:rsidR="00820F09">
      <w:rPr>
        <w:b w:val="0"/>
        <w:bCs/>
        <w:lang w:val="en-US"/>
      </w:rPr>
      <w:t>Error! Unknown document property name.</w:t>
    </w:r>
    <w:r w:rsidR="00D63FF5">
      <w:rPr>
        <w:b w:val="0"/>
        <w:bCs/>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323"/>
    <w:multiLevelType w:val="multilevel"/>
    <w:tmpl w:val="A9524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945BCA"/>
    <w:multiLevelType w:val="multilevel"/>
    <w:tmpl w:val="5302CF8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2F8703F2"/>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2184C"/>
    <w:multiLevelType w:val="multilevel"/>
    <w:tmpl w:val="C7B626E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 w15:restartNumberingAfterBreak="0">
    <w:nsid w:val="39801ED3"/>
    <w:multiLevelType w:val="multilevel"/>
    <w:tmpl w:val="903CD05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E13146B"/>
    <w:multiLevelType w:val="multilevel"/>
    <w:tmpl w:val="072EBC82"/>
    <w:lvl w:ilvl="0">
      <w:start w:val="1"/>
      <w:numFmt w:val="decimal"/>
      <w:pStyle w:val="OutlineNumbered1"/>
      <w:lvlText w:val="%1."/>
      <w:lvlJc w:val="left"/>
      <w:pPr>
        <w:tabs>
          <w:tab w:val="num" w:pos="880"/>
        </w:tabs>
        <w:ind w:left="880" w:hanging="520"/>
      </w:pPr>
    </w:lvl>
    <w:lvl w:ilvl="1">
      <w:start w:val="1"/>
      <w:numFmt w:val="decimal"/>
      <w:pStyle w:val="OutlineNumbered2"/>
      <w:lvlText w:val="%1.%2."/>
      <w:lvlJc w:val="left"/>
      <w:pPr>
        <w:tabs>
          <w:tab w:val="num" w:pos="1400"/>
        </w:tabs>
        <w:ind w:left="1400" w:hanging="520"/>
      </w:pPr>
    </w:lvl>
    <w:lvl w:ilvl="2">
      <w:start w:val="1"/>
      <w:numFmt w:val="decimal"/>
      <w:pStyle w:val="OutlineNumbered3"/>
      <w:lvlText w:val="%1.%2.%3."/>
      <w:lvlJc w:val="left"/>
      <w:pPr>
        <w:tabs>
          <w:tab w:val="num" w:pos="1920"/>
        </w:tabs>
        <w:ind w:left="1920" w:hanging="52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765266CA"/>
    <w:multiLevelType w:val="multilevel"/>
    <w:tmpl w:val="4336EF9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D"/>
    <w:rsid w:val="00014964"/>
    <w:rsid w:val="000376F6"/>
    <w:rsid w:val="000502FE"/>
    <w:rsid w:val="00061BD6"/>
    <w:rsid w:val="00085161"/>
    <w:rsid w:val="0008580D"/>
    <w:rsid w:val="000A5A16"/>
    <w:rsid w:val="000D629E"/>
    <w:rsid w:val="000F679B"/>
    <w:rsid w:val="001775AF"/>
    <w:rsid w:val="00195851"/>
    <w:rsid w:val="001B46BB"/>
    <w:rsid w:val="001D4353"/>
    <w:rsid w:val="001D493D"/>
    <w:rsid w:val="001F0225"/>
    <w:rsid w:val="00200C2B"/>
    <w:rsid w:val="00205B81"/>
    <w:rsid w:val="00206D9D"/>
    <w:rsid w:val="00215C36"/>
    <w:rsid w:val="0024625D"/>
    <w:rsid w:val="002A787B"/>
    <w:rsid w:val="002C6139"/>
    <w:rsid w:val="002D39B8"/>
    <w:rsid w:val="002E7946"/>
    <w:rsid w:val="00362EA0"/>
    <w:rsid w:val="00366A66"/>
    <w:rsid w:val="00392618"/>
    <w:rsid w:val="003C1CB0"/>
    <w:rsid w:val="003C7631"/>
    <w:rsid w:val="003D41A7"/>
    <w:rsid w:val="003E0A66"/>
    <w:rsid w:val="003E18B7"/>
    <w:rsid w:val="003F3E07"/>
    <w:rsid w:val="004242FF"/>
    <w:rsid w:val="00424DED"/>
    <w:rsid w:val="00425210"/>
    <w:rsid w:val="00446861"/>
    <w:rsid w:val="00463291"/>
    <w:rsid w:val="004737CB"/>
    <w:rsid w:val="0048073B"/>
    <w:rsid w:val="004815EE"/>
    <w:rsid w:val="00492583"/>
    <w:rsid w:val="004B471D"/>
    <w:rsid w:val="004B6ABC"/>
    <w:rsid w:val="004D7B17"/>
    <w:rsid w:val="004E5583"/>
    <w:rsid w:val="004E763D"/>
    <w:rsid w:val="00531357"/>
    <w:rsid w:val="00550572"/>
    <w:rsid w:val="0055537E"/>
    <w:rsid w:val="00560A73"/>
    <w:rsid w:val="005637D4"/>
    <w:rsid w:val="00566EE3"/>
    <w:rsid w:val="005733E9"/>
    <w:rsid w:val="0058244C"/>
    <w:rsid w:val="005A4F4B"/>
    <w:rsid w:val="005D0EA8"/>
    <w:rsid w:val="005E0BF9"/>
    <w:rsid w:val="005E2273"/>
    <w:rsid w:val="005F2724"/>
    <w:rsid w:val="00637294"/>
    <w:rsid w:val="006776C8"/>
    <w:rsid w:val="00691A9E"/>
    <w:rsid w:val="00695FD2"/>
    <w:rsid w:val="006B346F"/>
    <w:rsid w:val="006C7340"/>
    <w:rsid w:val="007257A2"/>
    <w:rsid w:val="007264CE"/>
    <w:rsid w:val="00730B41"/>
    <w:rsid w:val="0076762E"/>
    <w:rsid w:val="00777938"/>
    <w:rsid w:val="00777C07"/>
    <w:rsid w:val="00780852"/>
    <w:rsid w:val="00787485"/>
    <w:rsid w:val="007925BC"/>
    <w:rsid w:val="007C312C"/>
    <w:rsid w:val="007C7011"/>
    <w:rsid w:val="007E4881"/>
    <w:rsid w:val="008043B2"/>
    <w:rsid w:val="008047AF"/>
    <w:rsid w:val="00820F09"/>
    <w:rsid w:val="00836898"/>
    <w:rsid w:val="00847469"/>
    <w:rsid w:val="008C23D5"/>
    <w:rsid w:val="008E134D"/>
    <w:rsid w:val="00907DD3"/>
    <w:rsid w:val="00937E8C"/>
    <w:rsid w:val="009429DB"/>
    <w:rsid w:val="0097414D"/>
    <w:rsid w:val="009A4028"/>
    <w:rsid w:val="009D2471"/>
    <w:rsid w:val="009E773A"/>
    <w:rsid w:val="009F7E05"/>
    <w:rsid w:val="00A21AC2"/>
    <w:rsid w:val="00A36FBE"/>
    <w:rsid w:val="00AC0DEB"/>
    <w:rsid w:val="00AD0EC6"/>
    <w:rsid w:val="00AF6B1A"/>
    <w:rsid w:val="00B0435C"/>
    <w:rsid w:val="00B1253D"/>
    <w:rsid w:val="00B27764"/>
    <w:rsid w:val="00B45889"/>
    <w:rsid w:val="00B7380D"/>
    <w:rsid w:val="00B7459B"/>
    <w:rsid w:val="00BC3101"/>
    <w:rsid w:val="00BF03E1"/>
    <w:rsid w:val="00BF5269"/>
    <w:rsid w:val="00C14C3E"/>
    <w:rsid w:val="00C16A29"/>
    <w:rsid w:val="00C62B9F"/>
    <w:rsid w:val="00CA5A44"/>
    <w:rsid w:val="00CE4E07"/>
    <w:rsid w:val="00CE7F04"/>
    <w:rsid w:val="00D138C2"/>
    <w:rsid w:val="00D14A53"/>
    <w:rsid w:val="00D201D1"/>
    <w:rsid w:val="00D5407B"/>
    <w:rsid w:val="00D5531C"/>
    <w:rsid w:val="00D63FF5"/>
    <w:rsid w:val="00D64093"/>
    <w:rsid w:val="00D66473"/>
    <w:rsid w:val="00D768A5"/>
    <w:rsid w:val="00D84562"/>
    <w:rsid w:val="00D874A2"/>
    <w:rsid w:val="00DA1461"/>
    <w:rsid w:val="00DA5AE9"/>
    <w:rsid w:val="00DD0459"/>
    <w:rsid w:val="00DD0C04"/>
    <w:rsid w:val="00DF624E"/>
    <w:rsid w:val="00E060BF"/>
    <w:rsid w:val="00E40EAE"/>
    <w:rsid w:val="00E61401"/>
    <w:rsid w:val="00EC2483"/>
    <w:rsid w:val="00ED1C8E"/>
    <w:rsid w:val="00ED2032"/>
    <w:rsid w:val="00EE3408"/>
    <w:rsid w:val="00F10CCA"/>
    <w:rsid w:val="00F17B8E"/>
    <w:rsid w:val="00F25FB4"/>
    <w:rsid w:val="00F81730"/>
    <w:rsid w:val="00FD6B99"/>
    <w:rsid w:val="00FE46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27FD"/>
  <w15:chartTrackingRefBased/>
  <w15:docId w15:val="{4E3F2226-F61B-4970-8FAE-C445960C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4D"/>
  </w:style>
  <w:style w:type="paragraph" w:styleId="Heading1">
    <w:name w:val="heading 1"/>
    <w:basedOn w:val="Normal"/>
    <w:next w:val="Normal"/>
    <w:link w:val="Heading1Char"/>
    <w:uiPriority w:val="9"/>
    <w:qFormat/>
    <w:rsid w:val="008E1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1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3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E134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E134D"/>
    <w:pPr>
      <w:ind w:left="720"/>
      <w:contextualSpacing/>
    </w:pPr>
  </w:style>
  <w:style w:type="paragraph" w:customStyle="1" w:styleId="OutlineNumbered1">
    <w:name w:val="Outline Numbered 1"/>
    <w:basedOn w:val="Normal"/>
    <w:link w:val="OutlineNumbered1Char"/>
    <w:rsid w:val="008E134D"/>
    <w:pPr>
      <w:numPr>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theme="minorHAnsi"/>
      <w:lang w:eastAsia="en-AU"/>
    </w:rPr>
  </w:style>
  <w:style w:type="character" w:customStyle="1" w:styleId="OutlineNumbered1Char">
    <w:name w:val="Outline Numbered 1 Char"/>
    <w:basedOn w:val="DefaultParagraphFont"/>
    <w:link w:val="OutlineNumbered1"/>
    <w:rsid w:val="008E134D"/>
    <w:rPr>
      <w:rFonts w:eastAsia="Times New Roman" w:cstheme="minorHAnsi"/>
      <w:lang w:eastAsia="en-AU"/>
    </w:rPr>
  </w:style>
  <w:style w:type="paragraph" w:customStyle="1" w:styleId="OutlineNumbered2">
    <w:name w:val="Outline Numbered 2"/>
    <w:basedOn w:val="Normal"/>
    <w:rsid w:val="008E134D"/>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theme="minorHAnsi"/>
      <w:lang w:eastAsia="en-AU"/>
    </w:rPr>
  </w:style>
  <w:style w:type="paragraph" w:customStyle="1" w:styleId="OutlineNumbered3">
    <w:name w:val="Outline Numbered 3"/>
    <w:basedOn w:val="Normal"/>
    <w:rsid w:val="008E134D"/>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eastAsia="Times New Roman" w:cstheme="minorHAnsi"/>
      <w:lang w:eastAsia="en-AU"/>
    </w:rPr>
  </w:style>
  <w:style w:type="character" w:customStyle="1" w:styleId="normaltextrun">
    <w:name w:val="normaltextrun"/>
    <w:basedOn w:val="DefaultParagraphFont"/>
    <w:rsid w:val="008E134D"/>
  </w:style>
  <w:style w:type="paragraph" w:styleId="Header">
    <w:name w:val="header"/>
    <w:basedOn w:val="Normal"/>
    <w:link w:val="HeaderChar"/>
    <w:uiPriority w:val="99"/>
    <w:unhideWhenUsed/>
    <w:rsid w:val="008E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34D"/>
  </w:style>
  <w:style w:type="paragraph" w:customStyle="1" w:styleId="SecurityClassificationHeader">
    <w:name w:val="Security Classification Header"/>
    <w:link w:val="SecurityClassificationHeaderChar"/>
    <w:rsid w:val="008E134D"/>
    <w:pPr>
      <w:spacing w:before="360" w:after="60"/>
      <w:jc w:val="center"/>
    </w:pPr>
    <w:rPr>
      <w:b/>
      <w:color w:val="FF0000"/>
      <w:sz w:val="24"/>
    </w:rPr>
  </w:style>
  <w:style w:type="character" w:customStyle="1" w:styleId="SecurityClassificationHeaderChar">
    <w:name w:val="Security Classification Header Char"/>
    <w:basedOn w:val="HeaderChar"/>
    <w:link w:val="SecurityClassificationHeader"/>
    <w:rsid w:val="008E134D"/>
    <w:rPr>
      <w:b/>
      <w:color w:val="FF0000"/>
      <w:sz w:val="24"/>
    </w:rPr>
  </w:style>
  <w:style w:type="paragraph" w:customStyle="1" w:styleId="SecurityClassificationFooter">
    <w:name w:val="Security Classification Footer"/>
    <w:link w:val="SecurityClassificationFooterChar"/>
    <w:rsid w:val="008E134D"/>
    <w:pPr>
      <w:spacing w:before="240" w:after="60"/>
      <w:jc w:val="center"/>
    </w:pPr>
    <w:rPr>
      <w:b/>
      <w:color w:val="FF0000"/>
      <w:sz w:val="24"/>
    </w:rPr>
  </w:style>
  <w:style w:type="character" w:customStyle="1" w:styleId="SecurityClassificationFooterChar">
    <w:name w:val="Security Classification Footer Char"/>
    <w:basedOn w:val="HeaderChar"/>
    <w:link w:val="SecurityClassificationFooter"/>
    <w:rsid w:val="008E134D"/>
    <w:rPr>
      <w:b/>
      <w:color w:val="FF0000"/>
      <w:sz w:val="24"/>
    </w:rPr>
  </w:style>
  <w:style w:type="paragraph" w:styleId="Revision">
    <w:name w:val="Revision"/>
    <w:hidden/>
    <w:uiPriority w:val="99"/>
    <w:semiHidden/>
    <w:rsid w:val="009E773A"/>
    <w:pPr>
      <w:spacing w:after="0" w:line="240" w:lineRule="auto"/>
    </w:pPr>
  </w:style>
  <w:style w:type="paragraph" w:styleId="Footer">
    <w:name w:val="footer"/>
    <w:basedOn w:val="Normal"/>
    <w:link w:val="FooterChar"/>
    <w:uiPriority w:val="99"/>
    <w:unhideWhenUsed/>
    <w:rsid w:val="00B73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80D"/>
  </w:style>
  <w:style w:type="character" w:styleId="CommentReference">
    <w:name w:val="annotation reference"/>
    <w:basedOn w:val="DefaultParagraphFont"/>
    <w:uiPriority w:val="99"/>
    <w:semiHidden/>
    <w:unhideWhenUsed/>
    <w:rsid w:val="00BF03E1"/>
    <w:rPr>
      <w:sz w:val="16"/>
      <w:szCs w:val="16"/>
    </w:rPr>
  </w:style>
  <w:style w:type="paragraph" w:styleId="CommentText">
    <w:name w:val="annotation text"/>
    <w:basedOn w:val="Normal"/>
    <w:link w:val="CommentTextChar"/>
    <w:uiPriority w:val="99"/>
    <w:unhideWhenUsed/>
    <w:rsid w:val="00BF03E1"/>
    <w:pPr>
      <w:spacing w:line="240" w:lineRule="auto"/>
    </w:pPr>
    <w:rPr>
      <w:sz w:val="20"/>
      <w:szCs w:val="20"/>
    </w:rPr>
  </w:style>
  <w:style w:type="character" w:customStyle="1" w:styleId="CommentTextChar">
    <w:name w:val="Comment Text Char"/>
    <w:basedOn w:val="DefaultParagraphFont"/>
    <w:link w:val="CommentText"/>
    <w:uiPriority w:val="99"/>
    <w:rsid w:val="00BF03E1"/>
    <w:rPr>
      <w:sz w:val="20"/>
      <w:szCs w:val="20"/>
    </w:rPr>
  </w:style>
  <w:style w:type="paragraph" w:styleId="CommentSubject">
    <w:name w:val="annotation subject"/>
    <w:basedOn w:val="CommentText"/>
    <w:next w:val="CommentText"/>
    <w:link w:val="CommentSubjectChar"/>
    <w:uiPriority w:val="99"/>
    <w:semiHidden/>
    <w:unhideWhenUsed/>
    <w:rsid w:val="00BF03E1"/>
    <w:rPr>
      <w:b/>
      <w:bCs/>
    </w:rPr>
  </w:style>
  <w:style w:type="character" w:customStyle="1" w:styleId="CommentSubjectChar">
    <w:name w:val="Comment Subject Char"/>
    <w:basedOn w:val="CommentTextChar"/>
    <w:link w:val="CommentSubject"/>
    <w:uiPriority w:val="99"/>
    <w:semiHidden/>
    <w:rsid w:val="00BF03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4192</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Statement of Expectations: Australian Charities and Not-for-profits Commissioner</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Australian Charities and Not-for-profits Commissioner</dc:title>
  <dc:subject/>
  <dc:creator>Australian Government</dc:creator>
  <cp:keywords/>
  <dc:description/>
  <cp:lastModifiedBy>Hill, Christine</cp:lastModifiedBy>
  <cp:revision>2</cp:revision>
  <dcterms:created xsi:type="dcterms:W3CDTF">2024-02-20T22:20:00Z</dcterms:created>
  <dcterms:modified xsi:type="dcterms:W3CDTF">2024-02-20T22:20:00Z</dcterms:modified>
  <cp:category/>
  <cp:contentStatus/>
</cp:coreProperties>
</file>