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658CA" w14:textId="1D7B0CDE" w:rsidR="00DF31A3" w:rsidRDefault="00DF31A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SUBMISSION</w:t>
      </w:r>
    </w:p>
    <w:p w14:paraId="14A964D6" w14:textId="418E2475" w:rsidR="00DF31A3" w:rsidRDefault="00DF31A3">
      <w:pPr>
        <w:rPr>
          <w:b/>
          <w:sz w:val="32"/>
          <w:szCs w:val="32"/>
          <w:u w:val="single"/>
        </w:rPr>
      </w:pPr>
    </w:p>
    <w:p w14:paraId="0519779F" w14:textId="06A1C112" w:rsidR="00DF31A3" w:rsidRDefault="00DF31A3">
      <w:pPr>
        <w:rPr>
          <w:sz w:val="32"/>
          <w:szCs w:val="32"/>
        </w:rPr>
      </w:pPr>
      <w:r>
        <w:rPr>
          <w:sz w:val="32"/>
          <w:szCs w:val="32"/>
        </w:rPr>
        <w:t>Re Capital Gains Tax and the Main Residence Exemption:</w:t>
      </w:r>
    </w:p>
    <w:p w14:paraId="067881F8" w14:textId="581EC3EF" w:rsidR="00DF31A3" w:rsidRDefault="00DF31A3">
      <w:pPr>
        <w:rPr>
          <w:sz w:val="32"/>
          <w:szCs w:val="32"/>
        </w:rPr>
      </w:pPr>
    </w:p>
    <w:p w14:paraId="5050EE41" w14:textId="739FB63B" w:rsidR="00DF31A3" w:rsidRDefault="00DF31A3">
      <w:pPr>
        <w:rPr>
          <w:sz w:val="32"/>
          <w:szCs w:val="32"/>
        </w:rPr>
      </w:pPr>
      <w:r>
        <w:rPr>
          <w:sz w:val="32"/>
          <w:szCs w:val="32"/>
        </w:rPr>
        <w:t>As a tax agent of long standing currently conducting business on the rural fringe/green wedge areas I submit that the extraordinary inequity applying to main residence exemption should be addressed.</w:t>
      </w:r>
    </w:p>
    <w:p w14:paraId="2D00F832" w14:textId="77777777" w:rsidR="00DF31A3" w:rsidRDefault="00DF31A3">
      <w:pPr>
        <w:rPr>
          <w:sz w:val="32"/>
          <w:szCs w:val="32"/>
        </w:rPr>
      </w:pPr>
      <w:bookmarkStart w:id="0" w:name="_GoBack"/>
      <w:bookmarkEnd w:id="0"/>
    </w:p>
    <w:p w14:paraId="770E9596" w14:textId="2113A3E2" w:rsidR="00DF31A3" w:rsidRDefault="00DF31A3">
      <w:pPr>
        <w:rPr>
          <w:sz w:val="32"/>
          <w:szCs w:val="32"/>
        </w:rPr>
      </w:pPr>
      <w:r>
        <w:rPr>
          <w:sz w:val="32"/>
          <w:szCs w:val="32"/>
        </w:rPr>
        <w:t>A family home sited on more than 2 hectares of land, which has been purchased after 19 September 1985, and is not considered to be a business will be subject to capital gains tax on any capital gain on the land component</w:t>
      </w:r>
      <w:r w:rsidR="00E258BF">
        <w:rPr>
          <w:sz w:val="32"/>
          <w:szCs w:val="32"/>
        </w:rPr>
        <w:t xml:space="preserve"> on a sale of the property</w:t>
      </w:r>
      <w:r>
        <w:rPr>
          <w:sz w:val="32"/>
          <w:szCs w:val="32"/>
        </w:rPr>
        <w:t>, no matter how modest the value of the property or the amount of gain arising on the land component of the property, while a main residence exemption without limit is available for all other main residences, no matter how valuable, or how substantial the gain, where the land component does not exceed 2 hectares.</w:t>
      </w:r>
    </w:p>
    <w:p w14:paraId="20CF3920" w14:textId="77777777" w:rsidR="00DF31A3" w:rsidRDefault="00DF31A3">
      <w:pPr>
        <w:rPr>
          <w:sz w:val="32"/>
          <w:szCs w:val="32"/>
        </w:rPr>
      </w:pPr>
    </w:p>
    <w:p w14:paraId="2F4F948C" w14:textId="666AA8CF" w:rsidR="00DF31A3" w:rsidRPr="00DF31A3" w:rsidRDefault="00DF31A3">
      <w:pPr>
        <w:rPr>
          <w:sz w:val="32"/>
          <w:szCs w:val="32"/>
        </w:rPr>
      </w:pPr>
      <w:r>
        <w:rPr>
          <w:sz w:val="32"/>
          <w:szCs w:val="32"/>
        </w:rPr>
        <w:t>I submit that this gross inequity</w:t>
      </w:r>
      <w:r w:rsidR="00A33312">
        <w:rPr>
          <w:sz w:val="32"/>
          <w:szCs w:val="32"/>
        </w:rPr>
        <w:t>, which impacts on ordinary taxpayers who own a home with a bit of land in this area,</w:t>
      </w:r>
      <w:r>
        <w:rPr>
          <w:sz w:val="32"/>
          <w:szCs w:val="32"/>
        </w:rPr>
        <w:t xml:space="preserve"> should be immediately addressed to improve the integrity of the tax system.  </w:t>
      </w:r>
      <w:r w:rsidR="00A33312">
        <w:rPr>
          <w:sz w:val="32"/>
          <w:szCs w:val="32"/>
        </w:rPr>
        <w:t>The change</w:t>
      </w:r>
      <w:r>
        <w:rPr>
          <w:sz w:val="32"/>
          <w:szCs w:val="32"/>
        </w:rPr>
        <w:t xml:space="preserve"> could be funded by a limitation on the amount of capital gain on </w:t>
      </w:r>
      <w:r w:rsidR="00A33312">
        <w:rPr>
          <w:sz w:val="32"/>
          <w:szCs w:val="32"/>
        </w:rPr>
        <w:t xml:space="preserve">the disposal of any </w:t>
      </w:r>
      <w:r>
        <w:rPr>
          <w:sz w:val="32"/>
          <w:szCs w:val="32"/>
        </w:rPr>
        <w:t xml:space="preserve">main residence which </w:t>
      </w:r>
      <w:r w:rsidR="00A33312">
        <w:rPr>
          <w:sz w:val="32"/>
          <w:szCs w:val="32"/>
        </w:rPr>
        <w:t>would be</w:t>
      </w:r>
      <w:r>
        <w:rPr>
          <w:sz w:val="32"/>
          <w:szCs w:val="32"/>
        </w:rPr>
        <w:t xml:space="preserve"> exempt (for example see US tax provisions in existence </w:t>
      </w:r>
      <w:r w:rsidR="00A33312">
        <w:rPr>
          <w:sz w:val="32"/>
          <w:szCs w:val="32"/>
        </w:rPr>
        <w:t>for at least past 20 years).</w:t>
      </w:r>
    </w:p>
    <w:sectPr w:rsidR="00DF31A3" w:rsidRPr="00DF3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A3"/>
    <w:rsid w:val="007E29E7"/>
    <w:rsid w:val="00A33312"/>
    <w:rsid w:val="00DF31A3"/>
    <w:rsid w:val="00E2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1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7664" ma:contentTypeDescription="" ma:contentTypeScope="" ma:versionID="0efec51d07866157077ea6209c21a3e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RA-8733 - Destroy 10 years after action completed</TermName>
          <TermId xmlns="http://schemas.microsoft.com/office/infopath/2007/PartnerControls">18609896-7c96-418c-bbc1-db3751e97ee3</TermId>
        </TermInfo>
      </Terms>
    </lb508a4dc5e84436a0fe496b536466aa>
    <TaxCatchAll xmlns="0f563589-9cf9-4143-b1eb-fb0534803d38">
      <Value>2</Value>
    </TaxCatchAll>
    <_dlc_DocId xmlns="0f563589-9cf9-4143-b1eb-fb0534803d38">2019MINS-957875958-48</_dlc_DocId>
    <_dlc_DocIdUrl xmlns="0f563589-9cf9-4143-b1eb-fb0534803d38">
      <Url>http://tweb/sites/mins/activity/prebudget/_layouts/15/DocIdRedir.aspx?ID=2019MINS-957875958-48</Url>
      <Description>2019MINS-957875958-48</Description>
    </_dlc_DocIdUrl>
  </documentManagement>
</p:properties>
</file>

<file path=customXml/itemProps1.xml><?xml version="1.0" encoding="utf-8"?>
<ds:datastoreItem xmlns:ds="http://schemas.openxmlformats.org/officeDocument/2006/customXml" ds:itemID="{B0FBD1DF-DCE7-4342-8BE8-5AB20327F0BC}"/>
</file>

<file path=customXml/itemProps2.xml><?xml version="1.0" encoding="utf-8"?>
<ds:datastoreItem xmlns:ds="http://schemas.openxmlformats.org/officeDocument/2006/customXml" ds:itemID="{339E7055-29A7-43D5-8BD3-11D7BDDB73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7E34E0-EFE6-4C49-B390-B353E08565E4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3DB444D-6FA5-417D-89D0-038D62BCA7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6A907D-EA81-4889-9B4B-8D5661552544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768d4202-dccb-4ec8-a008-7abfadedbb89"/>
    <ds:schemaRef ds:uri="http://purl.org/dc/dcmitype/"/>
    <ds:schemaRef ds:uri="0f563589-9cf9-4143-b1eb-fb0534803d3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Denness, Bonnie</cp:lastModifiedBy>
  <cp:revision>2</cp:revision>
  <dcterms:created xsi:type="dcterms:W3CDTF">2019-01-17T22:06:00Z</dcterms:created>
  <dcterms:modified xsi:type="dcterms:W3CDTF">2019-01-17T22:06:00Z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2;#TSY RA-8733 - Destroy 10 years after action completed|18609896-7c96-418c-bbc1-db3751e97ee3</vt:lpwstr>
  </property>
  <property fmtid="{D5CDD505-2E9C-101B-9397-08002B2CF9AE}" pid="4" name="_dlc_DocIdItemGuid">
    <vt:lpwstr>2ee56fd4-9930-415d-b9cb-a824a7d78359</vt:lpwstr>
  </property>
</Properties>
</file>