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30235" w14:textId="77777777" w:rsidR="00AA4C1E" w:rsidRDefault="00AA4C1E" w:rsidP="00DC2037">
      <w:pPr>
        <w:widowControl w:val="0"/>
        <w:autoSpaceDE w:val="0"/>
        <w:autoSpaceDN w:val="0"/>
        <w:adjustRightInd w:val="0"/>
        <w:spacing w:after="0"/>
        <w:ind w:left="567" w:right="78"/>
        <w:textAlignment w:val="center"/>
        <w:rPr>
          <w:rFonts w:cs="Arial"/>
          <w:b/>
          <w:color w:val="000000"/>
          <w:sz w:val="21"/>
          <w:szCs w:val="21"/>
          <w:highlight w:val="yellow"/>
          <w:lang w:val="en-GB"/>
        </w:rPr>
      </w:pPr>
    </w:p>
    <w:p w14:paraId="35B0F13F" w14:textId="77777777" w:rsidR="00AA4C1E" w:rsidRPr="00BB1F71" w:rsidRDefault="00AA4C1E" w:rsidP="00DC2037">
      <w:pPr>
        <w:widowControl w:val="0"/>
        <w:autoSpaceDE w:val="0"/>
        <w:autoSpaceDN w:val="0"/>
        <w:adjustRightInd w:val="0"/>
        <w:spacing w:after="0"/>
        <w:ind w:left="567" w:right="78"/>
        <w:textAlignment w:val="center"/>
        <w:rPr>
          <w:rFonts w:cs="Arial"/>
          <w:b/>
          <w:color w:val="000000"/>
          <w:sz w:val="21"/>
          <w:szCs w:val="21"/>
          <w:lang w:val="en-GB"/>
        </w:rPr>
      </w:pPr>
    </w:p>
    <w:p w14:paraId="7EE2F23E" w14:textId="754947B5" w:rsidR="00247541" w:rsidRPr="00AA4C1E" w:rsidRDefault="00BB1F71" w:rsidP="00DC2037">
      <w:pPr>
        <w:widowControl w:val="0"/>
        <w:autoSpaceDE w:val="0"/>
        <w:autoSpaceDN w:val="0"/>
        <w:adjustRightInd w:val="0"/>
        <w:spacing w:after="0"/>
        <w:ind w:left="567" w:right="78"/>
        <w:textAlignment w:val="center"/>
        <w:rPr>
          <w:rFonts w:cs="Arial"/>
          <w:b/>
          <w:color w:val="000000"/>
          <w:sz w:val="21"/>
          <w:szCs w:val="21"/>
          <w:lang w:val="en-GB"/>
        </w:rPr>
      </w:pPr>
      <w:r w:rsidRPr="00BB1F71">
        <w:rPr>
          <w:rFonts w:cs="Arial"/>
          <w:b/>
          <w:color w:val="000000"/>
          <w:sz w:val="21"/>
          <w:szCs w:val="21"/>
          <w:lang w:val="en-GB"/>
        </w:rPr>
        <w:t>31</w:t>
      </w:r>
      <w:r w:rsidR="001442AB" w:rsidRPr="00BB1F71">
        <w:rPr>
          <w:rFonts w:cs="Arial"/>
          <w:b/>
          <w:color w:val="000000"/>
          <w:sz w:val="21"/>
          <w:szCs w:val="21"/>
          <w:lang w:val="en-GB"/>
        </w:rPr>
        <w:t xml:space="preserve"> </w:t>
      </w:r>
      <w:r w:rsidRPr="00BB1F71">
        <w:rPr>
          <w:rFonts w:cs="Arial"/>
          <w:b/>
          <w:color w:val="000000"/>
          <w:sz w:val="21"/>
          <w:szCs w:val="21"/>
          <w:lang w:val="en-GB"/>
        </w:rPr>
        <w:t>January</w:t>
      </w:r>
      <w:r w:rsidR="00012B18" w:rsidRPr="00AA4C1E">
        <w:rPr>
          <w:rFonts w:cs="Arial"/>
          <w:b/>
          <w:color w:val="000000"/>
          <w:sz w:val="21"/>
          <w:szCs w:val="21"/>
          <w:lang w:val="en-GB"/>
        </w:rPr>
        <w:t xml:space="preserve"> 201</w:t>
      </w:r>
      <w:r w:rsidR="00AA4C1E" w:rsidRPr="00AA4C1E">
        <w:rPr>
          <w:rFonts w:cs="Arial"/>
          <w:b/>
          <w:color w:val="000000"/>
          <w:sz w:val="21"/>
          <w:szCs w:val="21"/>
          <w:lang w:val="en-GB"/>
        </w:rPr>
        <w:t>9</w:t>
      </w:r>
    </w:p>
    <w:p w14:paraId="63741DF2" w14:textId="77777777" w:rsidR="00247541" w:rsidRPr="00AA4C1E" w:rsidRDefault="00247541" w:rsidP="00DC2037">
      <w:pPr>
        <w:widowControl w:val="0"/>
        <w:autoSpaceDE w:val="0"/>
        <w:autoSpaceDN w:val="0"/>
        <w:adjustRightInd w:val="0"/>
        <w:spacing w:after="0"/>
        <w:ind w:left="567" w:right="78"/>
        <w:textAlignment w:val="center"/>
        <w:rPr>
          <w:rFonts w:cs="Arial"/>
          <w:color w:val="000000"/>
          <w:sz w:val="21"/>
          <w:szCs w:val="21"/>
          <w:lang w:val="en-GB"/>
        </w:rPr>
      </w:pPr>
    </w:p>
    <w:p w14:paraId="78ADBCA1" w14:textId="77777777" w:rsidR="00247541" w:rsidRPr="00AA4C1E" w:rsidRDefault="00247541" w:rsidP="00DC2037">
      <w:pPr>
        <w:widowControl w:val="0"/>
        <w:autoSpaceDE w:val="0"/>
        <w:autoSpaceDN w:val="0"/>
        <w:adjustRightInd w:val="0"/>
        <w:spacing w:after="0"/>
        <w:ind w:left="567" w:right="78"/>
        <w:textAlignment w:val="center"/>
        <w:rPr>
          <w:rFonts w:cs="Arial"/>
          <w:color w:val="000000"/>
          <w:sz w:val="21"/>
          <w:szCs w:val="21"/>
          <w:lang w:val="en-GB"/>
        </w:rPr>
      </w:pPr>
    </w:p>
    <w:p w14:paraId="555C5ABC" w14:textId="1401D736" w:rsidR="001442AB" w:rsidRDefault="001442AB" w:rsidP="00B652E4">
      <w:pPr>
        <w:widowControl w:val="0"/>
        <w:autoSpaceDE w:val="0"/>
        <w:autoSpaceDN w:val="0"/>
        <w:adjustRightInd w:val="0"/>
        <w:spacing w:after="0"/>
        <w:ind w:left="567" w:right="78"/>
        <w:textAlignment w:val="center"/>
        <w:rPr>
          <w:rFonts w:cs="Arial"/>
          <w:color w:val="000000"/>
          <w:sz w:val="21"/>
          <w:szCs w:val="21"/>
        </w:rPr>
      </w:pPr>
      <w:r w:rsidRPr="001442AB">
        <w:rPr>
          <w:rFonts w:cs="Arial"/>
          <w:color w:val="000000"/>
          <w:sz w:val="21"/>
          <w:szCs w:val="21"/>
        </w:rPr>
        <w:t xml:space="preserve">Senator the Hon. Zed </w:t>
      </w:r>
      <w:proofErr w:type="spellStart"/>
      <w:r w:rsidRPr="001442AB">
        <w:rPr>
          <w:rFonts w:cs="Arial"/>
          <w:color w:val="000000"/>
          <w:sz w:val="21"/>
          <w:szCs w:val="21"/>
        </w:rPr>
        <w:t>Seselja</w:t>
      </w:r>
      <w:proofErr w:type="spellEnd"/>
    </w:p>
    <w:p w14:paraId="737399D8" w14:textId="754E8AD6" w:rsidR="001442AB" w:rsidRDefault="001442AB" w:rsidP="00B652E4">
      <w:pPr>
        <w:widowControl w:val="0"/>
        <w:autoSpaceDE w:val="0"/>
        <w:autoSpaceDN w:val="0"/>
        <w:adjustRightInd w:val="0"/>
        <w:spacing w:after="0"/>
        <w:ind w:left="567" w:right="78"/>
        <w:textAlignment w:val="center"/>
        <w:rPr>
          <w:rFonts w:cs="Arial"/>
          <w:color w:val="000000"/>
          <w:sz w:val="21"/>
          <w:szCs w:val="21"/>
        </w:rPr>
      </w:pPr>
      <w:r w:rsidRPr="001442AB">
        <w:rPr>
          <w:rFonts w:cs="Arial"/>
          <w:color w:val="000000"/>
          <w:sz w:val="21"/>
          <w:szCs w:val="21"/>
        </w:rPr>
        <w:t xml:space="preserve">Assistant Minister for Treasury </w:t>
      </w:r>
      <w:r w:rsidR="00B93C96" w:rsidRPr="001442AB">
        <w:rPr>
          <w:rFonts w:cs="Arial"/>
          <w:color w:val="000000"/>
          <w:sz w:val="21"/>
          <w:szCs w:val="21"/>
        </w:rPr>
        <w:t>and</w:t>
      </w:r>
      <w:r w:rsidRPr="001442AB">
        <w:rPr>
          <w:rFonts w:cs="Arial"/>
          <w:color w:val="000000"/>
          <w:sz w:val="21"/>
          <w:szCs w:val="21"/>
        </w:rPr>
        <w:t xml:space="preserve"> Finance</w:t>
      </w:r>
    </w:p>
    <w:p w14:paraId="0173D05F" w14:textId="7EE35CFF"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r w:rsidRPr="00AA4C1E">
        <w:rPr>
          <w:rFonts w:cs="Arial"/>
          <w:color w:val="000000"/>
          <w:sz w:val="21"/>
          <w:szCs w:val="21"/>
        </w:rPr>
        <w:t xml:space="preserve">C/- The Treasury </w:t>
      </w:r>
    </w:p>
    <w:p w14:paraId="530D7B1E" w14:textId="77777777"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r w:rsidRPr="00AA4C1E">
        <w:rPr>
          <w:rFonts w:cs="Arial"/>
          <w:color w:val="000000"/>
          <w:sz w:val="21"/>
          <w:szCs w:val="21"/>
        </w:rPr>
        <w:t>Langton Crescent</w:t>
      </w:r>
    </w:p>
    <w:p w14:paraId="473906FD" w14:textId="77777777"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r w:rsidRPr="00AA4C1E">
        <w:rPr>
          <w:rFonts w:cs="Arial"/>
          <w:color w:val="000000"/>
          <w:sz w:val="21"/>
          <w:szCs w:val="21"/>
        </w:rPr>
        <w:t>PARKES ACT 2600</w:t>
      </w:r>
    </w:p>
    <w:p w14:paraId="6B76FCEE" w14:textId="77777777" w:rsidR="00247541" w:rsidRPr="00AA4C1E" w:rsidRDefault="00247541" w:rsidP="00DC2037">
      <w:pPr>
        <w:widowControl w:val="0"/>
        <w:autoSpaceDE w:val="0"/>
        <w:autoSpaceDN w:val="0"/>
        <w:adjustRightInd w:val="0"/>
        <w:spacing w:after="0"/>
        <w:ind w:left="567" w:right="78"/>
        <w:textAlignment w:val="center"/>
        <w:rPr>
          <w:rFonts w:cs="Arial"/>
          <w:color w:val="000000"/>
          <w:sz w:val="21"/>
          <w:szCs w:val="21"/>
          <w:lang w:val="en-GB"/>
        </w:rPr>
      </w:pPr>
    </w:p>
    <w:p w14:paraId="7D763C37" w14:textId="77777777" w:rsidR="00B652E4" w:rsidRPr="00AA4C1E" w:rsidRDefault="00B652E4" w:rsidP="00DC2037">
      <w:pPr>
        <w:widowControl w:val="0"/>
        <w:autoSpaceDE w:val="0"/>
        <w:autoSpaceDN w:val="0"/>
        <w:adjustRightInd w:val="0"/>
        <w:spacing w:after="0"/>
        <w:ind w:left="567" w:right="78"/>
        <w:textAlignment w:val="center"/>
        <w:rPr>
          <w:rFonts w:cs="Arial"/>
          <w:color w:val="000000"/>
          <w:sz w:val="21"/>
          <w:szCs w:val="21"/>
          <w:lang w:val="en-GB"/>
        </w:rPr>
      </w:pPr>
    </w:p>
    <w:p w14:paraId="702C193A" w14:textId="3AA8F057" w:rsidR="00247541" w:rsidRPr="00AA4C1E" w:rsidRDefault="00051E69" w:rsidP="00DC2037">
      <w:pPr>
        <w:widowControl w:val="0"/>
        <w:autoSpaceDE w:val="0"/>
        <w:autoSpaceDN w:val="0"/>
        <w:adjustRightInd w:val="0"/>
        <w:spacing w:after="0"/>
        <w:ind w:left="567" w:right="78"/>
        <w:textAlignment w:val="center"/>
        <w:rPr>
          <w:rFonts w:cs="Arial"/>
          <w:color w:val="000000"/>
          <w:sz w:val="21"/>
          <w:szCs w:val="21"/>
          <w:lang w:val="en-GB"/>
        </w:rPr>
      </w:pPr>
      <w:r w:rsidRPr="00AA4C1E">
        <w:rPr>
          <w:rFonts w:cs="Arial"/>
          <w:color w:val="000000"/>
          <w:sz w:val="21"/>
          <w:szCs w:val="21"/>
          <w:lang w:val="en-GB"/>
        </w:rPr>
        <w:t>Dear</w:t>
      </w:r>
      <w:r w:rsidR="00662DC0" w:rsidRPr="00AA4C1E">
        <w:rPr>
          <w:rFonts w:cs="Arial"/>
          <w:color w:val="000000"/>
          <w:sz w:val="21"/>
          <w:szCs w:val="21"/>
          <w:lang w:val="en-GB"/>
        </w:rPr>
        <w:t xml:space="preserve"> </w:t>
      </w:r>
      <w:r w:rsidR="00B652E4" w:rsidRPr="00AA4C1E">
        <w:rPr>
          <w:rFonts w:cs="Arial"/>
          <w:color w:val="000000"/>
          <w:sz w:val="21"/>
          <w:szCs w:val="21"/>
        </w:rPr>
        <w:t>Assistant Minister</w:t>
      </w:r>
      <w:r w:rsidR="00410004" w:rsidRPr="00AA4C1E">
        <w:rPr>
          <w:rFonts w:cs="Arial"/>
          <w:color w:val="000000"/>
          <w:sz w:val="21"/>
          <w:szCs w:val="21"/>
          <w:lang w:val="en-GB"/>
        </w:rPr>
        <w:t>,</w:t>
      </w:r>
    </w:p>
    <w:p w14:paraId="5B26EF96" w14:textId="77777777" w:rsidR="00051E69" w:rsidRPr="00AA4C1E" w:rsidRDefault="00051E69" w:rsidP="00DC2037">
      <w:pPr>
        <w:widowControl w:val="0"/>
        <w:autoSpaceDE w:val="0"/>
        <w:autoSpaceDN w:val="0"/>
        <w:adjustRightInd w:val="0"/>
        <w:spacing w:after="0"/>
        <w:ind w:left="567" w:right="78"/>
        <w:textAlignment w:val="center"/>
        <w:rPr>
          <w:rFonts w:cs="Arial"/>
          <w:color w:val="000000"/>
          <w:sz w:val="21"/>
          <w:szCs w:val="21"/>
          <w:lang w:val="en-GB"/>
        </w:rPr>
      </w:pPr>
    </w:p>
    <w:p w14:paraId="58345C60" w14:textId="67BC2A46" w:rsidR="00B652E4" w:rsidRPr="00AA4C1E" w:rsidRDefault="00B652E4" w:rsidP="00B652E4">
      <w:pPr>
        <w:widowControl w:val="0"/>
        <w:autoSpaceDE w:val="0"/>
        <w:autoSpaceDN w:val="0"/>
        <w:adjustRightInd w:val="0"/>
        <w:spacing w:after="0"/>
        <w:ind w:left="567" w:right="78"/>
        <w:textAlignment w:val="center"/>
        <w:rPr>
          <w:rFonts w:cs="Arial"/>
          <w:b/>
          <w:color w:val="000000"/>
          <w:sz w:val="21"/>
          <w:szCs w:val="21"/>
          <w:lang w:val="en-AU"/>
        </w:rPr>
      </w:pPr>
      <w:r w:rsidRPr="00AA4C1E">
        <w:rPr>
          <w:rFonts w:cs="Arial"/>
          <w:b/>
          <w:color w:val="000000"/>
          <w:sz w:val="21"/>
          <w:szCs w:val="21"/>
          <w:lang w:val="en-AU"/>
        </w:rPr>
        <w:t>201</w:t>
      </w:r>
      <w:r w:rsidR="00784794">
        <w:rPr>
          <w:rFonts w:cs="Arial"/>
          <w:b/>
          <w:color w:val="000000"/>
          <w:sz w:val="21"/>
          <w:szCs w:val="21"/>
          <w:lang w:val="en-AU"/>
        </w:rPr>
        <w:t>9</w:t>
      </w:r>
      <w:r w:rsidRPr="00AA4C1E">
        <w:rPr>
          <w:rFonts w:cs="Arial"/>
          <w:b/>
          <w:color w:val="000000"/>
          <w:sz w:val="21"/>
          <w:szCs w:val="21"/>
          <w:lang w:val="en-AU"/>
        </w:rPr>
        <w:t>-</w:t>
      </w:r>
      <w:r w:rsidR="00784794">
        <w:rPr>
          <w:rFonts w:cs="Arial"/>
          <w:b/>
          <w:color w:val="000000"/>
          <w:sz w:val="21"/>
          <w:szCs w:val="21"/>
          <w:lang w:val="en-AU"/>
        </w:rPr>
        <w:t>20</w:t>
      </w:r>
      <w:r w:rsidRPr="00AA4C1E">
        <w:rPr>
          <w:rFonts w:cs="Arial"/>
          <w:b/>
          <w:color w:val="000000"/>
          <w:sz w:val="21"/>
          <w:szCs w:val="21"/>
          <w:lang w:val="en-AU"/>
        </w:rPr>
        <w:t xml:space="preserve"> Pre-Budget Submission</w:t>
      </w:r>
    </w:p>
    <w:p w14:paraId="66D0AD52" w14:textId="77777777" w:rsidR="00247541" w:rsidRPr="00AA4C1E" w:rsidRDefault="00247541" w:rsidP="00DC2037">
      <w:pPr>
        <w:widowControl w:val="0"/>
        <w:autoSpaceDE w:val="0"/>
        <w:autoSpaceDN w:val="0"/>
        <w:adjustRightInd w:val="0"/>
        <w:spacing w:after="0"/>
        <w:ind w:left="567" w:right="78"/>
        <w:textAlignment w:val="center"/>
        <w:rPr>
          <w:rFonts w:cs="Arial"/>
          <w:color w:val="000000"/>
          <w:sz w:val="21"/>
          <w:szCs w:val="21"/>
          <w:lang w:val="en-GB"/>
        </w:rPr>
      </w:pPr>
    </w:p>
    <w:p w14:paraId="3190E147" w14:textId="45048E6E"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r w:rsidRPr="00AA4C1E">
        <w:rPr>
          <w:rFonts w:cs="Arial"/>
          <w:color w:val="000000"/>
          <w:sz w:val="21"/>
          <w:szCs w:val="21"/>
        </w:rPr>
        <w:t xml:space="preserve">As the peak body for Australia’s $2.5 billion live performance industry, Live Performance Australia </w:t>
      </w:r>
      <w:r w:rsidR="00B93C96">
        <w:rPr>
          <w:rFonts w:cs="Arial"/>
          <w:color w:val="000000"/>
          <w:sz w:val="21"/>
          <w:szCs w:val="21"/>
        </w:rPr>
        <w:t xml:space="preserve">(LPA) </w:t>
      </w:r>
      <w:r w:rsidRPr="00AA4C1E">
        <w:rPr>
          <w:rFonts w:cs="Arial"/>
          <w:color w:val="000000"/>
          <w:sz w:val="21"/>
          <w:szCs w:val="21"/>
        </w:rPr>
        <w:t>welcomes the opportunity to make a submission to the 201</w:t>
      </w:r>
      <w:r w:rsidR="00784794">
        <w:rPr>
          <w:rFonts w:cs="Arial"/>
          <w:color w:val="000000"/>
          <w:sz w:val="21"/>
          <w:szCs w:val="21"/>
        </w:rPr>
        <w:t>9</w:t>
      </w:r>
      <w:r w:rsidRPr="00AA4C1E">
        <w:rPr>
          <w:rFonts w:cs="Arial"/>
          <w:color w:val="000000"/>
          <w:sz w:val="21"/>
          <w:szCs w:val="21"/>
        </w:rPr>
        <w:t>-</w:t>
      </w:r>
      <w:r w:rsidR="00784794">
        <w:rPr>
          <w:rFonts w:cs="Arial"/>
          <w:color w:val="000000"/>
          <w:sz w:val="21"/>
          <w:szCs w:val="21"/>
        </w:rPr>
        <w:t>20</w:t>
      </w:r>
      <w:r w:rsidRPr="00AA4C1E">
        <w:rPr>
          <w:rFonts w:cs="Arial"/>
          <w:color w:val="000000"/>
          <w:sz w:val="21"/>
          <w:szCs w:val="21"/>
        </w:rPr>
        <w:t xml:space="preserve"> Budget. </w:t>
      </w:r>
    </w:p>
    <w:p w14:paraId="1E1F3E02" w14:textId="77777777"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bookmarkStart w:id="0" w:name="_GoBack"/>
      <w:bookmarkEnd w:id="0"/>
    </w:p>
    <w:p w14:paraId="2F9A84B4" w14:textId="43A1FB0E"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r w:rsidRPr="00AA4C1E">
        <w:rPr>
          <w:rFonts w:cs="Arial"/>
          <w:color w:val="000000"/>
          <w:sz w:val="21"/>
          <w:szCs w:val="21"/>
        </w:rPr>
        <w:t xml:space="preserve">The live performance industry employs over 34,000 people nationally; supports more than 500 performing arts companies around Australia plus hundreds of venues, producers and music promoters. It supports the development of world-class talent both on stage and in production and technical areas. </w:t>
      </w:r>
      <w:r w:rsidR="00660BD5">
        <w:rPr>
          <w:rFonts w:cs="Arial"/>
          <w:color w:val="000000"/>
          <w:sz w:val="21"/>
          <w:szCs w:val="21"/>
        </w:rPr>
        <w:t>In 2017</w:t>
      </w:r>
      <w:r w:rsidR="00843B05">
        <w:rPr>
          <w:rFonts w:cs="Arial"/>
          <w:color w:val="000000"/>
          <w:sz w:val="21"/>
          <w:szCs w:val="21"/>
        </w:rPr>
        <w:t>, t</w:t>
      </w:r>
      <w:r w:rsidRPr="00AA4C1E">
        <w:rPr>
          <w:rFonts w:cs="Arial"/>
          <w:color w:val="000000"/>
          <w:sz w:val="21"/>
          <w:szCs w:val="21"/>
        </w:rPr>
        <w:t>he industry attract</w:t>
      </w:r>
      <w:r w:rsidR="00843B05">
        <w:rPr>
          <w:rFonts w:cs="Arial"/>
          <w:color w:val="000000"/>
          <w:sz w:val="21"/>
          <w:szCs w:val="21"/>
        </w:rPr>
        <w:t>ed</w:t>
      </w:r>
      <w:r w:rsidRPr="00AA4C1E">
        <w:rPr>
          <w:rFonts w:cs="Arial"/>
          <w:color w:val="000000"/>
          <w:sz w:val="21"/>
          <w:szCs w:val="21"/>
        </w:rPr>
        <w:t xml:space="preserve"> more than </w:t>
      </w:r>
      <w:r w:rsidR="00843B05">
        <w:rPr>
          <w:rFonts w:cs="Arial"/>
          <w:color w:val="000000"/>
          <w:sz w:val="21"/>
          <w:szCs w:val="21"/>
        </w:rPr>
        <w:t>23</w:t>
      </w:r>
      <w:r w:rsidRPr="00AA4C1E">
        <w:rPr>
          <w:rFonts w:cs="Arial"/>
          <w:color w:val="000000"/>
          <w:sz w:val="21"/>
          <w:szCs w:val="21"/>
        </w:rPr>
        <w:t xml:space="preserve"> million people</w:t>
      </w:r>
      <w:r w:rsidR="00B441D9" w:rsidRPr="00AA4C1E">
        <w:rPr>
          <w:rFonts w:cs="Arial"/>
          <w:color w:val="000000"/>
          <w:sz w:val="21"/>
          <w:szCs w:val="21"/>
        </w:rPr>
        <w:t xml:space="preserve"> </w:t>
      </w:r>
      <w:r w:rsidRPr="00AA4C1E">
        <w:rPr>
          <w:rFonts w:cs="Arial"/>
          <w:color w:val="000000"/>
          <w:sz w:val="21"/>
          <w:szCs w:val="21"/>
        </w:rPr>
        <w:t xml:space="preserve">to shows in capital cities, regional </w:t>
      </w:r>
      <w:proofErr w:type="spellStart"/>
      <w:r w:rsidRPr="00AA4C1E">
        <w:rPr>
          <w:rFonts w:cs="Arial"/>
          <w:color w:val="000000"/>
          <w:sz w:val="21"/>
          <w:szCs w:val="21"/>
        </w:rPr>
        <w:t>centres</w:t>
      </w:r>
      <w:proofErr w:type="spellEnd"/>
      <w:r w:rsidRPr="00AA4C1E">
        <w:rPr>
          <w:rFonts w:cs="Arial"/>
          <w:color w:val="000000"/>
          <w:sz w:val="21"/>
          <w:szCs w:val="21"/>
        </w:rPr>
        <w:t xml:space="preserve"> and country towns. </w:t>
      </w:r>
    </w:p>
    <w:p w14:paraId="55E1CD26" w14:textId="77777777"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p>
    <w:p w14:paraId="528809E3" w14:textId="7FD8E551"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r w:rsidRPr="00AA4C1E">
        <w:rPr>
          <w:rFonts w:cs="Arial"/>
          <w:color w:val="000000"/>
          <w:sz w:val="21"/>
          <w:szCs w:val="21"/>
        </w:rPr>
        <w:t xml:space="preserve">We understand this Government is focused on supporting economic growth and opportunity, job creation and restraining government expenditure. Our submission (attached) offers proposals on how, with the right strategic investment from government, Australia’s live performance industry can support these </w:t>
      </w:r>
      <w:r w:rsidR="00C96761" w:rsidRPr="00AA4C1E">
        <w:rPr>
          <w:rFonts w:cs="Arial"/>
          <w:color w:val="000000"/>
          <w:sz w:val="21"/>
          <w:szCs w:val="21"/>
        </w:rPr>
        <w:t>objectives</w:t>
      </w:r>
      <w:r w:rsidRPr="00AA4C1E">
        <w:rPr>
          <w:rFonts w:cs="Arial"/>
          <w:color w:val="000000"/>
          <w:sz w:val="21"/>
          <w:szCs w:val="21"/>
        </w:rPr>
        <w:t>.</w:t>
      </w:r>
    </w:p>
    <w:p w14:paraId="3F99DF9F" w14:textId="77777777" w:rsidR="00B652E4" w:rsidRPr="00AA4C1E" w:rsidRDefault="00B652E4" w:rsidP="00DC2037">
      <w:pPr>
        <w:widowControl w:val="0"/>
        <w:autoSpaceDE w:val="0"/>
        <w:autoSpaceDN w:val="0"/>
        <w:adjustRightInd w:val="0"/>
        <w:spacing w:after="0"/>
        <w:ind w:left="567" w:right="78"/>
        <w:textAlignment w:val="center"/>
        <w:rPr>
          <w:rFonts w:cs="Arial"/>
          <w:color w:val="000000"/>
          <w:sz w:val="21"/>
          <w:szCs w:val="21"/>
          <w:lang w:val="en-GB"/>
        </w:rPr>
      </w:pPr>
    </w:p>
    <w:p w14:paraId="0B53E553" w14:textId="5B44D50B" w:rsidR="00247541" w:rsidRPr="00AA4C1E" w:rsidRDefault="00B652E4" w:rsidP="00DC2037">
      <w:pPr>
        <w:widowControl w:val="0"/>
        <w:autoSpaceDE w:val="0"/>
        <w:autoSpaceDN w:val="0"/>
        <w:adjustRightInd w:val="0"/>
        <w:spacing w:after="120"/>
        <w:ind w:left="567" w:right="78"/>
        <w:textAlignment w:val="center"/>
        <w:rPr>
          <w:rFonts w:cs="Arial"/>
          <w:b/>
          <w:color w:val="ED1E42"/>
          <w:sz w:val="21"/>
          <w:szCs w:val="21"/>
          <w:lang w:val="en-GB"/>
        </w:rPr>
      </w:pPr>
      <w:r w:rsidRPr="00AA4C1E">
        <w:rPr>
          <w:rFonts w:cs="Arial"/>
          <w:b/>
          <w:color w:val="ED1E42"/>
          <w:sz w:val="21"/>
          <w:szCs w:val="21"/>
          <w:lang w:val="en-GB"/>
        </w:rPr>
        <w:t>Summary of LPA Budget Requests</w:t>
      </w:r>
    </w:p>
    <w:p w14:paraId="04E8A978" w14:textId="57E1F55B" w:rsidR="00B652E4" w:rsidRPr="00AA4C1E" w:rsidRDefault="00F56EF4" w:rsidP="00F56EF4">
      <w:pPr>
        <w:widowControl w:val="0"/>
        <w:numPr>
          <w:ilvl w:val="0"/>
          <w:numId w:val="22"/>
        </w:numPr>
        <w:autoSpaceDE w:val="0"/>
        <w:autoSpaceDN w:val="0"/>
        <w:adjustRightInd w:val="0"/>
        <w:spacing w:after="0"/>
        <w:ind w:right="78"/>
        <w:textAlignment w:val="center"/>
        <w:rPr>
          <w:rFonts w:cs="Arial"/>
          <w:b/>
          <w:color w:val="000000"/>
          <w:sz w:val="21"/>
          <w:szCs w:val="21"/>
        </w:rPr>
      </w:pPr>
      <w:r w:rsidRPr="00AA4C1E">
        <w:rPr>
          <w:rFonts w:cs="Arial"/>
          <w:color w:val="000000"/>
          <w:sz w:val="21"/>
          <w:szCs w:val="21"/>
        </w:rPr>
        <w:t>Provide tax incentives on pre-production costs for live productions to assist Australian producers finance the staging of new productions and attract investment in an internationally competitive market</w:t>
      </w:r>
      <w:r w:rsidR="00B652E4" w:rsidRPr="00AA4C1E">
        <w:rPr>
          <w:rFonts w:cs="Arial"/>
          <w:color w:val="000000"/>
          <w:sz w:val="21"/>
          <w:szCs w:val="21"/>
        </w:rPr>
        <w:t xml:space="preserve">; </w:t>
      </w:r>
    </w:p>
    <w:p w14:paraId="6CBA0947" w14:textId="5C23C1D2" w:rsidR="00B652E4" w:rsidRPr="00413200" w:rsidRDefault="00B652E4" w:rsidP="00B652E4">
      <w:pPr>
        <w:widowControl w:val="0"/>
        <w:numPr>
          <w:ilvl w:val="0"/>
          <w:numId w:val="22"/>
        </w:numPr>
        <w:autoSpaceDE w:val="0"/>
        <w:autoSpaceDN w:val="0"/>
        <w:adjustRightInd w:val="0"/>
        <w:spacing w:after="0"/>
        <w:ind w:right="78"/>
        <w:textAlignment w:val="center"/>
        <w:rPr>
          <w:rFonts w:cs="Arial"/>
          <w:b/>
          <w:color w:val="000000"/>
          <w:sz w:val="21"/>
          <w:szCs w:val="21"/>
        </w:rPr>
      </w:pPr>
      <w:r w:rsidRPr="00AA4C1E">
        <w:rPr>
          <w:rFonts w:cs="Arial"/>
          <w:color w:val="000000"/>
          <w:sz w:val="21"/>
          <w:szCs w:val="21"/>
        </w:rPr>
        <w:t xml:space="preserve">Establish a major seed fund ($20 million over four years) for original Australian works of scale; </w:t>
      </w:r>
    </w:p>
    <w:p w14:paraId="62CF8A8D" w14:textId="0BC120FA" w:rsidR="00413200" w:rsidRPr="002E2B8B" w:rsidRDefault="00413200" w:rsidP="00B652E4">
      <w:pPr>
        <w:widowControl w:val="0"/>
        <w:numPr>
          <w:ilvl w:val="0"/>
          <w:numId w:val="22"/>
        </w:numPr>
        <w:autoSpaceDE w:val="0"/>
        <w:autoSpaceDN w:val="0"/>
        <w:adjustRightInd w:val="0"/>
        <w:spacing w:after="0"/>
        <w:ind w:right="78"/>
        <w:textAlignment w:val="center"/>
        <w:rPr>
          <w:rFonts w:cs="Arial"/>
          <w:b/>
          <w:color w:val="000000"/>
          <w:sz w:val="21"/>
          <w:szCs w:val="21"/>
        </w:rPr>
      </w:pPr>
      <w:r w:rsidRPr="00413200">
        <w:rPr>
          <w:rFonts w:cs="Arial"/>
          <w:color w:val="000000"/>
          <w:sz w:val="21"/>
          <w:szCs w:val="21"/>
        </w:rPr>
        <w:t>Provide an additional $</w:t>
      </w:r>
      <w:r w:rsidR="00AC037F">
        <w:rPr>
          <w:rFonts w:cs="Arial"/>
          <w:color w:val="000000"/>
          <w:sz w:val="21"/>
          <w:szCs w:val="21"/>
        </w:rPr>
        <w:t>20</w:t>
      </w:r>
      <w:r w:rsidRPr="00413200">
        <w:rPr>
          <w:rFonts w:cs="Arial"/>
          <w:color w:val="000000"/>
          <w:sz w:val="21"/>
          <w:szCs w:val="21"/>
        </w:rPr>
        <w:t xml:space="preserve"> million per annum over 4 years to the Australia Council </w:t>
      </w:r>
    </w:p>
    <w:p w14:paraId="7E5E600D" w14:textId="69AC100A" w:rsidR="00B8549E" w:rsidRPr="00AA4C1E" w:rsidRDefault="00B652E4" w:rsidP="00B8549E">
      <w:pPr>
        <w:widowControl w:val="0"/>
        <w:numPr>
          <w:ilvl w:val="0"/>
          <w:numId w:val="22"/>
        </w:numPr>
        <w:autoSpaceDE w:val="0"/>
        <w:autoSpaceDN w:val="0"/>
        <w:adjustRightInd w:val="0"/>
        <w:spacing w:after="0"/>
        <w:ind w:right="78"/>
        <w:textAlignment w:val="center"/>
        <w:rPr>
          <w:rFonts w:cs="Arial"/>
          <w:b/>
          <w:color w:val="000000"/>
          <w:sz w:val="21"/>
          <w:szCs w:val="21"/>
        </w:rPr>
      </w:pPr>
      <w:r w:rsidRPr="00AA4C1E">
        <w:rPr>
          <w:rFonts w:cs="Arial"/>
          <w:color w:val="000000"/>
          <w:sz w:val="21"/>
          <w:szCs w:val="21"/>
        </w:rPr>
        <w:t>Provide an additional $</w:t>
      </w:r>
      <w:r w:rsidR="00D76CAD">
        <w:rPr>
          <w:rFonts w:cs="Arial"/>
          <w:color w:val="000000"/>
          <w:sz w:val="21"/>
          <w:szCs w:val="21"/>
        </w:rPr>
        <w:t>5</w:t>
      </w:r>
      <w:r w:rsidRPr="00AA4C1E">
        <w:rPr>
          <w:rFonts w:cs="Arial"/>
          <w:color w:val="000000"/>
          <w:sz w:val="21"/>
          <w:szCs w:val="21"/>
        </w:rPr>
        <w:t xml:space="preserve"> million</w:t>
      </w:r>
      <w:r w:rsidR="00D76CAD">
        <w:rPr>
          <w:rFonts w:cs="Arial"/>
          <w:color w:val="000000"/>
          <w:sz w:val="21"/>
          <w:szCs w:val="21"/>
        </w:rPr>
        <w:t xml:space="preserve"> per annum</w:t>
      </w:r>
      <w:r w:rsidRPr="00AA4C1E">
        <w:rPr>
          <w:rFonts w:cs="Arial"/>
          <w:color w:val="000000"/>
          <w:sz w:val="21"/>
          <w:szCs w:val="21"/>
        </w:rPr>
        <w:t xml:space="preserve"> over four years to Playing Australia; and</w:t>
      </w:r>
    </w:p>
    <w:p w14:paraId="7AADF2D1" w14:textId="535C483A" w:rsidR="00B652E4" w:rsidRPr="00F80879" w:rsidRDefault="0069392A" w:rsidP="00B8549E">
      <w:pPr>
        <w:widowControl w:val="0"/>
        <w:numPr>
          <w:ilvl w:val="0"/>
          <w:numId w:val="22"/>
        </w:numPr>
        <w:autoSpaceDE w:val="0"/>
        <w:autoSpaceDN w:val="0"/>
        <w:adjustRightInd w:val="0"/>
        <w:spacing w:after="0"/>
        <w:ind w:right="78"/>
        <w:textAlignment w:val="center"/>
        <w:rPr>
          <w:rFonts w:cs="Arial"/>
          <w:b/>
          <w:color w:val="000000"/>
          <w:sz w:val="21"/>
          <w:szCs w:val="21"/>
        </w:rPr>
      </w:pPr>
      <w:r>
        <w:rPr>
          <w:rFonts w:cs="Arial"/>
          <w:color w:val="000000"/>
          <w:sz w:val="21"/>
          <w:szCs w:val="21"/>
        </w:rPr>
        <w:t>Rebuild</w:t>
      </w:r>
      <w:r w:rsidR="00F80879" w:rsidRPr="00F80879">
        <w:rPr>
          <w:rFonts w:cs="Arial"/>
          <w:color w:val="000000"/>
          <w:sz w:val="21"/>
          <w:szCs w:val="21"/>
        </w:rPr>
        <w:t xml:space="preserve"> industry stability by adjusting arts funding annually by CPI and removing the efficiency dividend on arts program funding. </w:t>
      </w:r>
    </w:p>
    <w:p w14:paraId="2BF9A60E" w14:textId="77777777" w:rsidR="00B8549E" w:rsidRPr="00AA4C1E" w:rsidRDefault="00B8549E" w:rsidP="00B652E4">
      <w:pPr>
        <w:widowControl w:val="0"/>
        <w:autoSpaceDE w:val="0"/>
        <w:autoSpaceDN w:val="0"/>
        <w:adjustRightInd w:val="0"/>
        <w:spacing w:after="0"/>
        <w:ind w:left="567" w:right="78"/>
        <w:textAlignment w:val="center"/>
        <w:rPr>
          <w:rFonts w:cs="Arial"/>
          <w:color w:val="000000"/>
          <w:sz w:val="21"/>
          <w:szCs w:val="21"/>
        </w:rPr>
      </w:pPr>
    </w:p>
    <w:p w14:paraId="42DABDAC" w14:textId="77777777"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r w:rsidRPr="00AA4C1E">
        <w:rPr>
          <w:rFonts w:cs="Arial"/>
          <w:color w:val="000000"/>
          <w:sz w:val="21"/>
          <w:szCs w:val="21"/>
        </w:rPr>
        <w:t>A vibrant live performance industry is critical to Australia’s economic, social and cultural wellbeing and we ask the Government to continue to support and promote investment in our industry.</w:t>
      </w:r>
    </w:p>
    <w:p w14:paraId="711C0E38" w14:textId="08F035FD" w:rsidR="00AA4C1E" w:rsidRDefault="00AA4C1E" w:rsidP="00B652E4">
      <w:pPr>
        <w:widowControl w:val="0"/>
        <w:autoSpaceDE w:val="0"/>
        <w:autoSpaceDN w:val="0"/>
        <w:adjustRightInd w:val="0"/>
        <w:spacing w:after="0"/>
        <w:ind w:left="567" w:right="78"/>
        <w:textAlignment w:val="center"/>
        <w:rPr>
          <w:rFonts w:cs="Arial"/>
          <w:color w:val="000000"/>
          <w:sz w:val="21"/>
          <w:szCs w:val="21"/>
          <w:lang w:val="en-GB"/>
        </w:rPr>
      </w:pPr>
    </w:p>
    <w:p w14:paraId="0253E309" w14:textId="6739859E" w:rsidR="00D76CAD" w:rsidRDefault="00D76CAD" w:rsidP="00B652E4">
      <w:pPr>
        <w:widowControl w:val="0"/>
        <w:autoSpaceDE w:val="0"/>
        <w:autoSpaceDN w:val="0"/>
        <w:adjustRightInd w:val="0"/>
        <w:spacing w:after="0"/>
        <w:ind w:left="567" w:right="78"/>
        <w:textAlignment w:val="center"/>
        <w:rPr>
          <w:rFonts w:cs="Arial"/>
          <w:color w:val="000000"/>
          <w:sz w:val="21"/>
          <w:szCs w:val="21"/>
          <w:lang w:val="en-GB"/>
        </w:rPr>
      </w:pPr>
    </w:p>
    <w:p w14:paraId="24C7E4D4" w14:textId="77777777" w:rsidR="00D76CAD" w:rsidRPr="00AA4C1E" w:rsidRDefault="00D76CAD" w:rsidP="00B652E4">
      <w:pPr>
        <w:widowControl w:val="0"/>
        <w:autoSpaceDE w:val="0"/>
        <w:autoSpaceDN w:val="0"/>
        <w:adjustRightInd w:val="0"/>
        <w:spacing w:after="0"/>
        <w:ind w:left="567" w:right="78"/>
        <w:textAlignment w:val="center"/>
        <w:rPr>
          <w:rFonts w:cs="Arial"/>
          <w:color w:val="000000"/>
          <w:sz w:val="21"/>
          <w:szCs w:val="21"/>
          <w:lang w:val="en-GB"/>
        </w:rPr>
      </w:pPr>
    </w:p>
    <w:p w14:paraId="0DCC289E" w14:textId="5C5A706E" w:rsidR="00B652E4" w:rsidRPr="00AA4C1E" w:rsidRDefault="00B652E4" w:rsidP="00B652E4">
      <w:pPr>
        <w:widowControl w:val="0"/>
        <w:autoSpaceDE w:val="0"/>
        <w:autoSpaceDN w:val="0"/>
        <w:adjustRightInd w:val="0"/>
        <w:spacing w:after="0"/>
        <w:ind w:left="567" w:right="78"/>
        <w:textAlignment w:val="center"/>
        <w:rPr>
          <w:rFonts w:cs="Arial"/>
          <w:color w:val="000000"/>
          <w:sz w:val="21"/>
          <w:szCs w:val="21"/>
        </w:rPr>
      </w:pPr>
      <w:r w:rsidRPr="00AA4C1E">
        <w:rPr>
          <w:rFonts w:cs="Arial"/>
          <w:color w:val="000000"/>
          <w:sz w:val="21"/>
          <w:szCs w:val="21"/>
        </w:rPr>
        <w:lastRenderedPageBreak/>
        <w:t>Once again, we thank you for the opportunity to present this submission for consideration in the Budget process. Should you have any queries regarding the information provided, please do not hesitate to contact Kim Tran (</w:t>
      </w:r>
      <w:hyperlink r:id="rId14" w:history="1">
        <w:r w:rsidRPr="00AA4C1E">
          <w:rPr>
            <w:rStyle w:val="Hyperlink"/>
            <w:rFonts w:cs="Arial"/>
            <w:sz w:val="21"/>
            <w:szCs w:val="21"/>
          </w:rPr>
          <w:t>ktran@liveperformance.com.au</w:t>
        </w:r>
      </w:hyperlink>
      <w:r w:rsidRPr="00AA4C1E">
        <w:rPr>
          <w:rFonts w:cs="Arial"/>
          <w:color w:val="000000"/>
          <w:sz w:val="21"/>
          <w:szCs w:val="21"/>
        </w:rPr>
        <w:t xml:space="preserve">) via email or telephone. </w:t>
      </w:r>
    </w:p>
    <w:p w14:paraId="2F0F6A85" w14:textId="29535D35" w:rsidR="00B652E4" w:rsidRPr="00AA4C1E" w:rsidRDefault="00B652E4" w:rsidP="00DC2037">
      <w:pPr>
        <w:widowControl w:val="0"/>
        <w:autoSpaceDE w:val="0"/>
        <w:autoSpaceDN w:val="0"/>
        <w:adjustRightInd w:val="0"/>
        <w:spacing w:after="0"/>
        <w:ind w:left="567" w:right="78"/>
        <w:textAlignment w:val="center"/>
        <w:rPr>
          <w:rFonts w:cs="Arial"/>
          <w:color w:val="000000"/>
          <w:sz w:val="21"/>
          <w:szCs w:val="21"/>
          <w:lang w:val="en-GB"/>
        </w:rPr>
      </w:pPr>
    </w:p>
    <w:p w14:paraId="2C9156BA" w14:textId="7C886918" w:rsidR="00247541" w:rsidRPr="00AA4C1E" w:rsidRDefault="00051E69" w:rsidP="00DC2037">
      <w:pPr>
        <w:widowControl w:val="0"/>
        <w:autoSpaceDE w:val="0"/>
        <w:autoSpaceDN w:val="0"/>
        <w:adjustRightInd w:val="0"/>
        <w:spacing w:after="0"/>
        <w:ind w:left="567" w:right="78"/>
        <w:textAlignment w:val="center"/>
        <w:rPr>
          <w:rFonts w:cs="Arial"/>
          <w:color w:val="000000"/>
          <w:sz w:val="21"/>
          <w:szCs w:val="21"/>
          <w:lang w:val="en-GB"/>
        </w:rPr>
      </w:pPr>
      <w:r w:rsidRPr="00AA4C1E">
        <w:rPr>
          <w:rFonts w:cs="Arial"/>
          <w:color w:val="000000"/>
          <w:sz w:val="21"/>
          <w:szCs w:val="21"/>
          <w:lang w:val="en-GB"/>
        </w:rPr>
        <w:t>Yours sincerely</w:t>
      </w:r>
      <w:r w:rsidR="00410004" w:rsidRPr="00AA4C1E">
        <w:rPr>
          <w:rFonts w:cs="Arial"/>
          <w:color w:val="000000"/>
          <w:sz w:val="21"/>
          <w:szCs w:val="21"/>
          <w:lang w:val="en-GB"/>
        </w:rPr>
        <w:t>,</w:t>
      </w:r>
      <w:r w:rsidR="00B652E4" w:rsidRPr="00AA4C1E">
        <w:rPr>
          <w:rFonts w:cs="Arial"/>
          <w:noProof/>
          <w:color w:val="000000"/>
          <w:sz w:val="21"/>
          <w:szCs w:val="21"/>
          <w:lang w:val="en-AU" w:eastAsia="en-AU"/>
        </w:rPr>
        <w:t xml:space="preserve"> </w:t>
      </w:r>
    </w:p>
    <w:p w14:paraId="63EC2AFE" w14:textId="042EB08E" w:rsidR="00D617A2" w:rsidRPr="00AA4C1E" w:rsidRDefault="00AA4C1E" w:rsidP="00AA4C1E">
      <w:pPr>
        <w:widowControl w:val="0"/>
        <w:autoSpaceDE w:val="0"/>
        <w:autoSpaceDN w:val="0"/>
        <w:adjustRightInd w:val="0"/>
        <w:spacing w:after="0"/>
        <w:ind w:left="567" w:right="78"/>
        <w:textAlignment w:val="center"/>
        <w:rPr>
          <w:rFonts w:cs="Arial"/>
          <w:bCs/>
          <w:color w:val="000000"/>
          <w:sz w:val="21"/>
          <w:szCs w:val="21"/>
          <w:lang w:val="en-GB"/>
        </w:rPr>
      </w:pPr>
      <w:r w:rsidRPr="00AA4C1E">
        <w:rPr>
          <w:rFonts w:cs="Arial"/>
          <w:noProof/>
          <w:color w:val="000000"/>
          <w:sz w:val="21"/>
          <w:szCs w:val="21"/>
          <w:lang w:val="en-AU" w:eastAsia="en-AU"/>
        </w:rPr>
        <w:drawing>
          <wp:anchor distT="0" distB="0" distL="114300" distR="114300" simplePos="0" relativeHeight="251659264" behindDoc="0" locked="0" layoutInCell="1" allowOverlap="1" wp14:anchorId="0B6CAD81" wp14:editId="03603265">
            <wp:simplePos x="0" y="0"/>
            <wp:positionH relativeFrom="column">
              <wp:posOffset>383540</wp:posOffset>
            </wp:positionH>
            <wp:positionV relativeFrom="paragraph">
              <wp:posOffset>9525</wp:posOffset>
            </wp:positionV>
            <wp:extent cx="1450975" cy="560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0975" cy="560705"/>
                    </a:xfrm>
                    <a:prstGeom prst="rect">
                      <a:avLst/>
                    </a:prstGeom>
                    <a:noFill/>
                  </pic:spPr>
                </pic:pic>
              </a:graphicData>
            </a:graphic>
          </wp:anchor>
        </w:drawing>
      </w:r>
      <w:r w:rsidRPr="00AA4C1E">
        <w:rPr>
          <w:rFonts w:cs="Arial"/>
          <w:noProof/>
          <w:color w:val="000000"/>
          <w:sz w:val="21"/>
          <w:szCs w:val="21"/>
          <w:lang w:val="en-AU" w:eastAsia="en-AU"/>
        </w:rPr>
        <w:drawing>
          <wp:anchor distT="0" distB="0" distL="114300" distR="114300" simplePos="0" relativeHeight="251658240" behindDoc="1" locked="0" layoutInCell="1" allowOverlap="1" wp14:anchorId="02D410D0" wp14:editId="7E98219D">
            <wp:simplePos x="0" y="0"/>
            <wp:positionH relativeFrom="column">
              <wp:posOffset>3117215</wp:posOffset>
            </wp:positionH>
            <wp:positionV relativeFrom="paragraph">
              <wp:posOffset>10795</wp:posOffset>
            </wp:positionV>
            <wp:extent cx="1920240" cy="49974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0240" cy="499745"/>
                    </a:xfrm>
                    <a:prstGeom prst="rect">
                      <a:avLst/>
                    </a:prstGeom>
                    <a:noFill/>
                  </pic:spPr>
                </pic:pic>
              </a:graphicData>
            </a:graphic>
          </wp:anchor>
        </w:drawing>
      </w:r>
    </w:p>
    <w:p w14:paraId="35042490" w14:textId="77777777" w:rsidR="00D617A2" w:rsidRPr="00AA4C1E" w:rsidRDefault="00D617A2" w:rsidP="00AA4C1E">
      <w:pPr>
        <w:widowControl w:val="0"/>
        <w:autoSpaceDE w:val="0"/>
        <w:autoSpaceDN w:val="0"/>
        <w:adjustRightInd w:val="0"/>
        <w:spacing w:after="0"/>
        <w:ind w:left="567" w:right="78"/>
        <w:textAlignment w:val="center"/>
        <w:rPr>
          <w:rFonts w:cs="Arial"/>
          <w:color w:val="000000"/>
          <w:sz w:val="21"/>
          <w:szCs w:val="21"/>
          <w:lang w:val="en-GB"/>
        </w:rPr>
      </w:pPr>
    </w:p>
    <w:p w14:paraId="1CA61063" w14:textId="77777777"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p>
    <w:p w14:paraId="669A9BA2" w14:textId="35B05EC9"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r w:rsidRPr="00AA4C1E">
        <w:rPr>
          <w:rFonts w:cs="Arial"/>
          <w:b/>
          <w:color w:val="000000"/>
          <w:sz w:val="21"/>
          <w:szCs w:val="21"/>
          <w:lang w:val="en-GB"/>
        </w:rPr>
        <w:t>Evelyn</w:t>
      </w:r>
      <w:r w:rsidRPr="00AA4C1E">
        <w:rPr>
          <w:rFonts w:cs="Arial"/>
          <w:color w:val="000000"/>
          <w:sz w:val="21"/>
          <w:szCs w:val="21"/>
          <w:lang w:val="en-GB"/>
        </w:rPr>
        <w:t xml:space="preserve"> </w:t>
      </w:r>
      <w:r w:rsidRPr="00AA4C1E">
        <w:rPr>
          <w:rFonts w:cs="Arial"/>
          <w:b/>
          <w:color w:val="000000"/>
          <w:sz w:val="21"/>
          <w:szCs w:val="21"/>
          <w:lang w:val="en-GB"/>
        </w:rPr>
        <w:t>Richardson</w:t>
      </w:r>
      <w:r w:rsidRPr="00AA4C1E">
        <w:rPr>
          <w:rFonts w:cs="Arial"/>
          <w:b/>
          <w:color w:val="000000"/>
          <w:sz w:val="21"/>
          <w:szCs w:val="21"/>
          <w:lang w:val="en-GB"/>
        </w:rPr>
        <w:tab/>
      </w:r>
      <w:r w:rsidRPr="00AA4C1E">
        <w:rPr>
          <w:rFonts w:cs="Arial"/>
          <w:color w:val="000000"/>
          <w:sz w:val="21"/>
          <w:szCs w:val="21"/>
          <w:lang w:val="en-GB"/>
        </w:rPr>
        <w:tab/>
      </w:r>
      <w:r w:rsidRPr="00AA4C1E">
        <w:rPr>
          <w:rFonts w:cs="Arial"/>
          <w:color w:val="000000"/>
          <w:sz w:val="21"/>
          <w:szCs w:val="21"/>
          <w:lang w:val="en-GB"/>
        </w:rPr>
        <w:tab/>
      </w:r>
      <w:r w:rsidRPr="00AA4C1E">
        <w:rPr>
          <w:rFonts w:cs="Arial"/>
          <w:color w:val="000000"/>
          <w:sz w:val="21"/>
          <w:szCs w:val="21"/>
          <w:lang w:val="en-GB"/>
        </w:rPr>
        <w:tab/>
      </w:r>
      <w:r>
        <w:rPr>
          <w:rFonts w:cs="Arial"/>
          <w:color w:val="000000"/>
          <w:sz w:val="21"/>
          <w:szCs w:val="21"/>
          <w:lang w:val="en-GB"/>
        </w:rPr>
        <w:tab/>
      </w:r>
      <w:r w:rsidRPr="00AA4C1E">
        <w:rPr>
          <w:rFonts w:cs="Arial"/>
          <w:b/>
          <w:color w:val="000000"/>
          <w:sz w:val="21"/>
          <w:szCs w:val="21"/>
          <w:lang w:val="en-GB"/>
        </w:rPr>
        <w:t>Kim Tran</w:t>
      </w:r>
    </w:p>
    <w:p w14:paraId="57654107" w14:textId="43633A26"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r w:rsidRPr="00AA4C1E">
        <w:rPr>
          <w:rFonts w:cs="Arial"/>
          <w:color w:val="000000"/>
          <w:sz w:val="21"/>
          <w:szCs w:val="21"/>
          <w:lang w:val="en-GB"/>
        </w:rPr>
        <w:t>Chief Executive</w:t>
      </w:r>
      <w:r w:rsidRPr="00AA4C1E">
        <w:rPr>
          <w:rFonts w:cs="Arial"/>
          <w:color w:val="000000"/>
          <w:sz w:val="21"/>
          <w:szCs w:val="21"/>
          <w:lang w:val="en-GB"/>
        </w:rPr>
        <w:tab/>
      </w:r>
      <w:r w:rsidRPr="00AA4C1E">
        <w:rPr>
          <w:rFonts w:cs="Arial"/>
          <w:color w:val="000000"/>
          <w:sz w:val="21"/>
          <w:szCs w:val="21"/>
          <w:lang w:val="en-GB"/>
        </w:rPr>
        <w:tab/>
      </w:r>
      <w:r w:rsidRPr="00AA4C1E">
        <w:rPr>
          <w:rFonts w:cs="Arial"/>
          <w:color w:val="000000"/>
          <w:sz w:val="21"/>
          <w:szCs w:val="21"/>
          <w:lang w:val="en-GB"/>
        </w:rPr>
        <w:tab/>
      </w:r>
      <w:r w:rsidRPr="00AA4C1E">
        <w:rPr>
          <w:rFonts w:cs="Arial"/>
          <w:color w:val="000000"/>
          <w:sz w:val="21"/>
          <w:szCs w:val="21"/>
          <w:lang w:val="en-GB"/>
        </w:rPr>
        <w:tab/>
      </w:r>
      <w:r w:rsidRPr="00AA4C1E">
        <w:rPr>
          <w:rFonts w:cs="Arial"/>
          <w:color w:val="000000"/>
          <w:sz w:val="21"/>
          <w:szCs w:val="21"/>
          <w:lang w:val="en-GB"/>
        </w:rPr>
        <w:tab/>
        <w:t xml:space="preserve">Director, Policy &amp; Governance </w:t>
      </w:r>
    </w:p>
    <w:p w14:paraId="54517C6D" w14:textId="7B468A8E"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p>
    <w:p w14:paraId="78DF9176" w14:textId="0E37F960" w:rsidR="00AA4C1E" w:rsidRPr="00AA4C1E" w:rsidRDefault="00AA4C1E" w:rsidP="00AA4C1E">
      <w:pPr>
        <w:widowControl w:val="0"/>
        <w:autoSpaceDE w:val="0"/>
        <w:autoSpaceDN w:val="0"/>
        <w:adjustRightInd w:val="0"/>
        <w:spacing w:after="0"/>
        <w:ind w:left="567" w:right="78"/>
        <w:textAlignment w:val="center"/>
        <w:rPr>
          <w:rFonts w:cs="Arial"/>
          <w:color w:val="000000"/>
          <w:sz w:val="18"/>
          <w:szCs w:val="21"/>
          <w:lang w:val="en-GB"/>
        </w:rPr>
      </w:pPr>
      <w:r w:rsidRPr="00AA4C1E">
        <w:rPr>
          <w:rFonts w:cs="Arial"/>
          <w:color w:val="000000"/>
          <w:sz w:val="18"/>
          <w:szCs w:val="21"/>
          <w:lang w:val="en-GB"/>
        </w:rPr>
        <w:t xml:space="preserve">E  </w:t>
      </w:r>
      <w:hyperlink r:id="rId17" w:history="1">
        <w:r w:rsidRPr="00AA4C1E">
          <w:rPr>
            <w:rStyle w:val="Hyperlink"/>
            <w:rFonts w:cs="Arial"/>
            <w:sz w:val="18"/>
            <w:szCs w:val="21"/>
            <w:lang w:val="en-GB"/>
          </w:rPr>
          <w:t>erichardson@liveperformance.com.au</w:t>
        </w:r>
      </w:hyperlink>
      <w:r w:rsidRPr="00AA4C1E">
        <w:rPr>
          <w:rFonts w:cs="Arial"/>
          <w:color w:val="000000"/>
          <w:sz w:val="18"/>
          <w:szCs w:val="21"/>
          <w:lang w:val="en-GB"/>
        </w:rPr>
        <w:tab/>
      </w:r>
      <w:r w:rsidRPr="00AA4C1E">
        <w:rPr>
          <w:rFonts w:cs="Arial"/>
          <w:color w:val="000000"/>
          <w:sz w:val="18"/>
          <w:szCs w:val="21"/>
          <w:lang w:val="en-GB"/>
        </w:rPr>
        <w:tab/>
      </w:r>
      <w:r>
        <w:rPr>
          <w:rFonts w:cs="Arial"/>
          <w:color w:val="000000"/>
          <w:sz w:val="18"/>
          <w:szCs w:val="21"/>
          <w:lang w:val="en-GB"/>
        </w:rPr>
        <w:tab/>
      </w:r>
      <w:r w:rsidRPr="00AA4C1E">
        <w:rPr>
          <w:rFonts w:cs="Arial"/>
          <w:color w:val="000000"/>
          <w:sz w:val="18"/>
          <w:szCs w:val="21"/>
          <w:lang w:val="en-GB"/>
        </w:rPr>
        <w:t xml:space="preserve">E  </w:t>
      </w:r>
      <w:hyperlink r:id="rId18" w:history="1">
        <w:r w:rsidRPr="00AA4C1E">
          <w:rPr>
            <w:rStyle w:val="Hyperlink"/>
            <w:rFonts w:cs="Arial"/>
            <w:sz w:val="18"/>
            <w:szCs w:val="21"/>
            <w:lang w:val="en-GB"/>
          </w:rPr>
          <w:t>ktran@liveperformance.com.au</w:t>
        </w:r>
      </w:hyperlink>
    </w:p>
    <w:p w14:paraId="47015A01" w14:textId="20616A15" w:rsidR="00AA4C1E" w:rsidRPr="00AA4C1E" w:rsidRDefault="00AA4C1E" w:rsidP="00AA4C1E">
      <w:pPr>
        <w:widowControl w:val="0"/>
        <w:autoSpaceDE w:val="0"/>
        <w:autoSpaceDN w:val="0"/>
        <w:adjustRightInd w:val="0"/>
        <w:spacing w:after="0"/>
        <w:ind w:left="567" w:right="78"/>
        <w:textAlignment w:val="center"/>
        <w:rPr>
          <w:rFonts w:cs="Arial"/>
          <w:color w:val="000000"/>
          <w:sz w:val="18"/>
          <w:szCs w:val="21"/>
          <w:lang w:val="en-GB"/>
        </w:rPr>
      </w:pPr>
      <w:proofErr w:type="gramStart"/>
      <w:r w:rsidRPr="00AA4C1E">
        <w:rPr>
          <w:rFonts w:cs="Arial"/>
          <w:color w:val="000000"/>
          <w:sz w:val="18"/>
          <w:szCs w:val="21"/>
          <w:lang w:val="en-GB"/>
        </w:rPr>
        <w:t>T  (</w:t>
      </w:r>
      <w:proofErr w:type="gramEnd"/>
      <w:r w:rsidRPr="00AA4C1E">
        <w:rPr>
          <w:rFonts w:cs="Arial"/>
          <w:color w:val="000000"/>
          <w:sz w:val="18"/>
          <w:szCs w:val="21"/>
          <w:lang w:val="en-GB"/>
        </w:rPr>
        <w:t xml:space="preserve">03) 8614 2000 </w:t>
      </w:r>
      <w:r w:rsidRPr="00AA4C1E">
        <w:rPr>
          <w:rFonts w:cs="Arial"/>
          <w:color w:val="000000"/>
          <w:sz w:val="18"/>
          <w:szCs w:val="21"/>
          <w:lang w:val="en-GB"/>
        </w:rPr>
        <w:tab/>
      </w:r>
      <w:r w:rsidRPr="00AA4C1E">
        <w:rPr>
          <w:rFonts w:cs="Arial"/>
          <w:color w:val="000000"/>
          <w:sz w:val="18"/>
          <w:szCs w:val="21"/>
          <w:lang w:val="en-GB"/>
        </w:rPr>
        <w:tab/>
      </w:r>
      <w:r w:rsidRPr="00AA4C1E">
        <w:rPr>
          <w:rFonts w:cs="Arial"/>
          <w:color w:val="000000"/>
          <w:sz w:val="18"/>
          <w:szCs w:val="21"/>
          <w:lang w:val="en-GB"/>
        </w:rPr>
        <w:tab/>
      </w:r>
      <w:r w:rsidRPr="00AA4C1E">
        <w:rPr>
          <w:rFonts w:cs="Arial"/>
          <w:color w:val="000000"/>
          <w:sz w:val="18"/>
          <w:szCs w:val="21"/>
          <w:lang w:val="en-GB"/>
        </w:rPr>
        <w:tab/>
      </w:r>
      <w:r w:rsidRPr="00AA4C1E">
        <w:rPr>
          <w:rFonts w:cs="Arial"/>
          <w:color w:val="000000"/>
          <w:sz w:val="18"/>
          <w:szCs w:val="21"/>
          <w:lang w:val="en-GB"/>
        </w:rPr>
        <w:tab/>
        <w:t>T  (03) 8614 2000</w:t>
      </w:r>
    </w:p>
    <w:p w14:paraId="2696F488" w14:textId="05B892E3"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p>
    <w:p w14:paraId="082FB9EF" w14:textId="5F950394"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p>
    <w:p w14:paraId="61435AC9" w14:textId="77777777"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p>
    <w:p w14:paraId="37B1A0F9" w14:textId="77777777"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p>
    <w:p w14:paraId="28E83C87" w14:textId="77777777"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p>
    <w:p w14:paraId="3560D4B0" w14:textId="77777777" w:rsidR="00AA4C1E" w:rsidRPr="00AA4C1E" w:rsidRDefault="00AA4C1E" w:rsidP="00AA4C1E">
      <w:pPr>
        <w:widowControl w:val="0"/>
        <w:autoSpaceDE w:val="0"/>
        <w:autoSpaceDN w:val="0"/>
        <w:adjustRightInd w:val="0"/>
        <w:spacing w:after="0"/>
        <w:ind w:left="567" w:right="78"/>
        <w:textAlignment w:val="center"/>
        <w:rPr>
          <w:rFonts w:cs="Arial"/>
          <w:color w:val="000000"/>
          <w:sz w:val="21"/>
          <w:szCs w:val="21"/>
          <w:lang w:val="en-GB"/>
        </w:rPr>
      </w:pPr>
    </w:p>
    <w:p w14:paraId="0A8C4B67" w14:textId="7066DE08" w:rsidR="00AA4C1E" w:rsidRPr="00AA4C1E" w:rsidRDefault="00AA4C1E">
      <w:pPr>
        <w:spacing w:after="0" w:line="240" w:lineRule="auto"/>
        <w:rPr>
          <w:rFonts w:cs="Arial"/>
          <w:bCs/>
          <w:color w:val="000000"/>
          <w:sz w:val="20"/>
          <w:szCs w:val="20"/>
          <w:lang w:val="en-GB"/>
        </w:rPr>
        <w:sectPr w:rsidR="00AA4C1E" w:rsidRPr="00AA4C1E" w:rsidSect="00AA4C1E">
          <w:footerReference w:type="default" r:id="rId19"/>
          <w:headerReference w:type="first" r:id="rId20"/>
          <w:pgSz w:w="11900" w:h="16840"/>
          <w:pgMar w:top="1440" w:right="1800" w:bottom="1440" w:left="1091" w:header="708" w:footer="1134" w:gutter="0"/>
          <w:cols w:space="708"/>
          <w:titlePg/>
          <w:docGrid w:linePitch="360"/>
        </w:sectPr>
      </w:pPr>
    </w:p>
    <w:p w14:paraId="6B258F4E" w14:textId="6F20C079" w:rsidR="00BD6EE4" w:rsidRPr="00AA4C1E" w:rsidRDefault="006E63D9" w:rsidP="006E63D9">
      <w:pPr>
        <w:pStyle w:val="Header"/>
        <w:tabs>
          <w:tab w:val="clear" w:pos="4320"/>
          <w:tab w:val="clear" w:pos="8640"/>
          <w:tab w:val="center" w:pos="4536"/>
          <w:tab w:val="right" w:pos="9072"/>
        </w:tabs>
        <w:spacing w:line="240" w:lineRule="auto"/>
        <w:ind w:left="4536" w:right="-8" w:hanging="4536"/>
        <w:jc w:val="center"/>
        <w:rPr>
          <w:rFonts w:cs="Arial"/>
          <w:b/>
          <w:bCs/>
          <w:color w:val="ED1E42"/>
          <w:sz w:val="28"/>
          <w:szCs w:val="28"/>
          <w:lang w:val="en-GB"/>
        </w:rPr>
      </w:pPr>
      <w:r w:rsidRPr="00AA4C1E">
        <w:rPr>
          <w:rFonts w:cs="Arial"/>
          <w:b/>
          <w:bCs/>
          <w:color w:val="ED1E42"/>
          <w:sz w:val="28"/>
          <w:szCs w:val="28"/>
          <w:lang w:val="en-GB"/>
        </w:rPr>
        <w:lastRenderedPageBreak/>
        <w:t>LPA SUBMISSION</w:t>
      </w:r>
    </w:p>
    <w:p w14:paraId="5E0B5A57" w14:textId="32115A4F" w:rsidR="006E63D9" w:rsidRPr="00AA4C1E" w:rsidRDefault="002617AC" w:rsidP="009C734F">
      <w:pPr>
        <w:pStyle w:val="Header"/>
        <w:tabs>
          <w:tab w:val="clear" w:pos="4320"/>
          <w:tab w:val="clear" w:pos="8640"/>
          <w:tab w:val="center" w:pos="4536"/>
          <w:tab w:val="right" w:pos="9072"/>
        </w:tabs>
        <w:spacing w:line="240" w:lineRule="auto"/>
        <w:ind w:left="4536" w:right="-8" w:hanging="4536"/>
        <w:jc w:val="center"/>
        <w:rPr>
          <w:rFonts w:cs="Arial"/>
          <w:b/>
          <w:bCs/>
          <w:color w:val="ED1E42"/>
          <w:sz w:val="28"/>
          <w:szCs w:val="28"/>
          <w:lang w:val="en-GB"/>
        </w:rPr>
      </w:pPr>
      <w:r w:rsidRPr="00AA4C1E">
        <w:rPr>
          <w:rFonts w:cs="Arial"/>
          <w:b/>
          <w:bCs/>
          <w:color w:val="ED1E42"/>
          <w:sz w:val="28"/>
          <w:szCs w:val="28"/>
          <w:lang w:val="en-GB"/>
        </w:rPr>
        <w:t>Pre-budget Submission 201</w:t>
      </w:r>
      <w:r w:rsidR="00AA4C1E">
        <w:rPr>
          <w:rFonts w:cs="Arial"/>
          <w:b/>
          <w:bCs/>
          <w:color w:val="ED1E42"/>
          <w:sz w:val="28"/>
          <w:szCs w:val="28"/>
          <w:lang w:val="en-GB"/>
        </w:rPr>
        <w:t>9</w:t>
      </w:r>
      <w:r w:rsidRPr="00AA4C1E">
        <w:rPr>
          <w:rFonts w:cs="Arial"/>
          <w:b/>
          <w:bCs/>
          <w:color w:val="ED1E42"/>
          <w:sz w:val="28"/>
          <w:szCs w:val="28"/>
          <w:lang w:val="en-GB"/>
        </w:rPr>
        <w:t>-</w:t>
      </w:r>
      <w:r w:rsidR="00AA4C1E">
        <w:rPr>
          <w:rFonts w:cs="Arial"/>
          <w:b/>
          <w:bCs/>
          <w:color w:val="ED1E42"/>
          <w:sz w:val="28"/>
          <w:szCs w:val="28"/>
          <w:lang w:val="en-GB"/>
        </w:rPr>
        <w:t>20</w:t>
      </w:r>
    </w:p>
    <w:p w14:paraId="6137032C" w14:textId="1CD5C714" w:rsidR="007F6AE7" w:rsidRPr="00AA4C1E" w:rsidRDefault="002617AC" w:rsidP="007F6AE7">
      <w:pPr>
        <w:pStyle w:val="ListParagraph"/>
        <w:numPr>
          <w:ilvl w:val="0"/>
          <w:numId w:val="5"/>
        </w:numPr>
        <w:rPr>
          <w:rFonts w:cs="Arial"/>
          <w:b/>
          <w:bCs/>
          <w:color w:val="ED1E42"/>
          <w:sz w:val="24"/>
          <w:szCs w:val="24"/>
          <w:lang w:val="en-GB"/>
        </w:rPr>
      </w:pPr>
      <w:r w:rsidRPr="00AA4C1E">
        <w:rPr>
          <w:rFonts w:cs="Arial"/>
          <w:b/>
          <w:bCs/>
          <w:color w:val="ED1E42"/>
          <w:sz w:val="24"/>
          <w:szCs w:val="24"/>
          <w:lang w:val="en-GB"/>
        </w:rPr>
        <w:t>TAX INCENTIVES</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1B6E6"/>
        <w:tblLook w:val="04A0" w:firstRow="1" w:lastRow="0" w:firstColumn="1" w:lastColumn="0" w:noHBand="0" w:noVBand="1"/>
      </w:tblPr>
      <w:tblGrid>
        <w:gridCol w:w="8931"/>
      </w:tblGrid>
      <w:tr w:rsidR="002617AC" w:rsidRPr="00AA4C1E" w14:paraId="05596168" w14:textId="77777777" w:rsidTr="009A5022">
        <w:tc>
          <w:tcPr>
            <w:tcW w:w="8931" w:type="dxa"/>
            <w:shd w:val="clear" w:color="auto" w:fill="D0D3D4"/>
          </w:tcPr>
          <w:p w14:paraId="7D542F41" w14:textId="77777777" w:rsidR="002617AC" w:rsidRPr="00AA4C1E" w:rsidRDefault="002617AC" w:rsidP="002617AC">
            <w:pPr>
              <w:autoSpaceDE w:val="0"/>
              <w:autoSpaceDN w:val="0"/>
              <w:adjustRightInd w:val="0"/>
              <w:spacing w:before="120" w:after="0" w:line="300" w:lineRule="exact"/>
              <w:rPr>
                <w:rFonts w:cs="Arial"/>
                <w:b/>
                <w:sz w:val="21"/>
                <w:szCs w:val="21"/>
              </w:rPr>
            </w:pPr>
            <w:r w:rsidRPr="00AA4C1E">
              <w:rPr>
                <w:rFonts w:cs="Arial"/>
                <w:b/>
                <w:sz w:val="21"/>
                <w:szCs w:val="21"/>
              </w:rPr>
              <w:t xml:space="preserve">Budget request 1: </w:t>
            </w:r>
          </w:p>
          <w:p w14:paraId="2BAF7648" w14:textId="7FED6DAE" w:rsidR="002617AC" w:rsidRPr="00AA4C1E" w:rsidRDefault="002617AC" w:rsidP="00F56EF4">
            <w:pPr>
              <w:autoSpaceDE w:val="0"/>
              <w:autoSpaceDN w:val="0"/>
              <w:adjustRightInd w:val="0"/>
              <w:spacing w:after="120" w:line="300" w:lineRule="exact"/>
              <w:rPr>
                <w:rFonts w:cs="Arial"/>
                <w:b/>
                <w:color w:val="231F20"/>
                <w:sz w:val="21"/>
                <w:szCs w:val="21"/>
              </w:rPr>
            </w:pPr>
            <w:r w:rsidRPr="00AA4C1E">
              <w:rPr>
                <w:rFonts w:cs="Arial"/>
                <w:sz w:val="21"/>
                <w:szCs w:val="21"/>
              </w:rPr>
              <w:t>Provide tax incentives on pre-production costs for live productions</w:t>
            </w:r>
            <w:r w:rsidR="00F56EF4" w:rsidRPr="00AA4C1E">
              <w:rPr>
                <w:rFonts w:cs="Arial"/>
                <w:sz w:val="21"/>
                <w:szCs w:val="21"/>
              </w:rPr>
              <w:t xml:space="preserve"> to assist Australian producers finance the staging of new productions and </w:t>
            </w:r>
            <w:r w:rsidR="009A5022" w:rsidRPr="00AA4C1E">
              <w:rPr>
                <w:rFonts w:cs="Arial"/>
                <w:sz w:val="21"/>
                <w:szCs w:val="21"/>
              </w:rPr>
              <w:t>attract</w:t>
            </w:r>
            <w:r w:rsidR="00F56EF4" w:rsidRPr="00AA4C1E">
              <w:rPr>
                <w:rFonts w:cs="Arial"/>
                <w:sz w:val="21"/>
                <w:szCs w:val="21"/>
              </w:rPr>
              <w:t xml:space="preserve"> </w:t>
            </w:r>
            <w:r w:rsidR="009A5022" w:rsidRPr="00AA4C1E">
              <w:rPr>
                <w:rFonts w:cs="Arial"/>
                <w:sz w:val="21"/>
                <w:szCs w:val="21"/>
              </w:rPr>
              <w:t>investment in an internationally competitive market</w:t>
            </w:r>
            <w:r w:rsidR="00F56EF4" w:rsidRPr="00AA4C1E">
              <w:rPr>
                <w:rFonts w:cs="Arial"/>
                <w:sz w:val="21"/>
                <w:szCs w:val="21"/>
              </w:rPr>
              <w:t>.</w:t>
            </w:r>
          </w:p>
        </w:tc>
      </w:tr>
    </w:tbl>
    <w:p w14:paraId="03E03209" w14:textId="54416309" w:rsidR="002617AC" w:rsidRPr="00AA4C1E" w:rsidRDefault="002617AC" w:rsidP="00001194">
      <w:pPr>
        <w:widowControl w:val="0"/>
        <w:autoSpaceDE w:val="0"/>
        <w:autoSpaceDN w:val="0"/>
        <w:adjustRightInd w:val="0"/>
        <w:spacing w:after="0"/>
        <w:ind w:right="133"/>
        <w:textAlignment w:val="center"/>
        <w:rPr>
          <w:rFonts w:cs="Arial"/>
          <w:color w:val="000000"/>
          <w:sz w:val="21"/>
          <w:szCs w:val="21"/>
          <w:lang w:val="en-GB"/>
        </w:rPr>
      </w:pPr>
      <w:r w:rsidRPr="00AA4C1E">
        <w:rPr>
          <w:rFonts w:cs="Arial"/>
          <w:color w:val="231F20"/>
          <w:sz w:val="21"/>
          <w:szCs w:val="21"/>
        </w:rPr>
        <w:br/>
      </w:r>
      <w:r w:rsidRPr="00AA4C1E">
        <w:rPr>
          <w:rFonts w:cs="Arial"/>
          <w:color w:val="000000"/>
          <w:sz w:val="21"/>
          <w:szCs w:val="21"/>
          <w:lang w:val="en-GB"/>
        </w:rPr>
        <w:t xml:space="preserve">It is becoming increasingly more </w:t>
      </w:r>
      <w:r w:rsidR="00B441D9" w:rsidRPr="00AA4C1E">
        <w:rPr>
          <w:rFonts w:cs="Arial"/>
          <w:color w:val="000000"/>
          <w:sz w:val="21"/>
          <w:szCs w:val="21"/>
          <w:lang w:val="en-GB"/>
        </w:rPr>
        <w:t>challenging</w:t>
      </w:r>
      <w:r w:rsidRPr="00AA4C1E">
        <w:rPr>
          <w:rFonts w:cs="Arial"/>
          <w:color w:val="000000"/>
          <w:sz w:val="21"/>
          <w:szCs w:val="21"/>
          <w:lang w:val="en-GB"/>
        </w:rPr>
        <w:t xml:space="preserve"> for Australian </w:t>
      </w:r>
      <w:r w:rsidR="00B441D9" w:rsidRPr="00AA4C1E">
        <w:rPr>
          <w:rFonts w:cs="Arial"/>
          <w:color w:val="000000"/>
          <w:sz w:val="21"/>
          <w:szCs w:val="21"/>
          <w:lang w:val="en-GB"/>
        </w:rPr>
        <w:t xml:space="preserve">theatrical </w:t>
      </w:r>
      <w:r w:rsidRPr="00AA4C1E">
        <w:rPr>
          <w:rFonts w:cs="Arial"/>
          <w:color w:val="000000"/>
          <w:sz w:val="21"/>
          <w:szCs w:val="21"/>
          <w:lang w:val="en-GB"/>
        </w:rPr>
        <w:t xml:space="preserve">producers to </w:t>
      </w:r>
      <w:r w:rsidR="005E5C41" w:rsidRPr="00AA4C1E">
        <w:rPr>
          <w:rFonts w:cs="Arial"/>
          <w:color w:val="000000"/>
          <w:sz w:val="21"/>
          <w:szCs w:val="21"/>
          <w:lang w:val="en-GB"/>
        </w:rPr>
        <w:t>finance the staging of</w:t>
      </w:r>
      <w:r w:rsidRPr="00AA4C1E">
        <w:rPr>
          <w:rFonts w:cs="Arial"/>
          <w:color w:val="000000"/>
          <w:sz w:val="21"/>
          <w:szCs w:val="21"/>
          <w:lang w:val="en-GB"/>
        </w:rPr>
        <w:t xml:space="preserve"> new </w:t>
      </w:r>
      <w:r w:rsidR="00F56EF4" w:rsidRPr="00AA4C1E">
        <w:rPr>
          <w:rFonts w:cs="Arial"/>
          <w:color w:val="000000"/>
          <w:sz w:val="21"/>
          <w:szCs w:val="21"/>
          <w:lang w:val="en-GB"/>
        </w:rPr>
        <w:t xml:space="preserve">live </w:t>
      </w:r>
      <w:r w:rsidRPr="00AA4C1E">
        <w:rPr>
          <w:rFonts w:cs="Arial"/>
          <w:color w:val="000000"/>
          <w:sz w:val="21"/>
          <w:szCs w:val="21"/>
          <w:lang w:val="en-GB"/>
        </w:rPr>
        <w:t>productions due to the high costs of pre-production and difficulties in attracting the required level of investment.</w:t>
      </w:r>
      <w:r w:rsidR="00715D24" w:rsidRPr="00AA4C1E">
        <w:rPr>
          <w:rFonts w:cs="Arial"/>
          <w:color w:val="000000"/>
          <w:sz w:val="21"/>
          <w:szCs w:val="21"/>
          <w:lang w:val="en-GB"/>
        </w:rPr>
        <w:t xml:space="preserve"> As a result, </w:t>
      </w:r>
      <w:r w:rsidR="00253F14" w:rsidRPr="00AA4C1E">
        <w:rPr>
          <w:rFonts w:cs="Arial"/>
          <w:color w:val="000000"/>
          <w:sz w:val="21"/>
          <w:szCs w:val="21"/>
          <w:lang w:val="en-GB"/>
        </w:rPr>
        <w:t>oppo</w:t>
      </w:r>
      <w:r w:rsidR="00760C19" w:rsidRPr="00AA4C1E">
        <w:rPr>
          <w:rFonts w:cs="Arial"/>
          <w:color w:val="000000"/>
          <w:sz w:val="21"/>
          <w:szCs w:val="21"/>
          <w:lang w:val="en-GB"/>
        </w:rPr>
        <w:t xml:space="preserve">rtunities for developing </w:t>
      </w:r>
      <w:r w:rsidR="007301F2" w:rsidRPr="00AA4C1E">
        <w:rPr>
          <w:rFonts w:cs="Arial"/>
          <w:color w:val="000000"/>
          <w:sz w:val="21"/>
          <w:szCs w:val="21"/>
          <w:lang w:val="en-GB"/>
        </w:rPr>
        <w:t xml:space="preserve">new </w:t>
      </w:r>
      <w:r w:rsidR="002C4E05" w:rsidRPr="00AA4C1E">
        <w:rPr>
          <w:rFonts w:cs="Arial"/>
          <w:color w:val="000000"/>
          <w:sz w:val="21"/>
          <w:szCs w:val="21"/>
          <w:lang w:val="en-GB"/>
        </w:rPr>
        <w:t>ambitious</w:t>
      </w:r>
      <w:r w:rsidR="00760C19" w:rsidRPr="00AA4C1E">
        <w:rPr>
          <w:rFonts w:cs="Arial"/>
          <w:color w:val="000000"/>
          <w:sz w:val="21"/>
          <w:szCs w:val="21"/>
          <w:lang w:val="en-GB"/>
        </w:rPr>
        <w:t xml:space="preserve"> Australian content with Australian-owned intellectual property</w:t>
      </w:r>
      <w:r w:rsidR="002C4E05" w:rsidRPr="00AA4C1E">
        <w:rPr>
          <w:rFonts w:cs="Arial"/>
          <w:color w:val="000000"/>
          <w:sz w:val="21"/>
          <w:szCs w:val="21"/>
          <w:lang w:val="en-GB"/>
        </w:rPr>
        <w:t xml:space="preserve"> and job creation</w:t>
      </w:r>
      <w:r w:rsidR="00B441D9" w:rsidRPr="00AA4C1E">
        <w:rPr>
          <w:rFonts w:cs="Arial"/>
          <w:color w:val="000000"/>
          <w:sz w:val="21"/>
          <w:szCs w:val="21"/>
          <w:lang w:val="en-GB"/>
        </w:rPr>
        <w:t xml:space="preserve"> are</w:t>
      </w:r>
      <w:r w:rsidR="00760C19" w:rsidRPr="00AA4C1E">
        <w:rPr>
          <w:rFonts w:cs="Arial"/>
          <w:color w:val="000000"/>
          <w:sz w:val="21"/>
          <w:szCs w:val="21"/>
          <w:lang w:val="en-GB"/>
        </w:rPr>
        <w:t xml:space="preserve"> lost.</w:t>
      </w:r>
    </w:p>
    <w:p w14:paraId="4AEC24C3" w14:textId="77777777" w:rsidR="002617AC" w:rsidRPr="00AA4C1E" w:rsidRDefault="002617AC" w:rsidP="00001194">
      <w:pPr>
        <w:widowControl w:val="0"/>
        <w:autoSpaceDE w:val="0"/>
        <w:autoSpaceDN w:val="0"/>
        <w:adjustRightInd w:val="0"/>
        <w:spacing w:after="0"/>
        <w:ind w:right="133"/>
        <w:textAlignment w:val="center"/>
        <w:rPr>
          <w:rFonts w:cs="Arial"/>
          <w:color w:val="000000"/>
          <w:sz w:val="21"/>
          <w:szCs w:val="21"/>
          <w:lang w:val="en-GB"/>
        </w:rPr>
      </w:pPr>
    </w:p>
    <w:p w14:paraId="369C0BE7" w14:textId="52FEAC6A" w:rsidR="005E5C41" w:rsidRPr="00AA4C1E" w:rsidRDefault="002617AC" w:rsidP="00001194">
      <w:pPr>
        <w:widowControl w:val="0"/>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 xml:space="preserve">Within Australia, </w:t>
      </w:r>
      <w:r w:rsidR="00B441D9" w:rsidRPr="00AA4C1E">
        <w:rPr>
          <w:rFonts w:cs="Arial"/>
          <w:color w:val="000000"/>
          <w:sz w:val="21"/>
          <w:szCs w:val="21"/>
          <w:lang w:val="en-GB"/>
        </w:rPr>
        <w:t>theatrical</w:t>
      </w:r>
      <w:r w:rsidRPr="00AA4C1E">
        <w:rPr>
          <w:rFonts w:cs="Arial"/>
          <w:color w:val="000000"/>
          <w:sz w:val="21"/>
          <w:szCs w:val="21"/>
          <w:lang w:val="en-GB"/>
        </w:rPr>
        <w:t xml:space="preserve"> producers compete against other industrie</w:t>
      </w:r>
      <w:r w:rsidR="005E5C41" w:rsidRPr="00AA4C1E">
        <w:rPr>
          <w:rFonts w:cs="Arial"/>
          <w:color w:val="000000"/>
          <w:sz w:val="21"/>
          <w:szCs w:val="21"/>
          <w:lang w:val="en-GB"/>
        </w:rPr>
        <w:t xml:space="preserve">s, notably film and </w:t>
      </w:r>
      <w:r w:rsidR="00B441D9" w:rsidRPr="00AA4C1E">
        <w:rPr>
          <w:rFonts w:cs="Arial"/>
          <w:color w:val="000000"/>
          <w:sz w:val="21"/>
          <w:szCs w:val="21"/>
          <w:lang w:val="en-GB"/>
        </w:rPr>
        <w:t>TV</w:t>
      </w:r>
      <w:r w:rsidR="005E5C41" w:rsidRPr="00AA4C1E">
        <w:rPr>
          <w:rFonts w:cs="Arial"/>
          <w:color w:val="000000"/>
          <w:sz w:val="21"/>
          <w:szCs w:val="21"/>
          <w:lang w:val="en-GB"/>
        </w:rPr>
        <w:t xml:space="preserve">, where the </w:t>
      </w:r>
      <w:r w:rsidR="00F56EF4" w:rsidRPr="00AA4C1E">
        <w:rPr>
          <w:rFonts w:cs="Arial"/>
          <w:color w:val="000000"/>
          <w:sz w:val="21"/>
          <w:szCs w:val="21"/>
          <w:lang w:val="en-GB"/>
        </w:rPr>
        <w:t>Federal</w:t>
      </w:r>
      <w:r w:rsidR="005E5C41" w:rsidRPr="00AA4C1E">
        <w:rPr>
          <w:rFonts w:cs="Arial"/>
          <w:color w:val="000000"/>
          <w:sz w:val="21"/>
          <w:szCs w:val="21"/>
          <w:lang w:val="en-GB"/>
        </w:rPr>
        <w:t xml:space="preserve"> Government provides tax incentives </w:t>
      </w:r>
      <w:r w:rsidR="00F56EF4" w:rsidRPr="00AA4C1E">
        <w:rPr>
          <w:rFonts w:cs="Arial"/>
          <w:color w:val="000000"/>
          <w:sz w:val="21"/>
          <w:szCs w:val="21"/>
          <w:lang w:val="en-GB"/>
        </w:rPr>
        <w:t xml:space="preserve">that </w:t>
      </w:r>
      <w:r w:rsidR="005E5C41" w:rsidRPr="00AA4C1E">
        <w:rPr>
          <w:rFonts w:cs="Arial"/>
          <w:color w:val="000000"/>
          <w:sz w:val="21"/>
          <w:szCs w:val="21"/>
          <w:lang w:val="en-GB"/>
        </w:rPr>
        <w:t xml:space="preserve">allow </w:t>
      </w:r>
      <w:r w:rsidR="00B441D9" w:rsidRPr="00AA4C1E">
        <w:rPr>
          <w:rFonts w:cs="Arial"/>
          <w:color w:val="000000"/>
          <w:sz w:val="21"/>
          <w:szCs w:val="21"/>
          <w:lang w:val="en-GB"/>
        </w:rPr>
        <w:t>screen</w:t>
      </w:r>
      <w:r w:rsidR="005E5C41" w:rsidRPr="00AA4C1E">
        <w:rPr>
          <w:rFonts w:cs="Arial"/>
          <w:color w:val="000000"/>
          <w:sz w:val="21"/>
          <w:szCs w:val="21"/>
          <w:lang w:val="en-GB"/>
        </w:rPr>
        <w:t xml:space="preserve"> producers to offset pre-production costs on qualifying expenditure. The Producer Offset provides:</w:t>
      </w:r>
    </w:p>
    <w:p w14:paraId="38100251" w14:textId="3DEEC863" w:rsidR="005E5C41" w:rsidRPr="00AA4C1E" w:rsidRDefault="005E5C41" w:rsidP="005E5C41">
      <w:pPr>
        <w:pStyle w:val="ListParagraph"/>
        <w:widowControl w:val="0"/>
        <w:numPr>
          <w:ilvl w:val="0"/>
          <w:numId w:val="26"/>
        </w:numPr>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 xml:space="preserve">a </w:t>
      </w:r>
      <w:r w:rsidR="002617AC" w:rsidRPr="00AA4C1E">
        <w:rPr>
          <w:rFonts w:cs="Arial"/>
          <w:color w:val="000000"/>
          <w:sz w:val="21"/>
          <w:szCs w:val="21"/>
          <w:lang w:val="en-GB"/>
        </w:rPr>
        <w:t xml:space="preserve">40% producer tax offset </w:t>
      </w:r>
      <w:r w:rsidR="00F56EF4" w:rsidRPr="00AA4C1E">
        <w:rPr>
          <w:rFonts w:cs="Arial"/>
          <w:color w:val="000000"/>
          <w:sz w:val="21"/>
          <w:szCs w:val="21"/>
          <w:lang w:val="en-GB"/>
        </w:rPr>
        <w:t>f</w:t>
      </w:r>
      <w:r w:rsidR="009A5022" w:rsidRPr="00AA4C1E">
        <w:rPr>
          <w:rFonts w:cs="Arial"/>
          <w:color w:val="000000"/>
          <w:sz w:val="21"/>
          <w:szCs w:val="21"/>
          <w:lang w:val="en-GB"/>
        </w:rPr>
        <w:t>or feature film production</w:t>
      </w:r>
      <w:r w:rsidRPr="00AA4C1E">
        <w:rPr>
          <w:rFonts w:cs="Arial"/>
          <w:color w:val="000000"/>
          <w:sz w:val="21"/>
          <w:szCs w:val="21"/>
          <w:lang w:val="en-GB"/>
        </w:rPr>
        <w:t>;</w:t>
      </w:r>
      <w:r w:rsidR="009A5022" w:rsidRPr="00AA4C1E">
        <w:rPr>
          <w:rFonts w:cs="Arial"/>
          <w:color w:val="000000"/>
          <w:sz w:val="21"/>
          <w:szCs w:val="21"/>
          <w:lang w:val="en-GB"/>
        </w:rPr>
        <w:t xml:space="preserve"> and </w:t>
      </w:r>
    </w:p>
    <w:p w14:paraId="2FD408A8" w14:textId="3C97122B" w:rsidR="005E5C41" w:rsidRPr="00AA4C1E" w:rsidRDefault="005E5C41" w:rsidP="005E5C41">
      <w:pPr>
        <w:pStyle w:val="ListParagraph"/>
        <w:widowControl w:val="0"/>
        <w:numPr>
          <w:ilvl w:val="0"/>
          <w:numId w:val="26"/>
        </w:numPr>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 xml:space="preserve">a </w:t>
      </w:r>
      <w:r w:rsidR="009A5022" w:rsidRPr="00AA4C1E">
        <w:rPr>
          <w:rFonts w:cs="Arial"/>
          <w:color w:val="000000"/>
          <w:sz w:val="21"/>
          <w:szCs w:val="21"/>
          <w:lang w:val="en-GB"/>
        </w:rPr>
        <w:t>20%</w:t>
      </w:r>
      <w:r w:rsidRPr="00AA4C1E">
        <w:rPr>
          <w:rFonts w:cs="Arial"/>
          <w:color w:val="000000"/>
          <w:sz w:val="21"/>
          <w:szCs w:val="21"/>
          <w:lang w:val="en-GB"/>
        </w:rPr>
        <w:t xml:space="preserve"> producer tax offset </w:t>
      </w:r>
      <w:r w:rsidR="00B441D9" w:rsidRPr="00AA4C1E">
        <w:rPr>
          <w:rFonts w:cs="Arial"/>
          <w:color w:val="000000"/>
          <w:sz w:val="21"/>
          <w:szCs w:val="21"/>
          <w:lang w:val="en-GB"/>
        </w:rPr>
        <w:t>for TV</w:t>
      </w:r>
      <w:r w:rsidR="009A5022" w:rsidRPr="00AA4C1E">
        <w:rPr>
          <w:rFonts w:cs="Arial"/>
          <w:color w:val="000000"/>
          <w:sz w:val="21"/>
          <w:szCs w:val="21"/>
          <w:lang w:val="en-GB"/>
        </w:rPr>
        <w:t xml:space="preserve"> and other projects. </w:t>
      </w:r>
    </w:p>
    <w:p w14:paraId="46B8E742" w14:textId="77777777" w:rsidR="005E5C41" w:rsidRPr="00AA4C1E" w:rsidRDefault="005E5C41" w:rsidP="005E5C41">
      <w:pPr>
        <w:widowControl w:val="0"/>
        <w:autoSpaceDE w:val="0"/>
        <w:autoSpaceDN w:val="0"/>
        <w:adjustRightInd w:val="0"/>
        <w:spacing w:after="0"/>
        <w:ind w:right="133"/>
        <w:textAlignment w:val="center"/>
        <w:rPr>
          <w:rFonts w:cs="Arial"/>
          <w:color w:val="000000"/>
          <w:sz w:val="21"/>
          <w:szCs w:val="21"/>
          <w:lang w:val="en-GB"/>
        </w:rPr>
      </w:pPr>
    </w:p>
    <w:p w14:paraId="6B80F833" w14:textId="5094B94E" w:rsidR="00F56EF4" w:rsidRPr="00AA4C1E" w:rsidRDefault="002617AC" w:rsidP="005E5C41">
      <w:pPr>
        <w:widowControl w:val="0"/>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Screen Australia’s recent study (</w:t>
      </w:r>
      <w:r w:rsidR="003765EF" w:rsidRPr="00AA4C1E">
        <w:rPr>
          <w:rFonts w:cs="Arial"/>
          <w:color w:val="000000"/>
          <w:sz w:val="21"/>
          <w:szCs w:val="21"/>
          <w:lang w:val="en-GB"/>
        </w:rPr>
        <w:t>November</w:t>
      </w:r>
      <w:r w:rsidRPr="00AA4C1E">
        <w:rPr>
          <w:rFonts w:cs="Arial"/>
          <w:color w:val="000000"/>
          <w:sz w:val="21"/>
          <w:szCs w:val="21"/>
          <w:lang w:val="en-GB"/>
        </w:rPr>
        <w:t xml:space="preserve"> 2017) found that 91% of </w:t>
      </w:r>
      <w:r w:rsidR="00B441D9" w:rsidRPr="00AA4C1E">
        <w:rPr>
          <w:rFonts w:cs="Arial"/>
          <w:color w:val="000000"/>
          <w:sz w:val="21"/>
          <w:szCs w:val="21"/>
          <w:lang w:val="en-GB"/>
        </w:rPr>
        <w:t xml:space="preserve">screen </w:t>
      </w:r>
      <w:r w:rsidRPr="00AA4C1E">
        <w:rPr>
          <w:rFonts w:cs="Arial"/>
          <w:color w:val="000000"/>
          <w:sz w:val="21"/>
          <w:szCs w:val="21"/>
          <w:lang w:val="en-GB"/>
        </w:rPr>
        <w:t xml:space="preserve">producers surveyed reported that the introduction of the </w:t>
      </w:r>
      <w:r w:rsidR="00F56EF4" w:rsidRPr="00AA4C1E">
        <w:rPr>
          <w:rFonts w:cs="Arial"/>
          <w:color w:val="000000"/>
          <w:sz w:val="21"/>
          <w:szCs w:val="21"/>
          <w:lang w:val="en-GB"/>
        </w:rPr>
        <w:t>P</w:t>
      </w:r>
      <w:r w:rsidRPr="00AA4C1E">
        <w:rPr>
          <w:rFonts w:cs="Arial"/>
          <w:color w:val="000000"/>
          <w:sz w:val="21"/>
          <w:szCs w:val="21"/>
          <w:lang w:val="en-GB"/>
        </w:rPr>
        <w:t xml:space="preserve">roducer </w:t>
      </w:r>
      <w:r w:rsidR="00F56EF4" w:rsidRPr="00AA4C1E">
        <w:rPr>
          <w:rFonts w:cs="Arial"/>
          <w:color w:val="000000"/>
          <w:sz w:val="21"/>
          <w:szCs w:val="21"/>
          <w:lang w:val="en-GB"/>
        </w:rPr>
        <w:t>O</w:t>
      </w:r>
      <w:r w:rsidRPr="00AA4C1E">
        <w:rPr>
          <w:rFonts w:cs="Arial"/>
          <w:color w:val="000000"/>
          <w:sz w:val="21"/>
          <w:szCs w:val="21"/>
          <w:lang w:val="en-GB"/>
        </w:rPr>
        <w:t xml:space="preserve">ffset has provided a range of benefits critical to their business. </w:t>
      </w:r>
      <w:r w:rsidR="00B441D9" w:rsidRPr="00AA4C1E">
        <w:rPr>
          <w:rFonts w:cs="Arial"/>
          <w:color w:val="000000"/>
          <w:sz w:val="21"/>
          <w:szCs w:val="21"/>
          <w:lang w:val="en-GB"/>
        </w:rPr>
        <w:t>The benefits include</w:t>
      </w:r>
      <w:r w:rsidR="00F56EF4" w:rsidRPr="00AA4C1E">
        <w:rPr>
          <w:rFonts w:cs="Arial"/>
          <w:color w:val="000000"/>
          <w:sz w:val="21"/>
          <w:szCs w:val="21"/>
          <w:lang w:val="en-GB"/>
        </w:rPr>
        <w:t>:</w:t>
      </w:r>
    </w:p>
    <w:p w14:paraId="24A7199F" w14:textId="3F2C6B74" w:rsidR="00F56EF4" w:rsidRPr="00AA4C1E" w:rsidRDefault="00670C63" w:rsidP="00F56EF4">
      <w:pPr>
        <w:pStyle w:val="ListParagraph"/>
        <w:widowControl w:val="0"/>
        <w:numPr>
          <w:ilvl w:val="0"/>
          <w:numId w:val="27"/>
        </w:numPr>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 xml:space="preserve">significantly increasing the equity stake retained by </w:t>
      </w:r>
      <w:r w:rsidR="00B441D9" w:rsidRPr="00AA4C1E">
        <w:rPr>
          <w:rFonts w:cs="Arial"/>
          <w:color w:val="000000"/>
          <w:sz w:val="21"/>
          <w:szCs w:val="21"/>
          <w:lang w:val="en-GB"/>
        </w:rPr>
        <w:t xml:space="preserve">screen </w:t>
      </w:r>
      <w:r w:rsidRPr="00AA4C1E">
        <w:rPr>
          <w:rFonts w:cs="Arial"/>
          <w:color w:val="000000"/>
          <w:sz w:val="21"/>
          <w:szCs w:val="21"/>
          <w:lang w:val="en-GB"/>
        </w:rPr>
        <w:t>producers to sustain their business and consistently produce content;</w:t>
      </w:r>
    </w:p>
    <w:p w14:paraId="14CCAD61" w14:textId="427F988A" w:rsidR="00670C63" w:rsidRPr="00AA4C1E" w:rsidRDefault="00670C63" w:rsidP="00F56EF4">
      <w:pPr>
        <w:pStyle w:val="ListParagraph"/>
        <w:widowControl w:val="0"/>
        <w:numPr>
          <w:ilvl w:val="0"/>
          <w:numId w:val="27"/>
        </w:numPr>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making it easier to raise finance and increasing business revenue;</w:t>
      </w:r>
    </w:p>
    <w:p w14:paraId="604B2E18" w14:textId="340BB4F5" w:rsidR="002617AC" w:rsidRPr="00AA4C1E" w:rsidRDefault="00F56EF4" w:rsidP="00F56EF4">
      <w:pPr>
        <w:pStyle w:val="ListParagraph"/>
        <w:widowControl w:val="0"/>
        <w:numPr>
          <w:ilvl w:val="0"/>
          <w:numId w:val="27"/>
        </w:numPr>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providing</w:t>
      </w:r>
      <w:r w:rsidR="002617AC" w:rsidRPr="00AA4C1E">
        <w:rPr>
          <w:rFonts w:cs="Arial"/>
          <w:color w:val="000000"/>
          <w:sz w:val="21"/>
          <w:szCs w:val="21"/>
          <w:lang w:val="en-GB"/>
        </w:rPr>
        <w:t xml:space="preserve"> a measure of security and confidence to attract investors to otherwise high-risk investments.</w:t>
      </w:r>
      <w:r w:rsidR="00822C80" w:rsidRPr="00AA4C1E">
        <w:rPr>
          <w:rStyle w:val="FootnoteReference"/>
          <w:rFonts w:cs="Arial"/>
          <w:color w:val="000000"/>
          <w:sz w:val="21"/>
          <w:szCs w:val="21"/>
          <w:lang w:val="en-GB"/>
        </w:rPr>
        <w:footnoteReference w:id="1"/>
      </w:r>
    </w:p>
    <w:p w14:paraId="3F344614" w14:textId="77777777" w:rsidR="002617AC" w:rsidRPr="00AA4C1E" w:rsidRDefault="002617AC" w:rsidP="00001194">
      <w:pPr>
        <w:widowControl w:val="0"/>
        <w:autoSpaceDE w:val="0"/>
        <w:autoSpaceDN w:val="0"/>
        <w:adjustRightInd w:val="0"/>
        <w:spacing w:after="0"/>
        <w:ind w:right="133"/>
        <w:textAlignment w:val="center"/>
        <w:rPr>
          <w:rFonts w:cs="Arial"/>
          <w:color w:val="000000"/>
          <w:sz w:val="21"/>
          <w:szCs w:val="21"/>
          <w:lang w:val="en-GB"/>
        </w:rPr>
      </w:pPr>
    </w:p>
    <w:p w14:paraId="537154AA" w14:textId="11A03DF5" w:rsidR="002617AC" w:rsidRDefault="002617AC" w:rsidP="00001194">
      <w:pPr>
        <w:widowControl w:val="0"/>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 xml:space="preserve">Australian </w:t>
      </w:r>
      <w:r w:rsidR="00B441D9" w:rsidRPr="00AA4C1E">
        <w:rPr>
          <w:rFonts w:cs="Arial"/>
          <w:color w:val="000000"/>
          <w:sz w:val="21"/>
          <w:szCs w:val="21"/>
          <w:lang w:val="en-GB"/>
        </w:rPr>
        <w:t xml:space="preserve">theatrical </w:t>
      </w:r>
      <w:r w:rsidRPr="00AA4C1E">
        <w:rPr>
          <w:rFonts w:cs="Arial"/>
          <w:color w:val="000000"/>
          <w:sz w:val="21"/>
          <w:szCs w:val="21"/>
          <w:lang w:val="en-GB"/>
        </w:rPr>
        <w:t>producers also compete for investors with international jurisdictions that offer significant tax incentives (e.g. UK and USA). The UK Theatre Tax Relief (TTR) scheme</w:t>
      </w:r>
      <w:r w:rsidR="00670C63" w:rsidRPr="00AA4C1E">
        <w:rPr>
          <w:rFonts w:cs="Arial"/>
          <w:color w:val="000000"/>
          <w:sz w:val="21"/>
          <w:szCs w:val="21"/>
          <w:lang w:val="en-GB"/>
        </w:rPr>
        <w:t>, in effect</w:t>
      </w:r>
      <w:r w:rsidRPr="00AA4C1E">
        <w:rPr>
          <w:rFonts w:cs="Arial"/>
          <w:color w:val="000000"/>
          <w:sz w:val="21"/>
          <w:szCs w:val="21"/>
          <w:lang w:val="en-GB"/>
        </w:rPr>
        <w:t xml:space="preserve"> </w:t>
      </w:r>
      <w:r w:rsidR="00670C63" w:rsidRPr="00AA4C1E">
        <w:rPr>
          <w:rFonts w:cs="Arial"/>
          <w:color w:val="000000"/>
          <w:sz w:val="21"/>
          <w:szCs w:val="21"/>
          <w:lang w:val="en-GB"/>
        </w:rPr>
        <w:t>since</w:t>
      </w:r>
      <w:r w:rsidRPr="00AA4C1E">
        <w:rPr>
          <w:rFonts w:cs="Arial"/>
          <w:color w:val="000000"/>
          <w:sz w:val="21"/>
          <w:szCs w:val="21"/>
          <w:lang w:val="en-GB"/>
        </w:rPr>
        <w:t xml:space="preserve"> </w:t>
      </w:r>
      <w:r w:rsidR="00670C63" w:rsidRPr="00AA4C1E">
        <w:rPr>
          <w:rFonts w:cs="Arial"/>
          <w:color w:val="000000"/>
          <w:sz w:val="21"/>
          <w:szCs w:val="21"/>
          <w:lang w:val="en-GB"/>
        </w:rPr>
        <w:t xml:space="preserve">September </w:t>
      </w:r>
      <w:r w:rsidRPr="00AA4C1E">
        <w:rPr>
          <w:rFonts w:cs="Arial"/>
          <w:color w:val="000000"/>
          <w:sz w:val="21"/>
          <w:szCs w:val="21"/>
          <w:lang w:val="en-GB"/>
        </w:rPr>
        <w:t>2014</w:t>
      </w:r>
      <w:r w:rsidR="00670C63" w:rsidRPr="00AA4C1E">
        <w:rPr>
          <w:rFonts w:cs="Arial"/>
          <w:color w:val="000000"/>
          <w:sz w:val="21"/>
          <w:szCs w:val="21"/>
          <w:lang w:val="en-GB"/>
        </w:rPr>
        <w:t xml:space="preserve">, </w:t>
      </w:r>
      <w:r w:rsidRPr="00AA4C1E">
        <w:rPr>
          <w:rFonts w:cs="Arial"/>
          <w:color w:val="000000"/>
          <w:sz w:val="21"/>
          <w:szCs w:val="21"/>
          <w:lang w:val="en-GB"/>
        </w:rPr>
        <w:t xml:space="preserve">entitles live performance production companies in the UK to claim 20% of its total qualifying pre-production costs for non-touring productions, and 25% for touring productions. Both commercial and publicly-funded (subsidised) productions are eligible and can benefit from the scheme. </w:t>
      </w:r>
      <w:r w:rsidR="00B441D9" w:rsidRPr="00AA4C1E">
        <w:rPr>
          <w:rFonts w:cs="Arial"/>
          <w:color w:val="000000"/>
          <w:sz w:val="21"/>
          <w:szCs w:val="21"/>
          <w:lang w:val="en-GB"/>
        </w:rPr>
        <w:t>Theatrical p</w:t>
      </w:r>
      <w:r w:rsidR="00715D24" w:rsidRPr="00AA4C1E">
        <w:rPr>
          <w:rFonts w:cs="Arial"/>
          <w:color w:val="000000"/>
          <w:sz w:val="21"/>
          <w:szCs w:val="21"/>
          <w:lang w:val="en-GB"/>
        </w:rPr>
        <w:t>roducers in the UK reported that the TTR scheme has improved their ability to finance new productions</w:t>
      </w:r>
      <w:r w:rsidR="007301F2" w:rsidRPr="00AA4C1E">
        <w:rPr>
          <w:rFonts w:cs="Arial"/>
          <w:color w:val="000000"/>
          <w:sz w:val="21"/>
          <w:szCs w:val="21"/>
          <w:lang w:val="en-GB"/>
        </w:rPr>
        <w:t>, resulting in more</w:t>
      </w:r>
      <w:r w:rsidR="009C734F" w:rsidRPr="00AA4C1E">
        <w:rPr>
          <w:rFonts w:cs="Arial"/>
          <w:color w:val="000000"/>
          <w:sz w:val="21"/>
          <w:szCs w:val="21"/>
          <w:lang w:val="en-GB"/>
        </w:rPr>
        <w:t xml:space="preserve"> investment</w:t>
      </w:r>
      <w:r w:rsidR="00715D24" w:rsidRPr="00AA4C1E">
        <w:rPr>
          <w:rFonts w:cs="Arial"/>
          <w:color w:val="000000"/>
          <w:sz w:val="21"/>
          <w:szCs w:val="21"/>
          <w:lang w:val="en-GB"/>
        </w:rPr>
        <w:t xml:space="preserve">, </w:t>
      </w:r>
      <w:r w:rsidR="007301F2" w:rsidRPr="00AA4C1E">
        <w:rPr>
          <w:rFonts w:cs="Arial"/>
          <w:color w:val="000000"/>
          <w:sz w:val="21"/>
          <w:szCs w:val="21"/>
          <w:lang w:val="en-GB"/>
        </w:rPr>
        <w:t>employment</w:t>
      </w:r>
      <w:r w:rsidRPr="00AA4C1E">
        <w:rPr>
          <w:rFonts w:cs="Arial"/>
          <w:color w:val="000000"/>
          <w:sz w:val="21"/>
          <w:szCs w:val="21"/>
          <w:lang w:val="en-GB"/>
        </w:rPr>
        <w:t xml:space="preserve"> and </w:t>
      </w:r>
      <w:r w:rsidR="007301F2" w:rsidRPr="00AA4C1E">
        <w:rPr>
          <w:rFonts w:cs="Arial"/>
          <w:color w:val="000000"/>
          <w:sz w:val="21"/>
          <w:szCs w:val="21"/>
          <w:lang w:val="en-GB"/>
        </w:rPr>
        <w:t xml:space="preserve">innovative </w:t>
      </w:r>
      <w:r w:rsidRPr="00AA4C1E">
        <w:rPr>
          <w:rFonts w:cs="Arial"/>
          <w:color w:val="000000"/>
          <w:sz w:val="21"/>
          <w:szCs w:val="21"/>
          <w:lang w:val="en-GB"/>
        </w:rPr>
        <w:t>risk-taking.</w:t>
      </w:r>
      <w:r w:rsidR="00631D1D" w:rsidRPr="00AA4C1E">
        <w:rPr>
          <w:rStyle w:val="FootnoteReference"/>
          <w:rFonts w:cs="Arial"/>
          <w:color w:val="000000"/>
          <w:sz w:val="21"/>
          <w:szCs w:val="21"/>
          <w:lang w:val="en-GB"/>
        </w:rPr>
        <w:footnoteReference w:id="2"/>
      </w:r>
      <w:r w:rsidR="00485631" w:rsidRPr="00AA4C1E">
        <w:rPr>
          <w:rFonts w:cs="Arial"/>
          <w:color w:val="000000"/>
          <w:sz w:val="21"/>
          <w:szCs w:val="21"/>
          <w:lang w:val="en-GB"/>
        </w:rPr>
        <w:t xml:space="preserve"> </w:t>
      </w:r>
      <w:r w:rsidR="00351CE7">
        <w:rPr>
          <w:rFonts w:cs="Arial"/>
          <w:color w:val="000000"/>
          <w:sz w:val="21"/>
          <w:szCs w:val="21"/>
          <w:lang w:val="en-GB"/>
        </w:rPr>
        <w:t>It has also helped maintain a thriving performing arts sector at a time where public funding is under pressure.</w:t>
      </w:r>
      <w:r w:rsidR="00351CE7">
        <w:rPr>
          <w:rStyle w:val="FootnoteReference"/>
          <w:rFonts w:cs="Arial"/>
          <w:color w:val="000000"/>
          <w:sz w:val="21"/>
          <w:szCs w:val="21"/>
          <w:lang w:val="en-GB"/>
        </w:rPr>
        <w:footnoteReference w:id="3"/>
      </w:r>
      <w:r w:rsidR="00351CE7">
        <w:rPr>
          <w:rFonts w:cs="Arial"/>
          <w:color w:val="000000"/>
          <w:sz w:val="21"/>
          <w:szCs w:val="21"/>
          <w:lang w:val="en-GB"/>
        </w:rPr>
        <w:t xml:space="preserve"> </w:t>
      </w:r>
      <w:r w:rsidR="00485631" w:rsidRPr="00AA4C1E">
        <w:rPr>
          <w:rFonts w:cs="Arial"/>
          <w:color w:val="000000"/>
          <w:sz w:val="21"/>
          <w:szCs w:val="21"/>
          <w:lang w:val="en-GB"/>
        </w:rPr>
        <w:t xml:space="preserve">Almost </w:t>
      </w:r>
      <w:r w:rsidR="00D9411C">
        <w:rPr>
          <w:rFonts w:cs="Arial"/>
          <w:color w:val="000000"/>
          <w:sz w:val="21"/>
          <w:szCs w:val="21"/>
          <w:lang w:val="en-GB"/>
        </w:rPr>
        <w:t>5</w:t>
      </w:r>
      <w:r w:rsidR="00485631" w:rsidRPr="00AA4C1E">
        <w:rPr>
          <w:rFonts w:cs="Arial"/>
          <w:color w:val="000000"/>
          <w:sz w:val="21"/>
          <w:szCs w:val="21"/>
          <w:lang w:val="en-GB"/>
        </w:rPr>
        <w:t>,000 live productions have benefited from the scheme since its introduction, saving a total of £</w:t>
      </w:r>
      <w:r w:rsidR="00D9411C">
        <w:rPr>
          <w:rFonts w:cs="Arial"/>
          <w:color w:val="000000"/>
          <w:sz w:val="21"/>
          <w:szCs w:val="21"/>
          <w:lang w:val="en-GB"/>
        </w:rPr>
        <w:t>137</w:t>
      </w:r>
      <w:r w:rsidR="00485631" w:rsidRPr="00AA4C1E">
        <w:rPr>
          <w:rFonts w:cs="Arial"/>
          <w:color w:val="000000"/>
          <w:sz w:val="21"/>
          <w:szCs w:val="21"/>
          <w:lang w:val="en-GB"/>
        </w:rPr>
        <w:t xml:space="preserve"> million that can then be reinvested into </w:t>
      </w:r>
      <w:r w:rsidR="00405AD9" w:rsidRPr="00AA4C1E">
        <w:rPr>
          <w:rFonts w:cs="Arial"/>
          <w:color w:val="000000"/>
          <w:sz w:val="21"/>
          <w:szCs w:val="21"/>
          <w:lang w:val="en-GB"/>
        </w:rPr>
        <w:t>developing more</w:t>
      </w:r>
      <w:r w:rsidR="00485631" w:rsidRPr="00AA4C1E">
        <w:rPr>
          <w:rFonts w:cs="Arial"/>
          <w:color w:val="000000"/>
          <w:sz w:val="21"/>
          <w:szCs w:val="21"/>
          <w:lang w:val="en-GB"/>
        </w:rPr>
        <w:t xml:space="preserve"> new work and </w:t>
      </w:r>
      <w:r w:rsidR="00405AD9" w:rsidRPr="00AA4C1E">
        <w:rPr>
          <w:rFonts w:cs="Arial"/>
          <w:color w:val="000000"/>
          <w:sz w:val="21"/>
          <w:szCs w:val="21"/>
          <w:lang w:val="en-GB"/>
        </w:rPr>
        <w:t xml:space="preserve">supporting </w:t>
      </w:r>
      <w:r w:rsidR="00485631" w:rsidRPr="00AA4C1E">
        <w:rPr>
          <w:rFonts w:cs="Arial"/>
          <w:color w:val="000000"/>
          <w:sz w:val="21"/>
          <w:szCs w:val="21"/>
          <w:lang w:val="en-GB"/>
        </w:rPr>
        <w:t>more jobs.</w:t>
      </w:r>
      <w:r w:rsidR="00485631" w:rsidRPr="00AA4C1E">
        <w:rPr>
          <w:rStyle w:val="FootnoteReference"/>
          <w:rFonts w:cs="Arial"/>
          <w:color w:val="000000"/>
          <w:sz w:val="21"/>
          <w:szCs w:val="21"/>
          <w:lang w:val="en-GB"/>
        </w:rPr>
        <w:footnoteReference w:id="4"/>
      </w:r>
    </w:p>
    <w:p w14:paraId="40F399B6" w14:textId="77777777" w:rsidR="0069392A" w:rsidRPr="00AA4C1E" w:rsidRDefault="0069392A" w:rsidP="00001194">
      <w:pPr>
        <w:widowControl w:val="0"/>
        <w:autoSpaceDE w:val="0"/>
        <w:autoSpaceDN w:val="0"/>
        <w:adjustRightInd w:val="0"/>
        <w:spacing w:after="0"/>
        <w:ind w:right="133"/>
        <w:textAlignment w:val="center"/>
        <w:rPr>
          <w:rFonts w:cs="Arial"/>
          <w:color w:val="000000"/>
          <w:sz w:val="21"/>
          <w:szCs w:val="21"/>
          <w:lang w:val="en-GB"/>
        </w:rPr>
      </w:pPr>
    </w:p>
    <w:p w14:paraId="5BCC32AB" w14:textId="4BC4EE74" w:rsidR="009C734F" w:rsidRPr="00AA4C1E" w:rsidRDefault="00F56EF4" w:rsidP="009C734F">
      <w:pPr>
        <w:widowControl w:val="0"/>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Australia’s</w:t>
      </w:r>
      <w:r w:rsidR="002617AC" w:rsidRPr="00AA4C1E">
        <w:rPr>
          <w:rFonts w:cs="Arial"/>
          <w:color w:val="000000"/>
          <w:sz w:val="21"/>
          <w:szCs w:val="21"/>
          <w:lang w:val="en-GB"/>
        </w:rPr>
        <w:t xml:space="preserve"> live performance industry needs a similar regime of tax incentives to attract the level of investment required to produce and stage world-class shows, support more Australian jobs and drive industry growth.</w:t>
      </w:r>
      <w:r w:rsidR="009C734F" w:rsidRPr="00AA4C1E">
        <w:rPr>
          <w:rFonts w:cs="Arial"/>
          <w:color w:val="000000"/>
          <w:sz w:val="21"/>
          <w:szCs w:val="21"/>
          <w:lang w:val="en-GB"/>
        </w:rPr>
        <w:t xml:space="preserve"> Without internationally competitive tax incentives for our industry, Australian</w:t>
      </w:r>
      <w:r w:rsidR="007301F2" w:rsidRPr="00AA4C1E">
        <w:rPr>
          <w:rFonts w:cs="Arial"/>
          <w:color w:val="000000"/>
          <w:sz w:val="21"/>
          <w:szCs w:val="21"/>
          <w:lang w:val="en-GB"/>
        </w:rPr>
        <w:t xml:space="preserve"> live performance</w:t>
      </w:r>
      <w:r w:rsidR="009C734F" w:rsidRPr="00AA4C1E">
        <w:rPr>
          <w:rFonts w:cs="Arial"/>
          <w:color w:val="000000"/>
          <w:sz w:val="21"/>
          <w:szCs w:val="21"/>
          <w:lang w:val="en-GB"/>
        </w:rPr>
        <w:t xml:space="preserve"> risks being left behind in what is now a </w:t>
      </w:r>
      <w:r w:rsidR="0056540E">
        <w:rPr>
          <w:rFonts w:cs="Arial"/>
          <w:color w:val="000000"/>
          <w:sz w:val="21"/>
          <w:szCs w:val="21"/>
          <w:lang w:val="en-GB"/>
        </w:rPr>
        <w:t>highly competitive</w:t>
      </w:r>
      <w:r w:rsidR="007301F2" w:rsidRPr="00AA4C1E">
        <w:rPr>
          <w:rFonts w:cs="Arial"/>
          <w:color w:val="000000"/>
          <w:sz w:val="21"/>
          <w:szCs w:val="21"/>
          <w:lang w:val="en-GB"/>
        </w:rPr>
        <w:t xml:space="preserve"> </w:t>
      </w:r>
      <w:r w:rsidR="009C734F" w:rsidRPr="00AA4C1E">
        <w:rPr>
          <w:rFonts w:cs="Arial"/>
          <w:color w:val="000000"/>
          <w:sz w:val="21"/>
          <w:szCs w:val="21"/>
          <w:lang w:val="en-GB"/>
        </w:rPr>
        <w:t>global industry</w:t>
      </w:r>
      <w:r w:rsidR="007301F2" w:rsidRPr="00AA4C1E">
        <w:rPr>
          <w:rFonts w:cs="Arial"/>
          <w:color w:val="000000"/>
          <w:sz w:val="21"/>
          <w:szCs w:val="21"/>
          <w:lang w:val="en-GB"/>
        </w:rPr>
        <w:t>.</w:t>
      </w:r>
    </w:p>
    <w:p w14:paraId="52FF87C7" w14:textId="77777777" w:rsidR="009C734F" w:rsidRPr="00AA4C1E" w:rsidRDefault="009C734F" w:rsidP="00001194">
      <w:pPr>
        <w:widowControl w:val="0"/>
        <w:autoSpaceDE w:val="0"/>
        <w:autoSpaceDN w:val="0"/>
        <w:adjustRightInd w:val="0"/>
        <w:spacing w:after="0"/>
        <w:ind w:right="133"/>
        <w:textAlignment w:val="center"/>
        <w:rPr>
          <w:rFonts w:cs="Arial"/>
          <w:color w:val="000000"/>
          <w:sz w:val="21"/>
          <w:szCs w:val="21"/>
          <w:lang w:val="en-GB"/>
        </w:rPr>
      </w:pPr>
    </w:p>
    <w:p w14:paraId="07322E49" w14:textId="7EE32EB1" w:rsidR="002617AC" w:rsidRPr="00AA4C1E" w:rsidRDefault="002617AC" w:rsidP="00001194">
      <w:pPr>
        <w:widowControl w:val="0"/>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Economic analysis undertaken by Ernst &amp; Young (EY)</w:t>
      </w:r>
      <w:r w:rsidR="00631D1D" w:rsidRPr="00AA4C1E">
        <w:rPr>
          <w:rStyle w:val="FootnoteReference"/>
          <w:rFonts w:cs="Arial"/>
          <w:color w:val="000000"/>
          <w:sz w:val="21"/>
          <w:szCs w:val="21"/>
          <w:lang w:val="en-GB"/>
        </w:rPr>
        <w:footnoteReference w:id="5"/>
      </w:r>
      <w:r w:rsidRPr="00AA4C1E">
        <w:rPr>
          <w:rFonts w:cs="Arial"/>
          <w:color w:val="000000"/>
          <w:sz w:val="21"/>
          <w:szCs w:val="21"/>
          <w:lang w:val="en-GB"/>
        </w:rPr>
        <w:t xml:space="preserve"> found that investment incentives would encourage commercial producers and subsidised organisations to produce more work, and therefore increase economic activity. The level of economic activity generated increases as the level of investment incentive increases (see </w:t>
      </w:r>
      <w:r w:rsidRPr="00AA4C1E">
        <w:rPr>
          <w:rFonts w:cs="Arial"/>
          <w:color w:val="000000"/>
          <w:sz w:val="21"/>
          <w:szCs w:val="21"/>
          <w:lang w:val="en-GB"/>
        </w:rPr>
        <w:fldChar w:fldCharType="begin"/>
      </w:r>
      <w:r w:rsidRPr="00AA4C1E">
        <w:rPr>
          <w:rFonts w:cs="Arial"/>
          <w:color w:val="000000"/>
          <w:sz w:val="21"/>
          <w:szCs w:val="21"/>
          <w:lang w:val="en-GB"/>
        </w:rPr>
        <w:instrText xml:space="preserve"> REF _Ref471378075 \h  \* MERGEFORMAT </w:instrText>
      </w:r>
      <w:r w:rsidRPr="00AA4C1E">
        <w:rPr>
          <w:rFonts w:cs="Arial"/>
          <w:color w:val="000000"/>
          <w:sz w:val="21"/>
          <w:szCs w:val="21"/>
          <w:lang w:val="en-GB"/>
        </w:rPr>
      </w:r>
      <w:r w:rsidRPr="00AA4C1E">
        <w:rPr>
          <w:rFonts w:cs="Arial"/>
          <w:color w:val="000000"/>
          <w:sz w:val="21"/>
          <w:szCs w:val="21"/>
          <w:lang w:val="en-GB"/>
        </w:rPr>
        <w:fldChar w:fldCharType="separate"/>
      </w:r>
      <w:r w:rsidR="00DC7912" w:rsidRPr="00DC7912">
        <w:rPr>
          <w:rFonts w:cs="Arial"/>
          <w:color w:val="000000"/>
          <w:sz w:val="21"/>
          <w:szCs w:val="21"/>
          <w:lang w:val="en-GB"/>
        </w:rPr>
        <w:t>Table 1</w:t>
      </w:r>
      <w:r w:rsidRPr="00AA4C1E">
        <w:rPr>
          <w:rFonts w:cs="Arial"/>
          <w:color w:val="000000"/>
          <w:sz w:val="21"/>
          <w:szCs w:val="21"/>
          <w:lang w:val="en-GB"/>
        </w:rPr>
        <w:fldChar w:fldCharType="end"/>
      </w:r>
      <w:r w:rsidRPr="00AA4C1E">
        <w:rPr>
          <w:rFonts w:cs="Arial"/>
          <w:color w:val="000000"/>
          <w:sz w:val="21"/>
          <w:szCs w:val="21"/>
          <w:lang w:val="en-GB"/>
        </w:rPr>
        <w:t xml:space="preserve">). </w:t>
      </w:r>
    </w:p>
    <w:p w14:paraId="2B266BD4" w14:textId="77777777" w:rsidR="002617AC" w:rsidRPr="00AA4C1E" w:rsidRDefault="002617AC" w:rsidP="00001194">
      <w:pPr>
        <w:widowControl w:val="0"/>
        <w:autoSpaceDE w:val="0"/>
        <w:autoSpaceDN w:val="0"/>
        <w:adjustRightInd w:val="0"/>
        <w:spacing w:after="0"/>
        <w:ind w:right="133"/>
        <w:textAlignment w:val="center"/>
        <w:rPr>
          <w:rFonts w:cs="Arial"/>
          <w:color w:val="000000"/>
          <w:sz w:val="21"/>
          <w:szCs w:val="21"/>
          <w:lang w:val="en-GB"/>
        </w:rPr>
      </w:pPr>
    </w:p>
    <w:p w14:paraId="7C037E87" w14:textId="77777777" w:rsidR="002617AC" w:rsidRPr="00AA4C1E" w:rsidRDefault="002617AC" w:rsidP="00001194">
      <w:pPr>
        <w:widowControl w:val="0"/>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The EY modelling estimates that:</w:t>
      </w:r>
    </w:p>
    <w:p w14:paraId="2D19EB11" w14:textId="77777777" w:rsidR="002617AC" w:rsidRPr="00AA4C1E" w:rsidRDefault="002617AC" w:rsidP="00001194">
      <w:pPr>
        <w:pStyle w:val="ListParagraph"/>
        <w:widowControl w:val="0"/>
        <w:numPr>
          <w:ilvl w:val="0"/>
          <w:numId w:val="25"/>
        </w:numPr>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 xml:space="preserve">a 10% tax incentive would support 22 new productions, generating an additional $229.5 million in industry turnover, an additional $100.1 million in industry value add and 863 additional jobs </w:t>
      </w:r>
    </w:p>
    <w:p w14:paraId="565BC5EA" w14:textId="77777777" w:rsidR="002617AC" w:rsidRPr="00AA4C1E" w:rsidRDefault="002617AC" w:rsidP="00001194">
      <w:pPr>
        <w:pStyle w:val="ListParagraph"/>
        <w:widowControl w:val="0"/>
        <w:numPr>
          <w:ilvl w:val="0"/>
          <w:numId w:val="25"/>
        </w:numPr>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a 25% tax incentive would support 347 new productions, generating an additional $760.6 million in industry turnover, an additional $337.2 million in industry value add and 2,906 additional jobs</w:t>
      </w:r>
    </w:p>
    <w:p w14:paraId="19C47A93" w14:textId="77777777" w:rsidR="002617AC" w:rsidRPr="00AA4C1E" w:rsidRDefault="002617AC" w:rsidP="00001194">
      <w:pPr>
        <w:pStyle w:val="ListParagraph"/>
        <w:widowControl w:val="0"/>
        <w:numPr>
          <w:ilvl w:val="0"/>
          <w:numId w:val="25"/>
        </w:numPr>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 xml:space="preserve">a 40% tax incentive would support 555 new productions, generating an additional $1.2 billion in industry turnover, an additional $540.1 million in industry value add and 4,650 additional jobs. </w:t>
      </w:r>
    </w:p>
    <w:p w14:paraId="219F27B4" w14:textId="77777777" w:rsidR="002617AC" w:rsidRPr="00AA4C1E" w:rsidRDefault="002617AC" w:rsidP="002617AC">
      <w:pPr>
        <w:autoSpaceDE w:val="0"/>
        <w:autoSpaceDN w:val="0"/>
        <w:adjustRightInd w:val="0"/>
        <w:spacing w:after="0" w:line="300" w:lineRule="exact"/>
        <w:rPr>
          <w:rFonts w:cs="Arial"/>
          <w:color w:val="231F20"/>
          <w:sz w:val="20"/>
          <w:szCs w:val="20"/>
        </w:rPr>
      </w:pPr>
    </w:p>
    <w:p w14:paraId="71C2F71C" w14:textId="027FFE13" w:rsidR="002617AC" w:rsidRPr="00AA4C1E" w:rsidRDefault="002617AC" w:rsidP="002617AC">
      <w:pPr>
        <w:keepNext/>
        <w:spacing w:after="0" w:line="240" w:lineRule="auto"/>
        <w:rPr>
          <w:rFonts w:eastAsia="Times" w:cs="Arial"/>
          <w:i/>
          <w:iCs/>
          <w:color w:val="ED1E42"/>
          <w:sz w:val="18"/>
          <w:szCs w:val="18"/>
          <w:lang w:val="en-AU"/>
        </w:rPr>
      </w:pPr>
      <w:bookmarkStart w:id="1" w:name="_Ref471378075"/>
      <w:r w:rsidRPr="00AA4C1E">
        <w:rPr>
          <w:rFonts w:eastAsia="Times" w:cs="Arial"/>
          <w:i/>
          <w:iCs/>
          <w:color w:val="ED1E42"/>
          <w:sz w:val="18"/>
          <w:szCs w:val="18"/>
          <w:lang w:val="en-AU"/>
        </w:rPr>
        <w:t xml:space="preserve">Table </w:t>
      </w:r>
      <w:r w:rsidRPr="00AA4C1E">
        <w:rPr>
          <w:rFonts w:eastAsia="Times" w:cs="Arial"/>
          <w:i/>
          <w:iCs/>
          <w:color w:val="ED1E42"/>
          <w:sz w:val="18"/>
          <w:szCs w:val="18"/>
          <w:lang w:val="en-AU"/>
        </w:rPr>
        <w:fldChar w:fldCharType="begin"/>
      </w:r>
      <w:r w:rsidRPr="00AA4C1E">
        <w:rPr>
          <w:rFonts w:eastAsia="Times" w:cs="Arial"/>
          <w:i/>
          <w:iCs/>
          <w:color w:val="ED1E42"/>
          <w:sz w:val="18"/>
          <w:szCs w:val="18"/>
          <w:lang w:val="en-AU"/>
        </w:rPr>
        <w:instrText xml:space="preserve"> SEQ Table \* ARABIC </w:instrText>
      </w:r>
      <w:r w:rsidRPr="00AA4C1E">
        <w:rPr>
          <w:rFonts w:eastAsia="Times" w:cs="Arial"/>
          <w:i/>
          <w:iCs/>
          <w:color w:val="ED1E42"/>
          <w:sz w:val="18"/>
          <w:szCs w:val="18"/>
          <w:lang w:val="en-AU"/>
        </w:rPr>
        <w:fldChar w:fldCharType="separate"/>
      </w:r>
      <w:r w:rsidR="00DC7912">
        <w:rPr>
          <w:rFonts w:eastAsia="Times" w:cs="Arial"/>
          <w:i/>
          <w:iCs/>
          <w:noProof/>
          <w:color w:val="ED1E42"/>
          <w:sz w:val="18"/>
          <w:szCs w:val="18"/>
          <w:lang w:val="en-AU"/>
        </w:rPr>
        <w:t>1</w:t>
      </w:r>
      <w:r w:rsidRPr="00AA4C1E">
        <w:rPr>
          <w:rFonts w:eastAsia="Times" w:cs="Arial"/>
          <w:i/>
          <w:iCs/>
          <w:noProof/>
          <w:color w:val="ED1E42"/>
          <w:sz w:val="18"/>
          <w:szCs w:val="18"/>
          <w:lang w:val="en-AU"/>
        </w:rPr>
        <w:fldChar w:fldCharType="end"/>
      </w:r>
      <w:bookmarkEnd w:id="1"/>
      <w:r w:rsidRPr="00AA4C1E">
        <w:rPr>
          <w:rFonts w:eastAsia="Times" w:cs="Arial"/>
          <w:i/>
          <w:iCs/>
          <w:color w:val="ED1E42"/>
          <w:sz w:val="18"/>
          <w:szCs w:val="18"/>
          <w:lang w:val="en-AU"/>
        </w:rPr>
        <w:t xml:space="preserve">: Change in economic activity (incremental to base case) resulting from tax incentives  </w:t>
      </w:r>
    </w:p>
    <w:tbl>
      <w:tblPr>
        <w:tblW w:w="8931" w:type="dxa"/>
        <w:tblInd w:w="-142" w:type="dxa"/>
        <w:tblCellMar>
          <w:left w:w="0" w:type="dxa"/>
          <w:right w:w="0" w:type="dxa"/>
        </w:tblCellMar>
        <w:tblLook w:val="0420" w:firstRow="1" w:lastRow="0" w:firstColumn="0" w:lastColumn="0" w:noHBand="0" w:noVBand="1"/>
      </w:tblPr>
      <w:tblGrid>
        <w:gridCol w:w="3544"/>
        <w:gridCol w:w="1701"/>
        <w:gridCol w:w="1843"/>
        <w:gridCol w:w="1843"/>
      </w:tblGrid>
      <w:tr w:rsidR="002617AC" w:rsidRPr="00AA4C1E" w14:paraId="4E0821CB" w14:textId="77777777" w:rsidTr="002617AC">
        <w:trPr>
          <w:trHeight w:val="39"/>
        </w:trPr>
        <w:tc>
          <w:tcPr>
            <w:tcW w:w="3544" w:type="dxa"/>
            <w:tcBorders>
              <w:top w:val="nil"/>
              <w:left w:val="nil"/>
              <w:bottom w:val="single" w:sz="8" w:space="0" w:color="7F7F7F"/>
              <w:right w:val="nil"/>
            </w:tcBorders>
            <w:shd w:val="clear" w:color="auto" w:fill="D0D3D4"/>
            <w:tcMar>
              <w:top w:w="41" w:type="dxa"/>
              <w:left w:w="81" w:type="dxa"/>
              <w:bottom w:w="41" w:type="dxa"/>
              <w:right w:w="81" w:type="dxa"/>
            </w:tcMar>
            <w:vAlign w:val="center"/>
            <w:hideMark/>
          </w:tcPr>
          <w:p w14:paraId="5F8EDB64" w14:textId="77777777" w:rsidR="002617AC" w:rsidRPr="00AA4C1E" w:rsidRDefault="002617AC" w:rsidP="002617AC">
            <w:pPr>
              <w:autoSpaceDE w:val="0"/>
              <w:autoSpaceDN w:val="0"/>
              <w:adjustRightInd w:val="0"/>
              <w:spacing w:after="0" w:line="240" w:lineRule="auto"/>
              <w:rPr>
                <w:rFonts w:cs="Arial"/>
                <w:color w:val="231F20"/>
                <w:sz w:val="18"/>
                <w:szCs w:val="18"/>
                <w:lang w:val="en-AU"/>
              </w:rPr>
            </w:pPr>
            <w:r w:rsidRPr="00AA4C1E">
              <w:rPr>
                <w:rFonts w:cs="Arial"/>
                <w:b/>
                <w:bCs/>
                <w:color w:val="231F20"/>
                <w:sz w:val="18"/>
                <w:szCs w:val="18"/>
                <w:lang w:val="en-AU"/>
              </w:rPr>
              <w:t>Incremental to base case</w:t>
            </w:r>
          </w:p>
        </w:tc>
        <w:tc>
          <w:tcPr>
            <w:tcW w:w="1701" w:type="dxa"/>
            <w:tcBorders>
              <w:top w:val="nil"/>
              <w:left w:val="nil"/>
              <w:bottom w:val="single" w:sz="8" w:space="0" w:color="7F7F7F"/>
              <w:right w:val="nil"/>
            </w:tcBorders>
            <w:shd w:val="clear" w:color="auto" w:fill="D0D3D4"/>
            <w:tcMar>
              <w:top w:w="41" w:type="dxa"/>
              <w:left w:w="81" w:type="dxa"/>
              <w:bottom w:w="41" w:type="dxa"/>
              <w:right w:w="81" w:type="dxa"/>
            </w:tcMar>
            <w:vAlign w:val="center"/>
            <w:hideMark/>
          </w:tcPr>
          <w:p w14:paraId="06836CAA"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b/>
                <w:bCs/>
                <w:color w:val="231F20"/>
                <w:sz w:val="18"/>
                <w:szCs w:val="18"/>
                <w:lang w:val="en-AU"/>
              </w:rPr>
              <w:t>10% tax incentive</w:t>
            </w:r>
          </w:p>
        </w:tc>
        <w:tc>
          <w:tcPr>
            <w:tcW w:w="1843" w:type="dxa"/>
            <w:tcBorders>
              <w:top w:val="nil"/>
              <w:left w:val="nil"/>
              <w:bottom w:val="single" w:sz="8" w:space="0" w:color="7F7F7F"/>
              <w:right w:val="nil"/>
            </w:tcBorders>
            <w:shd w:val="clear" w:color="auto" w:fill="D0D3D4"/>
            <w:tcMar>
              <w:top w:w="41" w:type="dxa"/>
              <w:left w:w="81" w:type="dxa"/>
              <w:bottom w:w="41" w:type="dxa"/>
              <w:right w:w="81" w:type="dxa"/>
            </w:tcMar>
            <w:vAlign w:val="center"/>
            <w:hideMark/>
          </w:tcPr>
          <w:p w14:paraId="7AEC675B" w14:textId="77777777" w:rsidR="002617AC" w:rsidRPr="00AA4C1E" w:rsidRDefault="002617AC" w:rsidP="002617AC">
            <w:pPr>
              <w:tabs>
                <w:tab w:val="left" w:pos="92"/>
              </w:tabs>
              <w:autoSpaceDE w:val="0"/>
              <w:autoSpaceDN w:val="0"/>
              <w:adjustRightInd w:val="0"/>
              <w:spacing w:after="0" w:line="240" w:lineRule="auto"/>
              <w:jc w:val="right"/>
              <w:rPr>
                <w:rFonts w:cs="Arial"/>
                <w:color w:val="231F20"/>
                <w:sz w:val="18"/>
                <w:szCs w:val="18"/>
                <w:lang w:val="en-AU"/>
              </w:rPr>
            </w:pPr>
            <w:r w:rsidRPr="00AA4C1E">
              <w:rPr>
                <w:rFonts w:cs="Arial"/>
                <w:b/>
                <w:bCs/>
                <w:color w:val="231F20"/>
                <w:sz w:val="18"/>
                <w:szCs w:val="18"/>
                <w:lang w:val="en-AU"/>
              </w:rPr>
              <w:t>25% tax incentive</w:t>
            </w:r>
          </w:p>
        </w:tc>
        <w:tc>
          <w:tcPr>
            <w:tcW w:w="1843" w:type="dxa"/>
            <w:tcBorders>
              <w:top w:val="nil"/>
              <w:left w:val="nil"/>
              <w:bottom w:val="single" w:sz="8" w:space="0" w:color="7F7F7F"/>
              <w:right w:val="nil"/>
            </w:tcBorders>
            <w:shd w:val="clear" w:color="auto" w:fill="D0D3D4"/>
            <w:tcMar>
              <w:top w:w="41" w:type="dxa"/>
              <w:left w:w="81" w:type="dxa"/>
              <w:bottom w:w="41" w:type="dxa"/>
              <w:right w:w="81" w:type="dxa"/>
            </w:tcMar>
            <w:vAlign w:val="center"/>
            <w:hideMark/>
          </w:tcPr>
          <w:p w14:paraId="5A4617B3"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b/>
                <w:bCs/>
                <w:color w:val="231F20"/>
                <w:sz w:val="18"/>
                <w:szCs w:val="18"/>
                <w:lang w:val="en-AU"/>
              </w:rPr>
              <w:t xml:space="preserve">40% tax incentive </w:t>
            </w:r>
          </w:p>
        </w:tc>
      </w:tr>
      <w:tr w:rsidR="002617AC" w:rsidRPr="00AA4C1E" w14:paraId="11ACB33C" w14:textId="77777777" w:rsidTr="00261F98">
        <w:trPr>
          <w:trHeight w:val="19"/>
        </w:trPr>
        <w:tc>
          <w:tcPr>
            <w:tcW w:w="3544"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29053493" w14:textId="77777777" w:rsidR="002617AC" w:rsidRPr="00AA4C1E" w:rsidRDefault="002617AC" w:rsidP="002617AC">
            <w:pPr>
              <w:autoSpaceDE w:val="0"/>
              <w:autoSpaceDN w:val="0"/>
              <w:adjustRightInd w:val="0"/>
              <w:spacing w:after="0" w:line="240" w:lineRule="auto"/>
              <w:rPr>
                <w:rFonts w:cs="Arial"/>
                <w:color w:val="231F20"/>
                <w:sz w:val="18"/>
                <w:szCs w:val="18"/>
                <w:lang w:val="en-AU"/>
              </w:rPr>
            </w:pPr>
            <w:r w:rsidRPr="00AA4C1E">
              <w:rPr>
                <w:rFonts w:cs="Arial"/>
                <w:color w:val="231F20"/>
                <w:sz w:val="18"/>
                <w:szCs w:val="18"/>
                <w:lang w:val="en-AU"/>
              </w:rPr>
              <w:t>New productions</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47BEBE59"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22</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7B993917"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347</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4030229D"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555</w:t>
            </w:r>
          </w:p>
        </w:tc>
      </w:tr>
      <w:tr w:rsidR="002617AC" w:rsidRPr="00AA4C1E" w14:paraId="1F02CDED" w14:textId="77777777" w:rsidTr="00261F98">
        <w:trPr>
          <w:trHeight w:val="67"/>
        </w:trPr>
        <w:tc>
          <w:tcPr>
            <w:tcW w:w="3544"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2964C23D" w14:textId="77777777" w:rsidR="002617AC" w:rsidRPr="00AA4C1E" w:rsidRDefault="002617AC" w:rsidP="002617AC">
            <w:pPr>
              <w:autoSpaceDE w:val="0"/>
              <w:autoSpaceDN w:val="0"/>
              <w:adjustRightInd w:val="0"/>
              <w:spacing w:after="0" w:line="240" w:lineRule="auto"/>
              <w:rPr>
                <w:rFonts w:cs="Arial"/>
                <w:color w:val="231F20"/>
                <w:sz w:val="18"/>
                <w:szCs w:val="18"/>
                <w:lang w:val="en-AU"/>
              </w:rPr>
            </w:pPr>
            <w:r w:rsidRPr="00AA4C1E">
              <w:rPr>
                <w:rFonts w:cs="Arial"/>
                <w:color w:val="231F20"/>
                <w:sz w:val="18"/>
                <w:szCs w:val="18"/>
                <w:lang w:val="en-AU"/>
              </w:rPr>
              <w:t>Industry output (industry turnover)</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197C75E7"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$229.5m</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56C3ED4B"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$760.6m</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35732FF0"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$1,216.9m</w:t>
            </w:r>
          </w:p>
        </w:tc>
      </w:tr>
      <w:tr w:rsidR="002617AC" w:rsidRPr="00AA4C1E" w14:paraId="08693117" w14:textId="77777777" w:rsidTr="00261F98">
        <w:trPr>
          <w:trHeight w:val="28"/>
        </w:trPr>
        <w:tc>
          <w:tcPr>
            <w:tcW w:w="3544"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49A2B85E" w14:textId="77777777" w:rsidR="002617AC" w:rsidRPr="00AA4C1E" w:rsidRDefault="002617AC" w:rsidP="002617AC">
            <w:pPr>
              <w:autoSpaceDE w:val="0"/>
              <w:autoSpaceDN w:val="0"/>
              <w:adjustRightInd w:val="0"/>
              <w:spacing w:after="0" w:line="240" w:lineRule="auto"/>
              <w:rPr>
                <w:rFonts w:cs="Arial"/>
                <w:color w:val="231F20"/>
                <w:sz w:val="18"/>
                <w:szCs w:val="18"/>
                <w:lang w:val="en-AU"/>
              </w:rPr>
            </w:pPr>
            <w:r w:rsidRPr="00AA4C1E">
              <w:rPr>
                <w:rFonts w:cs="Arial"/>
                <w:color w:val="231F20"/>
                <w:sz w:val="18"/>
                <w:szCs w:val="18"/>
                <w:lang w:val="en-AU"/>
              </w:rPr>
              <w:t>Industry value add (wealth generation)</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0287BBA1"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$100.1m</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2C35BBEC"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$337.2m</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24771B90"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$540.1m</w:t>
            </w:r>
          </w:p>
        </w:tc>
      </w:tr>
      <w:tr w:rsidR="002617AC" w:rsidRPr="00AA4C1E" w14:paraId="5EE4222C" w14:textId="77777777" w:rsidTr="00261F98">
        <w:trPr>
          <w:trHeight w:val="19"/>
        </w:trPr>
        <w:tc>
          <w:tcPr>
            <w:tcW w:w="3544"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468D07A9" w14:textId="77777777" w:rsidR="002617AC" w:rsidRPr="00AA4C1E" w:rsidRDefault="002617AC" w:rsidP="002617AC">
            <w:pPr>
              <w:autoSpaceDE w:val="0"/>
              <w:autoSpaceDN w:val="0"/>
              <w:adjustRightInd w:val="0"/>
              <w:spacing w:after="0" w:line="240" w:lineRule="auto"/>
              <w:rPr>
                <w:rFonts w:cs="Arial"/>
                <w:color w:val="231F20"/>
                <w:sz w:val="18"/>
                <w:szCs w:val="18"/>
                <w:lang w:val="en-AU"/>
              </w:rPr>
            </w:pPr>
            <w:r w:rsidRPr="00AA4C1E">
              <w:rPr>
                <w:rFonts w:cs="Arial"/>
                <w:color w:val="231F20"/>
                <w:sz w:val="18"/>
                <w:szCs w:val="18"/>
                <w:lang w:val="en-AU"/>
              </w:rPr>
              <w:t>Employment (FTE)</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2B6BC31A"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863</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602874B7"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2,906</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0B127A22"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4,650</w:t>
            </w:r>
          </w:p>
        </w:tc>
      </w:tr>
    </w:tbl>
    <w:p w14:paraId="70FFD82F" w14:textId="77777777" w:rsidR="002617AC" w:rsidRPr="00AA4C1E" w:rsidRDefault="002617AC" w:rsidP="00B8549E">
      <w:pPr>
        <w:widowControl w:val="0"/>
        <w:autoSpaceDE w:val="0"/>
        <w:autoSpaceDN w:val="0"/>
        <w:adjustRightInd w:val="0"/>
        <w:spacing w:after="0"/>
        <w:ind w:right="133"/>
        <w:textAlignment w:val="center"/>
        <w:rPr>
          <w:rFonts w:cs="Arial"/>
          <w:color w:val="000000"/>
          <w:sz w:val="21"/>
          <w:szCs w:val="21"/>
          <w:lang w:val="en-GB"/>
        </w:rPr>
      </w:pPr>
    </w:p>
    <w:p w14:paraId="221579FD" w14:textId="27300144" w:rsidR="002617AC" w:rsidRPr="00AA4C1E" w:rsidRDefault="002617AC" w:rsidP="00B8549E">
      <w:pPr>
        <w:widowControl w:val="0"/>
        <w:autoSpaceDE w:val="0"/>
        <w:autoSpaceDN w:val="0"/>
        <w:adjustRightInd w:val="0"/>
        <w:spacing w:after="0"/>
        <w:ind w:right="133"/>
        <w:textAlignment w:val="center"/>
        <w:rPr>
          <w:rFonts w:cs="Arial"/>
          <w:color w:val="000000"/>
          <w:sz w:val="21"/>
          <w:szCs w:val="21"/>
          <w:lang w:val="en-GB"/>
        </w:rPr>
      </w:pPr>
      <w:r w:rsidRPr="00AA4C1E">
        <w:rPr>
          <w:rFonts w:cs="Arial"/>
          <w:color w:val="000000"/>
          <w:sz w:val="21"/>
          <w:szCs w:val="21"/>
          <w:lang w:val="en-GB"/>
        </w:rPr>
        <w:t xml:space="preserve">While there is a cost to government in providing incentives to producers, these expenses will be recouped through taxes earned on increased economic activity. The EY economic analysis found that there is a net positive return on investment to government by providing investment incentives on pre-production costs for live productions when tax incentives are set at a level between 25 and 40 per cent (see </w:t>
      </w:r>
      <w:r w:rsidRPr="00AA4C1E">
        <w:rPr>
          <w:rFonts w:cs="Arial"/>
          <w:color w:val="000000"/>
          <w:sz w:val="21"/>
          <w:szCs w:val="21"/>
          <w:lang w:val="en-GB"/>
        </w:rPr>
        <w:fldChar w:fldCharType="begin"/>
      </w:r>
      <w:r w:rsidRPr="00AA4C1E">
        <w:rPr>
          <w:rFonts w:cs="Arial"/>
          <w:color w:val="000000"/>
          <w:sz w:val="21"/>
          <w:szCs w:val="21"/>
          <w:lang w:val="en-GB"/>
        </w:rPr>
        <w:instrText xml:space="preserve"> REF _Ref471378411 \h  \* MERGEFORMAT </w:instrText>
      </w:r>
      <w:r w:rsidRPr="00AA4C1E">
        <w:rPr>
          <w:rFonts w:cs="Arial"/>
          <w:color w:val="000000"/>
          <w:sz w:val="21"/>
          <w:szCs w:val="21"/>
          <w:lang w:val="en-GB"/>
        </w:rPr>
      </w:r>
      <w:r w:rsidRPr="00AA4C1E">
        <w:rPr>
          <w:rFonts w:cs="Arial"/>
          <w:color w:val="000000"/>
          <w:sz w:val="21"/>
          <w:szCs w:val="21"/>
          <w:lang w:val="en-GB"/>
        </w:rPr>
        <w:fldChar w:fldCharType="separate"/>
      </w:r>
      <w:r w:rsidR="00DC7912" w:rsidRPr="00DC7912">
        <w:rPr>
          <w:rFonts w:cs="Arial"/>
          <w:color w:val="000000"/>
          <w:sz w:val="21"/>
          <w:szCs w:val="21"/>
          <w:lang w:val="en-GB"/>
        </w:rPr>
        <w:t>Table 2</w:t>
      </w:r>
      <w:r w:rsidRPr="00AA4C1E">
        <w:rPr>
          <w:rFonts w:cs="Arial"/>
          <w:color w:val="000000"/>
          <w:sz w:val="21"/>
          <w:szCs w:val="21"/>
          <w:lang w:val="en-GB"/>
        </w:rPr>
        <w:fldChar w:fldCharType="end"/>
      </w:r>
      <w:r w:rsidRPr="00AA4C1E">
        <w:rPr>
          <w:rFonts w:cs="Arial"/>
          <w:color w:val="000000"/>
          <w:sz w:val="21"/>
          <w:szCs w:val="21"/>
          <w:lang w:val="en-GB"/>
        </w:rPr>
        <w:t xml:space="preserve">). </w:t>
      </w:r>
    </w:p>
    <w:p w14:paraId="2CF59C94" w14:textId="55F739C6" w:rsidR="002617AC" w:rsidRDefault="002617AC" w:rsidP="00B8549E">
      <w:pPr>
        <w:widowControl w:val="0"/>
        <w:autoSpaceDE w:val="0"/>
        <w:autoSpaceDN w:val="0"/>
        <w:adjustRightInd w:val="0"/>
        <w:spacing w:after="0"/>
        <w:ind w:right="133"/>
        <w:textAlignment w:val="center"/>
        <w:rPr>
          <w:rFonts w:cs="Arial"/>
          <w:color w:val="000000"/>
          <w:sz w:val="21"/>
          <w:szCs w:val="21"/>
          <w:lang w:val="en-GB"/>
        </w:rPr>
      </w:pPr>
    </w:p>
    <w:p w14:paraId="0870579F" w14:textId="58DE1772" w:rsidR="0021601C" w:rsidRDefault="0021601C" w:rsidP="00B8549E">
      <w:pPr>
        <w:widowControl w:val="0"/>
        <w:autoSpaceDE w:val="0"/>
        <w:autoSpaceDN w:val="0"/>
        <w:adjustRightInd w:val="0"/>
        <w:spacing w:after="0"/>
        <w:ind w:right="133"/>
        <w:textAlignment w:val="center"/>
        <w:rPr>
          <w:rFonts w:cs="Arial"/>
          <w:color w:val="000000"/>
          <w:sz w:val="21"/>
          <w:szCs w:val="21"/>
          <w:lang w:val="en-GB"/>
        </w:rPr>
      </w:pPr>
    </w:p>
    <w:p w14:paraId="5B366274" w14:textId="711BA85C" w:rsidR="0021601C" w:rsidRDefault="0021601C" w:rsidP="00B8549E">
      <w:pPr>
        <w:widowControl w:val="0"/>
        <w:autoSpaceDE w:val="0"/>
        <w:autoSpaceDN w:val="0"/>
        <w:adjustRightInd w:val="0"/>
        <w:spacing w:after="0"/>
        <w:ind w:right="133"/>
        <w:textAlignment w:val="center"/>
        <w:rPr>
          <w:rFonts w:cs="Arial"/>
          <w:color w:val="000000"/>
          <w:sz w:val="21"/>
          <w:szCs w:val="21"/>
          <w:lang w:val="en-GB"/>
        </w:rPr>
      </w:pPr>
    </w:p>
    <w:p w14:paraId="4D16D0F3" w14:textId="312255D5" w:rsidR="0021601C" w:rsidRDefault="0021601C" w:rsidP="00B8549E">
      <w:pPr>
        <w:widowControl w:val="0"/>
        <w:autoSpaceDE w:val="0"/>
        <w:autoSpaceDN w:val="0"/>
        <w:adjustRightInd w:val="0"/>
        <w:spacing w:after="0"/>
        <w:ind w:right="133"/>
        <w:textAlignment w:val="center"/>
        <w:rPr>
          <w:rFonts w:cs="Arial"/>
          <w:color w:val="000000"/>
          <w:sz w:val="21"/>
          <w:szCs w:val="21"/>
          <w:lang w:val="en-GB"/>
        </w:rPr>
      </w:pPr>
    </w:p>
    <w:p w14:paraId="0D43A027" w14:textId="075DDA46" w:rsidR="0021601C" w:rsidRDefault="0021601C" w:rsidP="00B8549E">
      <w:pPr>
        <w:widowControl w:val="0"/>
        <w:autoSpaceDE w:val="0"/>
        <w:autoSpaceDN w:val="0"/>
        <w:adjustRightInd w:val="0"/>
        <w:spacing w:after="0"/>
        <w:ind w:right="133"/>
        <w:textAlignment w:val="center"/>
        <w:rPr>
          <w:rFonts w:cs="Arial"/>
          <w:color w:val="000000"/>
          <w:sz w:val="21"/>
          <w:szCs w:val="21"/>
          <w:lang w:val="en-GB"/>
        </w:rPr>
      </w:pPr>
    </w:p>
    <w:p w14:paraId="6584A00C" w14:textId="42641634" w:rsidR="002617AC" w:rsidRPr="00AA4C1E" w:rsidRDefault="002617AC" w:rsidP="002617AC">
      <w:pPr>
        <w:keepNext/>
        <w:spacing w:after="0" w:line="240" w:lineRule="auto"/>
        <w:rPr>
          <w:rFonts w:cs="Arial"/>
          <w:i/>
          <w:iCs/>
          <w:color w:val="ED1E42"/>
          <w:sz w:val="20"/>
          <w:szCs w:val="18"/>
        </w:rPr>
      </w:pPr>
      <w:bookmarkStart w:id="2" w:name="_Ref471378411"/>
      <w:r w:rsidRPr="00AA4C1E">
        <w:rPr>
          <w:rFonts w:eastAsia="Times" w:cs="Arial"/>
          <w:i/>
          <w:iCs/>
          <w:color w:val="ED1E42"/>
          <w:sz w:val="18"/>
          <w:szCs w:val="18"/>
          <w:lang w:val="en-AU"/>
        </w:rPr>
        <w:t xml:space="preserve">Table </w:t>
      </w:r>
      <w:r w:rsidRPr="00AA4C1E">
        <w:rPr>
          <w:rFonts w:eastAsia="Times" w:cs="Arial"/>
          <w:i/>
          <w:iCs/>
          <w:color w:val="ED1E42"/>
          <w:sz w:val="18"/>
          <w:szCs w:val="18"/>
          <w:lang w:val="en-AU"/>
        </w:rPr>
        <w:fldChar w:fldCharType="begin"/>
      </w:r>
      <w:r w:rsidRPr="00AA4C1E">
        <w:rPr>
          <w:rFonts w:eastAsia="Times" w:cs="Arial"/>
          <w:i/>
          <w:iCs/>
          <w:color w:val="ED1E42"/>
          <w:sz w:val="18"/>
          <w:szCs w:val="18"/>
          <w:lang w:val="en-AU"/>
        </w:rPr>
        <w:instrText xml:space="preserve"> SEQ Table \* ARABIC </w:instrText>
      </w:r>
      <w:r w:rsidRPr="00AA4C1E">
        <w:rPr>
          <w:rFonts w:eastAsia="Times" w:cs="Arial"/>
          <w:i/>
          <w:iCs/>
          <w:color w:val="ED1E42"/>
          <w:sz w:val="18"/>
          <w:szCs w:val="18"/>
          <w:lang w:val="en-AU"/>
        </w:rPr>
        <w:fldChar w:fldCharType="separate"/>
      </w:r>
      <w:r w:rsidR="00DC7912">
        <w:rPr>
          <w:rFonts w:eastAsia="Times" w:cs="Arial"/>
          <w:i/>
          <w:iCs/>
          <w:noProof/>
          <w:color w:val="ED1E42"/>
          <w:sz w:val="18"/>
          <w:szCs w:val="18"/>
          <w:lang w:val="en-AU"/>
        </w:rPr>
        <w:t>2</w:t>
      </w:r>
      <w:r w:rsidRPr="00AA4C1E">
        <w:rPr>
          <w:rFonts w:eastAsia="Times" w:cs="Arial"/>
          <w:i/>
          <w:iCs/>
          <w:noProof/>
          <w:color w:val="ED1E42"/>
          <w:sz w:val="18"/>
          <w:szCs w:val="18"/>
          <w:lang w:val="en-AU"/>
        </w:rPr>
        <w:fldChar w:fldCharType="end"/>
      </w:r>
      <w:bookmarkEnd w:id="2"/>
      <w:r w:rsidRPr="00AA4C1E">
        <w:rPr>
          <w:rFonts w:eastAsia="Times" w:cs="Arial"/>
          <w:i/>
          <w:iCs/>
          <w:color w:val="ED1E42"/>
          <w:sz w:val="18"/>
          <w:szCs w:val="18"/>
          <w:lang w:val="en-AU"/>
        </w:rPr>
        <w:t xml:space="preserve">: Government return on investment </w:t>
      </w:r>
    </w:p>
    <w:tbl>
      <w:tblPr>
        <w:tblW w:w="8931" w:type="dxa"/>
        <w:tblInd w:w="-142" w:type="dxa"/>
        <w:tblCellMar>
          <w:left w:w="0" w:type="dxa"/>
          <w:right w:w="0" w:type="dxa"/>
        </w:tblCellMar>
        <w:tblLook w:val="0420" w:firstRow="1" w:lastRow="0" w:firstColumn="0" w:lastColumn="0" w:noHBand="0" w:noVBand="1"/>
      </w:tblPr>
      <w:tblGrid>
        <w:gridCol w:w="3686"/>
        <w:gridCol w:w="1843"/>
        <w:gridCol w:w="1701"/>
        <w:gridCol w:w="1701"/>
      </w:tblGrid>
      <w:tr w:rsidR="002617AC" w:rsidRPr="00AA4C1E" w14:paraId="6B33D911" w14:textId="77777777" w:rsidTr="002617AC">
        <w:trPr>
          <w:trHeight w:val="39"/>
        </w:trPr>
        <w:tc>
          <w:tcPr>
            <w:tcW w:w="3686" w:type="dxa"/>
            <w:tcBorders>
              <w:top w:val="nil"/>
              <w:left w:val="nil"/>
              <w:bottom w:val="single" w:sz="8" w:space="0" w:color="7F7F7F"/>
              <w:right w:val="nil"/>
            </w:tcBorders>
            <w:shd w:val="clear" w:color="auto" w:fill="D0D3D4"/>
            <w:tcMar>
              <w:top w:w="41" w:type="dxa"/>
              <w:left w:w="81" w:type="dxa"/>
              <w:bottom w:w="41" w:type="dxa"/>
              <w:right w:w="81" w:type="dxa"/>
            </w:tcMar>
            <w:vAlign w:val="center"/>
            <w:hideMark/>
          </w:tcPr>
          <w:p w14:paraId="2BFCD4BC" w14:textId="77777777" w:rsidR="002617AC" w:rsidRPr="00AA4C1E" w:rsidRDefault="002617AC" w:rsidP="002617AC">
            <w:pPr>
              <w:autoSpaceDE w:val="0"/>
              <w:autoSpaceDN w:val="0"/>
              <w:adjustRightInd w:val="0"/>
              <w:spacing w:after="0" w:line="240" w:lineRule="auto"/>
              <w:rPr>
                <w:rFonts w:cs="Arial"/>
                <w:b/>
                <w:bCs/>
                <w:color w:val="231F20"/>
                <w:sz w:val="18"/>
                <w:szCs w:val="18"/>
                <w:lang w:val="en-AU"/>
              </w:rPr>
            </w:pPr>
          </w:p>
        </w:tc>
        <w:tc>
          <w:tcPr>
            <w:tcW w:w="1843" w:type="dxa"/>
            <w:tcBorders>
              <w:top w:val="nil"/>
              <w:left w:val="nil"/>
              <w:bottom w:val="single" w:sz="8" w:space="0" w:color="7F7F7F"/>
              <w:right w:val="nil"/>
            </w:tcBorders>
            <w:shd w:val="clear" w:color="auto" w:fill="D0D3D4"/>
            <w:tcMar>
              <w:top w:w="41" w:type="dxa"/>
              <w:left w:w="81" w:type="dxa"/>
              <w:bottom w:w="41" w:type="dxa"/>
              <w:right w:w="81" w:type="dxa"/>
            </w:tcMar>
            <w:vAlign w:val="center"/>
            <w:hideMark/>
          </w:tcPr>
          <w:p w14:paraId="1D7A0B1D" w14:textId="77777777" w:rsidR="002617AC" w:rsidRPr="00AA4C1E" w:rsidRDefault="002617AC" w:rsidP="002617AC">
            <w:pPr>
              <w:autoSpaceDE w:val="0"/>
              <w:autoSpaceDN w:val="0"/>
              <w:adjustRightInd w:val="0"/>
              <w:spacing w:after="0" w:line="240" w:lineRule="auto"/>
              <w:jc w:val="right"/>
              <w:rPr>
                <w:rFonts w:cs="Arial"/>
                <w:b/>
                <w:bCs/>
                <w:color w:val="231F20"/>
                <w:sz w:val="18"/>
                <w:szCs w:val="18"/>
                <w:lang w:val="en-AU"/>
              </w:rPr>
            </w:pPr>
            <w:r w:rsidRPr="00AA4C1E">
              <w:rPr>
                <w:rFonts w:cs="Arial"/>
                <w:b/>
                <w:bCs/>
                <w:color w:val="231F20"/>
                <w:sz w:val="18"/>
                <w:szCs w:val="18"/>
                <w:lang w:val="en-AU"/>
              </w:rPr>
              <w:t>10%  tax incentive</w:t>
            </w:r>
          </w:p>
        </w:tc>
        <w:tc>
          <w:tcPr>
            <w:tcW w:w="1701" w:type="dxa"/>
            <w:tcBorders>
              <w:top w:val="nil"/>
              <w:left w:val="nil"/>
              <w:bottom w:val="single" w:sz="8" w:space="0" w:color="7F7F7F"/>
              <w:right w:val="nil"/>
            </w:tcBorders>
            <w:shd w:val="clear" w:color="auto" w:fill="D0D3D4"/>
            <w:tcMar>
              <w:top w:w="41" w:type="dxa"/>
              <w:left w:w="81" w:type="dxa"/>
              <w:bottom w:w="41" w:type="dxa"/>
              <w:right w:w="81" w:type="dxa"/>
            </w:tcMar>
            <w:vAlign w:val="center"/>
            <w:hideMark/>
          </w:tcPr>
          <w:p w14:paraId="6E0910B4" w14:textId="77777777" w:rsidR="002617AC" w:rsidRPr="00AA4C1E" w:rsidRDefault="002617AC" w:rsidP="002617AC">
            <w:pPr>
              <w:autoSpaceDE w:val="0"/>
              <w:autoSpaceDN w:val="0"/>
              <w:adjustRightInd w:val="0"/>
              <w:spacing w:after="0" w:line="240" w:lineRule="auto"/>
              <w:jc w:val="right"/>
              <w:rPr>
                <w:rFonts w:cs="Arial"/>
                <w:b/>
                <w:bCs/>
                <w:color w:val="231F20"/>
                <w:sz w:val="18"/>
                <w:szCs w:val="18"/>
                <w:lang w:val="en-AU"/>
              </w:rPr>
            </w:pPr>
            <w:r w:rsidRPr="00AA4C1E">
              <w:rPr>
                <w:rFonts w:cs="Arial"/>
                <w:b/>
                <w:bCs/>
                <w:color w:val="231F20"/>
                <w:sz w:val="18"/>
                <w:szCs w:val="18"/>
                <w:lang w:val="en-AU"/>
              </w:rPr>
              <w:t>25% tax incentive</w:t>
            </w:r>
          </w:p>
        </w:tc>
        <w:tc>
          <w:tcPr>
            <w:tcW w:w="1701" w:type="dxa"/>
            <w:tcBorders>
              <w:top w:val="nil"/>
              <w:left w:val="nil"/>
              <w:bottom w:val="single" w:sz="8" w:space="0" w:color="7F7F7F"/>
              <w:right w:val="nil"/>
            </w:tcBorders>
            <w:shd w:val="clear" w:color="auto" w:fill="D0D3D4"/>
            <w:tcMar>
              <w:top w:w="41" w:type="dxa"/>
              <w:left w:w="81" w:type="dxa"/>
              <w:bottom w:w="41" w:type="dxa"/>
              <w:right w:w="81" w:type="dxa"/>
            </w:tcMar>
            <w:vAlign w:val="center"/>
            <w:hideMark/>
          </w:tcPr>
          <w:p w14:paraId="6CD2B9EE" w14:textId="77777777" w:rsidR="002617AC" w:rsidRPr="00AA4C1E" w:rsidRDefault="002617AC" w:rsidP="002617AC">
            <w:pPr>
              <w:autoSpaceDE w:val="0"/>
              <w:autoSpaceDN w:val="0"/>
              <w:adjustRightInd w:val="0"/>
              <w:spacing w:after="0" w:line="240" w:lineRule="auto"/>
              <w:jc w:val="right"/>
              <w:rPr>
                <w:rFonts w:cs="Arial"/>
                <w:b/>
                <w:bCs/>
                <w:color w:val="231F20"/>
                <w:sz w:val="18"/>
                <w:szCs w:val="18"/>
                <w:lang w:val="en-AU"/>
              </w:rPr>
            </w:pPr>
            <w:r w:rsidRPr="00AA4C1E">
              <w:rPr>
                <w:rFonts w:cs="Arial"/>
                <w:b/>
                <w:bCs/>
                <w:color w:val="231F20"/>
                <w:sz w:val="18"/>
                <w:szCs w:val="18"/>
                <w:lang w:val="en-AU"/>
              </w:rPr>
              <w:t xml:space="preserve">40% tax incentive </w:t>
            </w:r>
          </w:p>
        </w:tc>
      </w:tr>
      <w:tr w:rsidR="002617AC" w:rsidRPr="00AA4C1E" w14:paraId="74D50C87" w14:textId="77777777" w:rsidTr="00261F98">
        <w:trPr>
          <w:trHeight w:val="19"/>
        </w:trPr>
        <w:tc>
          <w:tcPr>
            <w:tcW w:w="3686"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3F1B59E3" w14:textId="77777777" w:rsidR="002617AC" w:rsidRPr="00AA4C1E" w:rsidRDefault="002617AC" w:rsidP="002617AC">
            <w:pPr>
              <w:autoSpaceDE w:val="0"/>
              <w:autoSpaceDN w:val="0"/>
              <w:adjustRightInd w:val="0"/>
              <w:spacing w:after="0" w:line="240" w:lineRule="auto"/>
              <w:rPr>
                <w:rFonts w:cs="Arial"/>
                <w:color w:val="231F20"/>
                <w:sz w:val="18"/>
                <w:szCs w:val="18"/>
                <w:lang w:val="en-AU"/>
              </w:rPr>
            </w:pPr>
            <w:r w:rsidRPr="00AA4C1E">
              <w:rPr>
                <w:rFonts w:cs="Arial"/>
                <w:color w:val="231F20"/>
                <w:sz w:val="18"/>
                <w:szCs w:val="18"/>
                <w:lang w:val="en-AU"/>
              </w:rPr>
              <w:t xml:space="preserve">Investment incentive outlay by government </w:t>
            </w:r>
          </w:p>
          <w:p w14:paraId="175424EC" w14:textId="77777777" w:rsidR="002617AC" w:rsidRPr="00AA4C1E" w:rsidRDefault="002617AC" w:rsidP="002617AC">
            <w:pPr>
              <w:autoSpaceDE w:val="0"/>
              <w:autoSpaceDN w:val="0"/>
              <w:adjustRightInd w:val="0"/>
              <w:spacing w:after="0" w:line="240" w:lineRule="auto"/>
              <w:rPr>
                <w:rFonts w:cs="Arial"/>
                <w:color w:val="231F20"/>
                <w:sz w:val="18"/>
                <w:szCs w:val="18"/>
                <w:lang w:val="en-AU"/>
              </w:rPr>
            </w:pPr>
            <w:r w:rsidRPr="00AA4C1E">
              <w:rPr>
                <w:rFonts w:cs="Arial"/>
                <w:color w:val="231F20"/>
                <w:sz w:val="18"/>
                <w:szCs w:val="18"/>
                <w:lang w:val="en-AU"/>
              </w:rPr>
              <w:t xml:space="preserve">(Incentives provided to producers) </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121921D7"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$37.7m</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6934001B"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$94.3m</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0AF50532"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$150.9m</w:t>
            </w:r>
          </w:p>
        </w:tc>
      </w:tr>
      <w:tr w:rsidR="002617AC" w:rsidRPr="00AA4C1E" w14:paraId="3F4AF6E4" w14:textId="77777777" w:rsidTr="00261F98">
        <w:trPr>
          <w:trHeight w:val="19"/>
        </w:trPr>
        <w:tc>
          <w:tcPr>
            <w:tcW w:w="3686"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2C4E8E2E" w14:textId="77777777" w:rsidR="002617AC" w:rsidRPr="00AA4C1E" w:rsidRDefault="002617AC" w:rsidP="002617AC">
            <w:pPr>
              <w:autoSpaceDE w:val="0"/>
              <w:autoSpaceDN w:val="0"/>
              <w:adjustRightInd w:val="0"/>
              <w:spacing w:after="0" w:line="240" w:lineRule="auto"/>
              <w:rPr>
                <w:rFonts w:cs="Arial"/>
                <w:color w:val="231F20"/>
                <w:sz w:val="18"/>
                <w:szCs w:val="18"/>
                <w:lang w:val="en-AU"/>
              </w:rPr>
            </w:pPr>
            <w:r w:rsidRPr="00AA4C1E">
              <w:rPr>
                <w:rFonts w:cs="Arial"/>
                <w:color w:val="231F20"/>
                <w:sz w:val="18"/>
                <w:szCs w:val="18"/>
                <w:lang w:val="en-AU"/>
              </w:rPr>
              <w:t xml:space="preserve">Additional tax revenue received by government </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5CB14D5B"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$28.5m</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18F18350"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$95.9m</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04475315" w14:textId="77777777" w:rsidR="002617AC" w:rsidRPr="00AA4C1E" w:rsidRDefault="002617AC" w:rsidP="002617AC">
            <w:pPr>
              <w:autoSpaceDE w:val="0"/>
              <w:autoSpaceDN w:val="0"/>
              <w:adjustRightInd w:val="0"/>
              <w:spacing w:after="0" w:line="240" w:lineRule="auto"/>
              <w:jc w:val="right"/>
              <w:rPr>
                <w:rFonts w:cs="Arial"/>
                <w:color w:val="231F20"/>
                <w:sz w:val="18"/>
                <w:szCs w:val="18"/>
                <w:lang w:val="en-AU"/>
              </w:rPr>
            </w:pPr>
            <w:r w:rsidRPr="00AA4C1E">
              <w:rPr>
                <w:rFonts w:cs="Arial"/>
                <w:color w:val="231F20"/>
                <w:sz w:val="18"/>
                <w:szCs w:val="18"/>
                <w:lang w:val="en-AU"/>
              </w:rPr>
              <w:t>$153.4m</w:t>
            </w:r>
          </w:p>
        </w:tc>
      </w:tr>
      <w:tr w:rsidR="002617AC" w:rsidRPr="00AA4C1E" w14:paraId="2E16BC83" w14:textId="77777777" w:rsidTr="00261F98">
        <w:trPr>
          <w:trHeight w:val="19"/>
        </w:trPr>
        <w:tc>
          <w:tcPr>
            <w:tcW w:w="3686"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39EE4D63" w14:textId="77777777" w:rsidR="002617AC" w:rsidRPr="00AA4C1E" w:rsidRDefault="002617AC" w:rsidP="002617AC">
            <w:pPr>
              <w:autoSpaceDE w:val="0"/>
              <w:autoSpaceDN w:val="0"/>
              <w:adjustRightInd w:val="0"/>
              <w:spacing w:after="0" w:line="240" w:lineRule="auto"/>
              <w:rPr>
                <w:rFonts w:cs="Arial"/>
                <w:b/>
                <w:color w:val="231F20"/>
                <w:sz w:val="18"/>
                <w:szCs w:val="18"/>
                <w:lang w:val="en-AU"/>
              </w:rPr>
            </w:pPr>
            <w:r w:rsidRPr="00AA4C1E">
              <w:rPr>
                <w:rFonts w:cs="Arial"/>
                <w:b/>
                <w:color w:val="231F20"/>
                <w:sz w:val="18"/>
                <w:szCs w:val="18"/>
                <w:lang w:val="en-AU"/>
              </w:rPr>
              <w:t xml:space="preserve">Net (cost)/revenue to government </w:t>
            </w:r>
          </w:p>
        </w:tc>
        <w:tc>
          <w:tcPr>
            <w:tcW w:w="1843"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061BB086" w14:textId="77777777" w:rsidR="002617AC" w:rsidRPr="00AA4C1E" w:rsidRDefault="002617AC" w:rsidP="002617AC">
            <w:pPr>
              <w:autoSpaceDE w:val="0"/>
              <w:autoSpaceDN w:val="0"/>
              <w:adjustRightInd w:val="0"/>
              <w:spacing w:after="0" w:line="240" w:lineRule="auto"/>
              <w:jc w:val="right"/>
              <w:rPr>
                <w:rFonts w:cs="Arial"/>
                <w:b/>
                <w:color w:val="231F20"/>
                <w:sz w:val="18"/>
                <w:szCs w:val="18"/>
                <w:lang w:val="en-AU"/>
              </w:rPr>
            </w:pPr>
            <w:r w:rsidRPr="00AA4C1E">
              <w:rPr>
                <w:rFonts w:cs="Arial"/>
                <w:b/>
                <w:color w:val="231F20"/>
                <w:sz w:val="18"/>
                <w:szCs w:val="18"/>
                <w:lang w:val="en-AU"/>
              </w:rPr>
              <w:t>($9.3m)</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6F4FCB2F" w14:textId="77777777" w:rsidR="002617AC" w:rsidRPr="00AA4C1E" w:rsidRDefault="002617AC" w:rsidP="002617AC">
            <w:pPr>
              <w:autoSpaceDE w:val="0"/>
              <w:autoSpaceDN w:val="0"/>
              <w:adjustRightInd w:val="0"/>
              <w:spacing w:after="0" w:line="240" w:lineRule="auto"/>
              <w:jc w:val="right"/>
              <w:rPr>
                <w:rFonts w:cs="Arial"/>
                <w:b/>
                <w:color w:val="231F20"/>
                <w:sz w:val="18"/>
                <w:szCs w:val="18"/>
                <w:lang w:val="en-AU"/>
              </w:rPr>
            </w:pPr>
            <w:r w:rsidRPr="00AA4C1E">
              <w:rPr>
                <w:rFonts w:cs="Arial"/>
                <w:b/>
                <w:color w:val="231F20"/>
                <w:sz w:val="18"/>
                <w:szCs w:val="18"/>
                <w:lang w:val="en-AU"/>
              </w:rPr>
              <w:t>$1.6m</w:t>
            </w:r>
          </w:p>
        </w:tc>
        <w:tc>
          <w:tcPr>
            <w:tcW w:w="1701" w:type="dxa"/>
            <w:tcBorders>
              <w:top w:val="single" w:sz="8" w:space="0" w:color="7F7F7F"/>
              <w:left w:val="nil"/>
              <w:bottom w:val="single" w:sz="8" w:space="0" w:color="7F7F7F"/>
              <w:right w:val="nil"/>
            </w:tcBorders>
            <w:shd w:val="clear" w:color="auto" w:fill="auto"/>
            <w:tcMar>
              <w:top w:w="41" w:type="dxa"/>
              <w:left w:w="81" w:type="dxa"/>
              <w:bottom w:w="41" w:type="dxa"/>
              <w:right w:w="81" w:type="dxa"/>
            </w:tcMar>
            <w:vAlign w:val="center"/>
            <w:hideMark/>
          </w:tcPr>
          <w:p w14:paraId="6332C75A" w14:textId="77777777" w:rsidR="002617AC" w:rsidRPr="00AA4C1E" w:rsidRDefault="002617AC" w:rsidP="002617AC">
            <w:pPr>
              <w:autoSpaceDE w:val="0"/>
              <w:autoSpaceDN w:val="0"/>
              <w:adjustRightInd w:val="0"/>
              <w:spacing w:after="0" w:line="240" w:lineRule="auto"/>
              <w:jc w:val="right"/>
              <w:rPr>
                <w:rFonts w:cs="Arial"/>
                <w:b/>
                <w:color w:val="231F20"/>
                <w:sz w:val="18"/>
                <w:szCs w:val="18"/>
                <w:lang w:val="en-AU"/>
              </w:rPr>
            </w:pPr>
            <w:r w:rsidRPr="00AA4C1E">
              <w:rPr>
                <w:rFonts w:cs="Arial"/>
                <w:b/>
                <w:color w:val="231F20"/>
                <w:sz w:val="18"/>
                <w:szCs w:val="18"/>
                <w:lang w:val="en-AU"/>
              </w:rPr>
              <w:t>$2.5m</w:t>
            </w:r>
          </w:p>
        </w:tc>
      </w:tr>
    </w:tbl>
    <w:p w14:paraId="394AA7E3" w14:textId="77777777" w:rsidR="002617AC" w:rsidRPr="00AA4C1E" w:rsidRDefault="002617AC" w:rsidP="002617AC">
      <w:pPr>
        <w:autoSpaceDE w:val="0"/>
        <w:autoSpaceDN w:val="0"/>
        <w:adjustRightInd w:val="0"/>
        <w:spacing w:after="0" w:line="300" w:lineRule="exact"/>
        <w:rPr>
          <w:rFonts w:cs="Arial"/>
          <w:color w:val="231F20"/>
          <w:sz w:val="21"/>
          <w:szCs w:val="21"/>
        </w:rPr>
      </w:pPr>
    </w:p>
    <w:p w14:paraId="5BF7F5F8" w14:textId="0919DD27" w:rsidR="007F6AE7" w:rsidRPr="00AA4C1E" w:rsidRDefault="00485631" w:rsidP="002617AC">
      <w:pPr>
        <w:autoSpaceDE w:val="0"/>
        <w:autoSpaceDN w:val="0"/>
        <w:adjustRightInd w:val="0"/>
        <w:spacing w:after="0" w:line="300" w:lineRule="exact"/>
        <w:rPr>
          <w:rFonts w:cs="Arial"/>
          <w:color w:val="000000"/>
          <w:sz w:val="21"/>
          <w:szCs w:val="21"/>
          <w:lang w:val="en-GB"/>
        </w:rPr>
      </w:pPr>
      <w:r w:rsidRPr="00AA4C1E">
        <w:rPr>
          <w:rFonts w:cs="Arial"/>
          <w:color w:val="000000"/>
          <w:sz w:val="21"/>
          <w:szCs w:val="21"/>
          <w:lang w:val="en-GB"/>
        </w:rPr>
        <w:t>Further details on this budget proposal can be found at Appendix A (p</w:t>
      </w:r>
      <w:r w:rsidRPr="0056540E">
        <w:rPr>
          <w:rFonts w:cs="Arial"/>
          <w:color w:val="000000"/>
          <w:sz w:val="21"/>
          <w:szCs w:val="21"/>
          <w:lang w:val="en-GB"/>
        </w:rPr>
        <w:t>.7).</w:t>
      </w:r>
    </w:p>
    <w:p w14:paraId="2B3B4885" w14:textId="77777777" w:rsidR="00405AD9" w:rsidRPr="00AA4C1E" w:rsidRDefault="00405AD9" w:rsidP="002617AC">
      <w:pPr>
        <w:autoSpaceDE w:val="0"/>
        <w:autoSpaceDN w:val="0"/>
        <w:adjustRightInd w:val="0"/>
        <w:spacing w:after="0" w:line="300" w:lineRule="exact"/>
        <w:rPr>
          <w:rFonts w:cs="Arial"/>
          <w:color w:val="231F20"/>
          <w:sz w:val="21"/>
          <w:szCs w:val="21"/>
        </w:rPr>
      </w:pPr>
    </w:p>
    <w:p w14:paraId="29236781" w14:textId="7ADE3999" w:rsidR="003B595B" w:rsidRPr="00AA4C1E" w:rsidRDefault="00001194" w:rsidP="007F6AE7">
      <w:pPr>
        <w:pStyle w:val="ListParagraph"/>
        <w:numPr>
          <w:ilvl w:val="0"/>
          <w:numId w:val="5"/>
        </w:numPr>
        <w:rPr>
          <w:rFonts w:cs="Arial"/>
          <w:b/>
          <w:bCs/>
          <w:color w:val="ED1E42"/>
          <w:sz w:val="24"/>
          <w:szCs w:val="24"/>
          <w:lang w:val="en-GB"/>
        </w:rPr>
      </w:pPr>
      <w:r w:rsidRPr="00AA4C1E">
        <w:rPr>
          <w:rFonts w:cs="Arial"/>
          <w:b/>
          <w:bCs/>
          <w:color w:val="ED1E42"/>
          <w:sz w:val="24"/>
          <w:szCs w:val="24"/>
          <w:lang w:val="en-GB"/>
        </w:rPr>
        <w:t>SEED FUNDING FOR AUSTRALIAN WORKS OF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D3D4"/>
        <w:tblLook w:val="04A0" w:firstRow="1" w:lastRow="0" w:firstColumn="1" w:lastColumn="0" w:noHBand="0" w:noVBand="1"/>
      </w:tblPr>
      <w:tblGrid>
        <w:gridCol w:w="8931"/>
      </w:tblGrid>
      <w:tr w:rsidR="009A5022" w:rsidRPr="00AA4C1E" w14:paraId="36A48E7D" w14:textId="77777777" w:rsidTr="009A5022">
        <w:tc>
          <w:tcPr>
            <w:tcW w:w="8931" w:type="dxa"/>
            <w:shd w:val="clear" w:color="auto" w:fill="D0D3D4"/>
          </w:tcPr>
          <w:p w14:paraId="12EAA2C6" w14:textId="3138CAF3" w:rsidR="007F6AE7" w:rsidRPr="00AA4C1E" w:rsidRDefault="007F6AE7" w:rsidP="00261F98">
            <w:pPr>
              <w:autoSpaceDE w:val="0"/>
              <w:autoSpaceDN w:val="0"/>
              <w:adjustRightInd w:val="0"/>
              <w:spacing w:before="120" w:after="0" w:line="300" w:lineRule="exact"/>
              <w:rPr>
                <w:rFonts w:cs="Arial"/>
                <w:b/>
                <w:sz w:val="21"/>
                <w:szCs w:val="21"/>
              </w:rPr>
            </w:pPr>
            <w:r w:rsidRPr="00AA4C1E">
              <w:rPr>
                <w:rFonts w:cs="Arial"/>
                <w:b/>
                <w:sz w:val="21"/>
                <w:szCs w:val="21"/>
              </w:rPr>
              <w:t xml:space="preserve">Budget request 2: </w:t>
            </w:r>
          </w:p>
          <w:p w14:paraId="4E73417F" w14:textId="5CDCFD64" w:rsidR="007F6AE7" w:rsidRPr="00AA4C1E" w:rsidRDefault="007F6AE7" w:rsidP="00261F98">
            <w:pPr>
              <w:autoSpaceDE w:val="0"/>
              <w:autoSpaceDN w:val="0"/>
              <w:adjustRightInd w:val="0"/>
              <w:spacing w:after="120" w:line="300" w:lineRule="exact"/>
              <w:rPr>
                <w:rFonts w:cs="Arial"/>
                <w:b/>
                <w:sz w:val="21"/>
                <w:szCs w:val="21"/>
              </w:rPr>
            </w:pPr>
            <w:r w:rsidRPr="00AA4C1E">
              <w:rPr>
                <w:rFonts w:cs="Arial"/>
                <w:sz w:val="21"/>
                <w:szCs w:val="21"/>
              </w:rPr>
              <w:t>Establish a major seed fund ($20 million over four years) for original Australian works of scale</w:t>
            </w:r>
          </w:p>
        </w:tc>
      </w:tr>
    </w:tbl>
    <w:p w14:paraId="0034CB65" w14:textId="77777777" w:rsidR="00534291" w:rsidRPr="00AA4C1E" w:rsidRDefault="00534291" w:rsidP="003B595B">
      <w:pPr>
        <w:widowControl w:val="0"/>
        <w:autoSpaceDE w:val="0"/>
        <w:autoSpaceDN w:val="0"/>
        <w:adjustRightInd w:val="0"/>
        <w:spacing w:after="0"/>
        <w:ind w:right="133"/>
        <w:textAlignment w:val="center"/>
        <w:rPr>
          <w:rFonts w:cs="Arial"/>
          <w:color w:val="000000"/>
          <w:sz w:val="21"/>
          <w:szCs w:val="21"/>
          <w:lang w:val="en-GB"/>
        </w:rPr>
      </w:pPr>
    </w:p>
    <w:p w14:paraId="07CF0456" w14:textId="1200D942" w:rsidR="00B8549E" w:rsidRPr="00AA4C1E" w:rsidRDefault="007F6AE7" w:rsidP="007F6AE7">
      <w:pPr>
        <w:widowControl w:val="0"/>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Australia has the opportunity to create and exploit intellectual property derived from original work. However, creating original work is risky and requires significant upfront capital to bring an idea to life. Few original works of scale are produced in Australia due to high development costs associated with ‘proving the concept’ and ‘pre-production’. Creative teams will firstly develop an idea into a script and then conduct a series of workshops to prove the concept. If the idea passes the proof of concept stage, it continues to be developed in a pre-production phase. It is then typically tested with audiences and revised based on test audience feedback before the final product is presented. This entire process typically takes several years of high-cost development, which presents a disincentive for investors</w:t>
      </w:r>
      <w:r w:rsidR="008E369B" w:rsidRPr="00AA4C1E">
        <w:rPr>
          <w:rFonts w:cs="Arial"/>
          <w:color w:val="000000"/>
          <w:sz w:val="21"/>
          <w:szCs w:val="21"/>
        </w:rPr>
        <w:t xml:space="preserve"> due to the significant delay in receiving a return on investments</w:t>
      </w:r>
      <w:r w:rsidRPr="00AA4C1E">
        <w:rPr>
          <w:rFonts w:cs="Arial"/>
          <w:color w:val="000000"/>
          <w:sz w:val="21"/>
          <w:szCs w:val="21"/>
        </w:rPr>
        <w:t>.</w:t>
      </w:r>
    </w:p>
    <w:p w14:paraId="3DC741CB" w14:textId="77777777" w:rsidR="008E369B" w:rsidRPr="00AA4C1E" w:rsidRDefault="008E369B" w:rsidP="007F6AE7">
      <w:pPr>
        <w:widowControl w:val="0"/>
        <w:autoSpaceDE w:val="0"/>
        <w:autoSpaceDN w:val="0"/>
        <w:adjustRightInd w:val="0"/>
        <w:spacing w:after="0"/>
        <w:ind w:right="133"/>
        <w:textAlignment w:val="center"/>
        <w:rPr>
          <w:rFonts w:cs="Arial"/>
          <w:color w:val="000000"/>
          <w:sz w:val="21"/>
          <w:szCs w:val="21"/>
        </w:rPr>
      </w:pPr>
    </w:p>
    <w:p w14:paraId="42329EF1" w14:textId="33CFC1A4" w:rsidR="00AD71B5" w:rsidRPr="00AA4C1E" w:rsidRDefault="008E369B" w:rsidP="00AC6C6B">
      <w:pPr>
        <w:widowControl w:val="0"/>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There are a variety of benefits resulting from the creation of original Australian work. For Australian creatives and professionals, it provides opportunities to work on new productions that significantly enhances their skills and career prospects. New original works result in Australian-owned creative intellectual property. This provides opportunities for new works to be licensed overseas, resulting in royalties flowing back to Australian copyright owners and investors, including the Federal Government if they were to retain an equity stake.</w:t>
      </w:r>
      <w:r w:rsidR="007E3FC6" w:rsidRPr="00AA4C1E">
        <w:rPr>
          <w:rFonts w:cs="Arial"/>
          <w:color w:val="000000"/>
          <w:sz w:val="21"/>
          <w:szCs w:val="21"/>
        </w:rPr>
        <w:t xml:space="preserve"> </w:t>
      </w:r>
    </w:p>
    <w:p w14:paraId="61139F69" w14:textId="77777777" w:rsidR="00AD71B5" w:rsidRPr="00AA4C1E" w:rsidRDefault="00AD71B5" w:rsidP="00AD71B5">
      <w:pPr>
        <w:widowControl w:val="0"/>
        <w:autoSpaceDE w:val="0"/>
        <w:autoSpaceDN w:val="0"/>
        <w:adjustRightInd w:val="0"/>
        <w:spacing w:after="0"/>
        <w:ind w:right="133"/>
        <w:textAlignment w:val="center"/>
        <w:rPr>
          <w:rFonts w:cs="Arial"/>
          <w:color w:val="000000"/>
          <w:sz w:val="21"/>
          <w:szCs w:val="21"/>
        </w:rPr>
      </w:pPr>
    </w:p>
    <w:p w14:paraId="036A4089" w14:textId="398DC2A8" w:rsidR="007F6AE7" w:rsidRPr="00AA4C1E" w:rsidRDefault="00AD71B5" w:rsidP="007F6AE7">
      <w:pPr>
        <w:widowControl w:val="0"/>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LPA</w:t>
      </w:r>
      <w:r w:rsidR="007E3FC6" w:rsidRPr="00AA4C1E">
        <w:rPr>
          <w:rFonts w:cs="Arial"/>
          <w:color w:val="000000"/>
          <w:sz w:val="21"/>
          <w:szCs w:val="21"/>
        </w:rPr>
        <w:t xml:space="preserve"> </w:t>
      </w:r>
      <w:r w:rsidRPr="00AA4C1E">
        <w:rPr>
          <w:rFonts w:cs="Arial"/>
          <w:color w:val="000000"/>
          <w:sz w:val="21"/>
          <w:szCs w:val="21"/>
        </w:rPr>
        <w:t>is</w:t>
      </w:r>
      <w:r w:rsidR="007E3FC6" w:rsidRPr="00AA4C1E">
        <w:rPr>
          <w:rFonts w:cs="Arial"/>
          <w:color w:val="000000"/>
          <w:sz w:val="21"/>
          <w:szCs w:val="21"/>
        </w:rPr>
        <w:t xml:space="preserve"> aware of several Australian </w:t>
      </w:r>
      <w:r w:rsidR="00B441D9" w:rsidRPr="00AA4C1E">
        <w:rPr>
          <w:rFonts w:cs="Arial"/>
          <w:color w:val="000000"/>
          <w:sz w:val="21"/>
          <w:szCs w:val="21"/>
        </w:rPr>
        <w:t xml:space="preserve">theatrical </w:t>
      </w:r>
      <w:r w:rsidR="007E3FC6" w:rsidRPr="00AA4C1E">
        <w:rPr>
          <w:rFonts w:cs="Arial"/>
          <w:color w:val="000000"/>
          <w:sz w:val="21"/>
          <w:szCs w:val="21"/>
        </w:rPr>
        <w:t xml:space="preserve">producers that have chosen to produce new work in overseas territories, particularly the UK, due to the more competitive financing </w:t>
      </w:r>
      <w:r w:rsidRPr="00AA4C1E">
        <w:rPr>
          <w:rFonts w:cs="Arial"/>
          <w:color w:val="000000"/>
          <w:sz w:val="21"/>
          <w:szCs w:val="21"/>
        </w:rPr>
        <w:t xml:space="preserve">incentives </w:t>
      </w:r>
      <w:r w:rsidR="007E3FC6" w:rsidRPr="00AA4C1E">
        <w:rPr>
          <w:rFonts w:cs="Arial"/>
          <w:color w:val="000000"/>
          <w:sz w:val="21"/>
          <w:szCs w:val="21"/>
        </w:rPr>
        <w:t>those jurisdictions provide</w:t>
      </w:r>
      <w:r w:rsidRPr="00AA4C1E">
        <w:rPr>
          <w:rFonts w:cs="Arial"/>
          <w:color w:val="000000"/>
          <w:sz w:val="21"/>
          <w:szCs w:val="21"/>
        </w:rPr>
        <w:t>.</w:t>
      </w:r>
      <w:r w:rsidRPr="00AA4C1E">
        <w:rPr>
          <w:sz w:val="21"/>
          <w:szCs w:val="21"/>
        </w:rPr>
        <w:t xml:space="preserve"> </w:t>
      </w:r>
      <w:r w:rsidRPr="00AA4C1E">
        <w:rPr>
          <w:rFonts w:cs="Arial"/>
          <w:color w:val="000000"/>
          <w:sz w:val="21"/>
          <w:szCs w:val="21"/>
        </w:rPr>
        <w:t xml:space="preserve">As a result, intellectual property royalties </w:t>
      </w:r>
      <w:r w:rsidR="00B441D9" w:rsidRPr="00AA4C1E">
        <w:rPr>
          <w:rFonts w:cs="Arial"/>
          <w:color w:val="000000"/>
          <w:sz w:val="21"/>
          <w:szCs w:val="21"/>
        </w:rPr>
        <w:t>and new jobs generated</w:t>
      </w:r>
      <w:r w:rsidRPr="00AA4C1E">
        <w:rPr>
          <w:rFonts w:cs="Arial"/>
          <w:color w:val="000000"/>
          <w:sz w:val="21"/>
          <w:szCs w:val="21"/>
        </w:rPr>
        <w:t xml:space="preserve"> </w:t>
      </w:r>
      <w:r w:rsidR="00B441D9" w:rsidRPr="00AA4C1E">
        <w:rPr>
          <w:rFonts w:cs="Arial"/>
          <w:color w:val="000000"/>
          <w:sz w:val="21"/>
          <w:szCs w:val="21"/>
        </w:rPr>
        <w:t xml:space="preserve">by the </w:t>
      </w:r>
      <w:r w:rsidRPr="00AA4C1E">
        <w:rPr>
          <w:rFonts w:cs="Arial"/>
          <w:color w:val="000000"/>
          <w:sz w:val="21"/>
          <w:szCs w:val="21"/>
        </w:rPr>
        <w:t xml:space="preserve">successful works by Australian creatives are </w:t>
      </w:r>
      <w:r w:rsidR="00B441D9" w:rsidRPr="00AA4C1E">
        <w:rPr>
          <w:rFonts w:cs="Arial"/>
          <w:color w:val="000000"/>
          <w:sz w:val="21"/>
          <w:szCs w:val="21"/>
        </w:rPr>
        <w:t>being created</w:t>
      </w:r>
      <w:r w:rsidRPr="00AA4C1E">
        <w:rPr>
          <w:rFonts w:cs="Arial"/>
          <w:color w:val="000000"/>
          <w:sz w:val="21"/>
          <w:szCs w:val="21"/>
        </w:rPr>
        <w:t xml:space="preserve"> overseas. </w:t>
      </w:r>
      <w:r w:rsidR="00AC6C6B" w:rsidRPr="00AA4C1E">
        <w:rPr>
          <w:rFonts w:cs="Arial"/>
          <w:color w:val="000000"/>
          <w:sz w:val="21"/>
          <w:szCs w:val="21"/>
        </w:rPr>
        <w:t>To avoid more lost opportunities for Australian-owned work, t</w:t>
      </w:r>
      <w:r w:rsidR="007F6AE7" w:rsidRPr="00AA4C1E">
        <w:rPr>
          <w:rFonts w:cs="Arial"/>
          <w:color w:val="000000"/>
          <w:sz w:val="21"/>
          <w:szCs w:val="21"/>
        </w:rPr>
        <w:t>he Federa</w:t>
      </w:r>
      <w:r w:rsidR="007E3FC6" w:rsidRPr="00AA4C1E">
        <w:rPr>
          <w:rFonts w:cs="Arial"/>
          <w:color w:val="000000"/>
          <w:sz w:val="21"/>
          <w:szCs w:val="21"/>
        </w:rPr>
        <w:t xml:space="preserve">l Government should implement an </w:t>
      </w:r>
      <w:r w:rsidR="007F6AE7" w:rsidRPr="00AA4C1E">
        <w:rPr>
          <w:rFonts w:cs="Arial"/>
          <w:color w:val="000000"/>
          <w:sz w:val="21"/>
          <w:szCs w:val="21"/>
        </w:rPr>
        <w:t xml:space="preserve">initiative to support the creation of new work </w:t>
      </w:r>
      <w:r w:rsidR="00AC6C6B" w:rsidRPr="00AA4C1E">
        <w:rPr>
          <w:rFonts w:cs="Arial"/>
          <w:color w:val="000000"/>
          <w:sz w:val="21"/>
          <w:szCs w:val="21"/>
        </w:rPr>
        <w:t xml:space="preserve">in </w:t>
      </w:r>
      <w:r w:rsidR="007F6AE7" w:rsidRPr="00AA4C1E">
        <w:rPr>
          <w:rFonts w:cs="Arial"/>
          <w:color w:val="000000"/>
          <w:sz w:val="21"/>
          <w:szCs w:val="21"/>
        </w:rPr>
        <w:t xml:space="preserve">Australia. A seed fund to support the creation of more original ‘works of scale’ by Australians could give priority to those works that: </w:t>
      </w:r>
    </w:p>
    <w:p w14:paraId="1E3A7B3F" w14:textId="77777777" w:rsidR="007F6AE7" w:rsidRPr="00AA4C1E" w:rsidRDefault="007F6AE7" w:rsidP="007F6AE7">
      <w:pPr>
        <w:widowControl w:val="0"/>
        <w:numPr>
          <w:ilvl w:val="0"/>
          <w:numId w:val="24"/>
        </w:numPr>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 xml:space="preserve">have potential for domestic and international IP or licensing exploitation; </w:t>
      </w:r>
    </w:p>
    <w:p w14:paraId="4496F18F" w14:textId="77777777" w:rsidR="007F6AE7" w:rsidRPr="00AA4C1E" w:rsidRDefault="007F6AE7" w:rsidP="007F6AE7">
      <w:pPr>
        <w:widowControl w:val="0"/>
        <w:numPr>
          <w:ilvl w:val="0"/>
          <w:numId w:val="24"/>
        </w:numPr>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 xml:space="preserve">create employment for Australian creatives, performers and technicians; </w:t>
      </w:r>
    </w:p>
    <w:p w14:paraId="6DBDD456" w14:textId="0D6E598B" w:rsidR="007F6AE7" w:rsidRPr="00AA4C1E" w:rsidRDefault="00B85513" w:rsidP="007F6AE7">
      <w:pPr>
        <w:widowControl w:val="0"/>
        <w:numPr>
          <w:ilvl w:val="0"/>
          <w:numId w:val="24"/>
        </w:numPr>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 xml:space="preserve">have potential to </w:t>
      </w:r>
      <w:r w:rsidR="007F6AE7" w:rsidRPr="00AA4C1E">
        <w:rPr>
          <w:rFonts w:cs="Arial"/>
          <w:color w:val="000000"/>
          <w:sz w:val="21"/>
          <w:szCs w:val="21"/>
        </w:rPr>
        <w:t>increase tourism; and</w:t>
      </w:r>
    </w:p>
    <w:p w14:paraId="2687DBD5" w14:textId="77777777" w:rsidR="007F6AE7" w:rsidRPr="00AA4C1E" w:rsidRDefault="007F6AE7" w:rsidP="007F6AE7">
      <w:pPr>
        <w:widowControl w:val="0"/>
        <w:numPr>
          <w:ilvl w:val="0"/>
          <w:numId w:val="24"/>
        </w:numPr>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 xml:space="preserve">demonstrate market demand. </w:t>
      </w:r>
    </w:p>
    <w:p w14:paraId="5860D20E" w14:textId="0FCD6BB8" w:rsidR="00AD71B5" w:rsidRDefault="00AD71B5" w:rsidP="007F6AE7">
      <w:pPr>
        <w:widowControl w:val="0"/>
        <w:autoSpaceDE w:val="0"/>
        <w:autoSpaceDN w:val="0"/>
        <w:adjustRightInd w:val="0"/>
        <w:spacing w:after="0"/>
        <w:ind w:right="133"/>
        <w:textAlignment w:val="center"/>
        <w:rPr>
          <w:rFonts w:cs="Arial"/>
          <w:color w:val="000000"/>
          <w:sz w:val="21"/>
          <w:szCs w:val="21"/>
        </w:rPr>
      </w:pPr>
    </w:p>
    <w:p w14:paraId="56AA1F06" w14:textId="77777777" w:rsidR="00813F32" w:rsidRPr="00AA4C1E" w:rsidRDefault="00813F32" w:rsidP="007F6AE7">
      <w:pPr>
        <w:widowControl w:val="0"/>
        <w:autoSpaceDE w:val="0"/>
        <w:autoSpaceDN w:val="0"/>
        <w:adjustRightInd w:val="0"/>
        <w:spacing w:after="0"/>
        <w:ind w:right="133"/>
        <w:textAlignment w:val="center"/>
        <w:rPr>
          <w:rFonts w:cs="Arial"/>
          <w:color w:val="000000"/>
          <w:sz w:val="21"/>
          <w:szCs w:val="21"/>
        </w:rPr>
      </w:pPr>
    </w:p>
    <w:p w14:paraId="0FD45255" w14:textId="77777777" w:rsidR="007F6AE7" w:rsidRPr="00AA4C1E" w:rsidRDefault="007F6AE7" w:rsidP="007F6AE7">
      <w:pPr>
        <w:widowControl w:val="0"/>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 xml:space="preserve">Access to the seed fund would be open to not-for-profit and commercial companies. Criteria for seed investment in works of scale would include, for example: venue size (600-2000); cast, creative and technicians (minimum of 12 employees); and matched funding. </w:t>
      </w:r>
    </w:p>
    <w:p w14:paraId="5F674165" w14:textId="77777777" w:rsidR="007F6AE7" w:rsidRPr="00AA4C1E" w:rsidRDefault="007F6AE7" w:rsidP="007F6AE7">
      <w:pPr>
        <w:widowControl w:val="0"/>
        <w:autoSpaceDE w:val="0"/>
        <w:autoSpaceDN w:val="0"/>
        <w:adjustRightInd w:val="0"/>
        <w:spacing w:after="0"/>
        <w:ind w:right="133"/>
        <w:textAlignment w:val="center"/>
        <w:rPr>
          <w:rFonts w:cs="Arial"/>
          <w:color w:val="000000"/>
          <w:sz w:val="21"/>
          <w:szCs w:val="21"/>
        </w:rPr>
      </w:pPr>
    </w:p>
    <w:p w14:paraId="35701721" w14:textId="6B87C1A0" w:rsidR="002617AC" w:rsidRDefault="007E3FC6" w:rsidP="003B595B">
      <w:pPr>
        <w:widowControl w:val="0"/>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The Victorian Government has acknowledged the potential in supporting the creation of original works of scale.</w:t>
      </w:r>
      <w:r w:rsidR="00743C02">
        <w:rPr>
          <w:rFonts w:cs="Arial"/>
          <w:color w:val="000000"/>
          <w:sz w:val="21"/>
          <w:szCs w:val="21"/>
        </w:rPr>
        <w:t xml:space="preserve"> In 2017, i</w:t>
      </w:r>
      <w:r w:rsidR="00A93A5D">
        <w:rPr>
          <w:rFonts w:cs="Arial"/>
          <w:color w:val="000000"/>
          <w:sz w:val="21"/>
          <w:szCs w:val="21"/>
        </w:rPr>
        <w:t>t established</w:t>
      </w:r>
      <w:r w:rsidR="00743C02">
        <w:rPr>
          <w:rFonts w:cs="Arial"/>
          <w:color w:val="000000"/>
          <w:sz w:val="21"/>
          <w:szCs w:val="21"/>
        </w:rPr>
        <w:t xml:space="preserve"> a new program,</w:t>
      </w:r>
      <w:r w:rsidR="00A93A5D">
        <w:rPr>
          <w:rFonts w:cs="Arial"/>
          <w:color w:val="000000"/>
          <w:sz w:val="21"/>
          <w:szCs w:val="21"/>
        </w:rPr>
        <w:t xml:space="preserve"> </w:t>
      </w:r>
      <w:r w:rsidR="00A93A5D" w:rsidRPr="00743C02">
        <w:rPr>
          <w:rFonts w:cs="Arial"/>
          <w:i/>
          <w:color w:val="000000"/>
          <w:sz w:val="21"/>
          <w:szCs w:val="21"/>
        </w:rPr>
        <w:t>Creative State Commissions</w:t>
      </w:r>
      <w:r w:rsidR="00743C02">
        <w:rPr>
          <w:rFonts w:cs="Arial"/>
          <w:color w:val="000000"/>
          <w:sz w:val="21"/>
          <w:szCs w:val="21"/>
        </w:rPr>
        <w:t>,</w:t>
      </w:r>
      <w:r w:rsidR="00A93A5D">
        <w:rPr>
          <w:rFonts w:cs="Arial"/>
          <w:color w:val="000000"/>
          <w:sz w:val="21"/>
          <w:szCs w:val="21"/>
        </w:rPr>
        <w:t xml:space="preserve"> to support </w:t>
      </w:r>
      <w:r w:rsidR="00743C02">
        <w:rPr>
          <w:rFonts w:cs="Arial"/>
          <w:color w:val="000000"/>
          <w:sz w:val="21"/>
          <w:szCs w:val="21"/>
        </w:rPr>
        <w:t xml:space="preserve">major new works that are </w:t>
      </w:r>
      <w:r w:rsidRPr="00AA4C1E">
        <w:rPr>
          <w:rFonts w:cs="Arial"/>
          <w:color w:val="000000"/>
          <w:sz w:val="21"/>
          <w:szCs w:val="21"/>
        </w:rPr>
        <w:t>“ambitious and ground-breaking, with the power to inspire others, generate widespread audience and community engagement and increase tourism</w:t>
      </w:r>
      <w:r w:rsidR="00743C02">
        <w:rPr>
          <w:rFonts w:cs="Arial"/>
          <w:color w:val="000000"/>
          <w:sz w:val="21"/>
          <w:szCs w:val="21"/>
        </w:rPr>
        <w:t>.</w:t>
      </w:r>
      <w:r w:rsidRPr="00AA4C1E">
        <w:rPr>
          <w:rFonts w:cs="Arial"/>
          <w:color w:val="000000"/>
          <w:sz w:val="21"/>
          <w:szCs w:val="21"/>
        </w:rPr>
        <w:t>”</w:t>
      </w:r>
      <w:r w:rsidRPr="00AA4C1E">
        <w:rPr>
          <w:rFonts w:cs="Arial"/>
          <w:color w:val="000000"/>
          <w:sz w:val="21"/>
          <w:szCs w:val="21"/>
          <w:vertAlign w:val="superscript"/>
        </w:rPr>
        <w:footnoteReference w:id="6"/>
      </w:r>
      <w:r w:rsidRPr="00AA4C1E">
        <w:rPr>
          <w:rFonts w:cs="Arial"/>
          <w:color w:val="000000"/>
          <w:sz w:val="21"/>
          <w:szCs w:val="21"/>
        </w:rPr>
        <w:t xml:space="preserve"> </w:t>
      </w:r>
      <w:r w:rsidR="00743C02">
        <w:rPr>
          <w:rFonts w:cs="Arial"/>
          <w:color w:val="000000"/>
          <w:sz w:val="21"/>
          <w:szCs w:val="21"/>
        </w:rPr>
        <w:t xml:space="preserve">Two performing arts </w:t>
      </w:r>
      <w:proofErr w:type="spellStart"/>
      <w:r w:rsidR="00743C02">
        <w:rPr>
          <w:rFonts w:cs="Arial"/>
          <w:color w:val="000000"/>
          <w:sz w:val="21"/>
          <w:szCs w:val="21"/>
        </w:rPr>
        <w:t>organisations</w:t>
      </w:r>
      <w:proofErr w:type="spellEnd"/>
      <w:r w:rsidR="00743C02">
        <w:rPr>
          <w:rFonts w:cs="Arial"/>
          <w:color w:val="000000"/>
          <w:sz w:val="21"/>
          <w:szCs w:val="21"/>
        </w:rPr>
        <w:t xml:space="preserve"> (</w:t>
      </w:r>
      <w:proofErr w:type="spellStart"/>
      <w:r w:rsidR="00743C02">
        <w:rPr>
          <w:rFonts w:cs="Arial"/>
          <w:color w:val="000000"/>
          <w:sz w:val="21"/>
          <w:szCs w:val="21"/>
        </w:rPr>
        <w:t>Ilbijerri</w:t>
      </w:r>
      <w:proofErr w:type="spellEnd"/>
      <w:r w:rsidR="00743C02">
        <w:rPr>
          <w:rFonts w:cs="Arial"/>
          <w:color w:val="000000"/>
          <w:sz w:val="21"/>
          <w:szCs w:val="21"/>
        </w:rPr>
        <w:t xml:space="preserve"> Theatre Company and Malthouse Theatre) are among the first recipients of funding under this program</w:t>
      </w:r>
      <w:r w:rsidRPr="00AA4C1E">
        <w:rPr>
          <w:rFonts w:cs="Arial"/>
          <w:color w:val="000000"/>
          <w:sz w:val="21"/>
          <w:szCs w:val="21"/>
        </w:rPr>
        <w:t>. As a state initiative the impact and benefits are limited to Victoria. A Federal Government seed funding initiative would provide greater national impact and value.</w:t>
      </w:r>
    </w:p>
    <w:p w14:paraId="636A8CDF" w14:textId="77777777" w:rsidR="00AA4C1E" w:rsidRPr="00AA4C1E" w:rsidRDefault="00AA4C1E" w:rsidP="003B595B">
      <w:pPr>
        <w:widowControl w:val="0"/>
        <w:autoSpaceDE w:val="0"/>
        <w:autoSpaceDN w:val="0"/>
        <w:adjustRightInd w:val="0"/>
        <w:spacing w:after="0"/>
        <w:ind w:right="133"/>
        <w:textAlignment w:val="center"/>
        <w:rPr>
          <w:rFonts w:cs="Arial"/>
          <w:color w:val="000000"/>
          <w:sz w:val="21"/>
          <w:szCs w:val="21"/>
          <w:lang w:val="en-GB"/>
        </w:rPr>
      </w:pPr>
    </w:p>
    <w:p w14:paraId="225D9A52" w14:textId="33A86A6C" w:rsidR="0069392A" w:rsidRDefault="0069392A" w:rsidP="007F6AE7">
      <w:pPr>
        <w:pStyle w:val="ListParagraph"/>
        <w:numPr>
          <w:ilvl w:val="0"/>
          <w:numId w:val="5"/>
        </w:numPr>
        <w:rPr>
          <w:rFonts w:cs="Arial"/>
          <w:b/>
          <w:bCs/>
          <w:color w:val="ED1E42"/>
          <w:sz w:val="24"/>
          <w:szCs w:val="24"/>
          <w:lang w:val="en-GB"/>
        </w:rPr>
      </w:pPr>
      <w:r>
        <w:rPr>
          <w:rFonts w:cs="Arial"/>
          <w:b/>
          <w:bCs/>
          <w:color w:val="ED1E42"/>
          <w:sz w:val="24"/>
          <w:szCs w:val="24"/>
          <w:lang w:val="en-GB"/>
        </w:rPr>
        <w:t>AUSTRALIA COUNCIL</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D3D4"/>
        <w:tblLook w:val="04A0" w:firstRow="1" w:lastRow="0" w:firstColumn="1" w:lastColumn="0" w:noHBand="0" w:noVBand="1"/>
      </w:tblPr>
      <w:tblGrid>
        <w:gridCol w:w="8931"/>
      </w:tblGrid>
      <w:tr w:rsidR="0069392A" w:rsidRPr="00AA4C1E" w14:paraId="598953B9" w14:textId="77777777" w:rsidTr="00043FAA">
        <w:trPr>
          <w:trHeight w:val="1009"/>
        </w:trPr>
        <w:tc>
          <w:tcPr>
            <w:tcW w:w="8931" w:type="dxa"/>
            <w:shd w:val="clear" w:color="auto" w:fill="D0D3D4"/>
          </w:tcPr>
          <w:p w14:paraId="5CA0C9A1" w14:textId="77777777" w:rsidR="0069392A" w:rsidRPr="0069392A" w:rsidRDefault="0069392A" w:rsidP="0069392A">
            <w:pPr>
              <w:autoSpaceDE w:val="0"/>
              <w:autoSpaceDN w:val="0"/>
              <w:adjustRightInd w:val="0"/>
              <w:spacing w:before="120" w:after="0" w:line="300" w:lineRule="exact"/>
              <w:rPr>
                <w:rFonts w:cs="Arial"/>
                <w:b/>
                <w:sz w:val="21"/>
                <w:szCs w:val="21"/>
              </w:rPr>
            </w:pPr>
            <w:r w:rsidRPr="0069392A">
              <w:rPr>
                <w:rFonts w:cs="Arial"/>
                <w:b/>
                <w:sz w:val="21"/>
                <w:szCs w:val="21"/>
              </w:rPr>
              <w:t xml:space="preserve">Budget request 3: </w:t>
            </w:r>
          </w:p>
          <w:p w14:paraId="1F63FA62" w14:textId="7C875A6B" w:rsidR="0069392A" w:rsidRPr="0069392A" w:rsidRDefault="0069392A" w:rsidP="0069392A">
            <w:pPr>
              <w:autoSpaceDE w:val="0"/>
              <w:autoSpaceDN w:val="0"/>
              <w:adjustRightInd w:val="0"/>
              <w:spacing w:after="120" w:line="300" w:lineRule="exact"/>
              <w:rPr>
                <w:rFonts w:cs="Arial"/>
                <w:b/>
                <w:sz w:val="21"/>
                <w:szCs w:val="21"/>
              </w:rPr>
            </w:pPr>
            <w:r w:rsidRPr="0069392A">
              <w:rPr>
                <w:rFonts w:cs="Arial"/>
                <w:sz w:val="21"/>
                <w:szCs w:val="21"/>
              </w:rPr>
              <w:t>Provide an additional $</w:t>
            </w:r>
            <w:r w:rsidR="00AC037F">
              <w:rPr>
                <w:rFonts w:cs="Arial"/>
                <w:sz w:val="21"/>
                <w:szCs w:val="21"/>
              </w:rPr>
              <w:t>20</w:t>
            </w:r>
            <w:r w:rsidRPr="0069392A">
              <w:rPr>
                <w:rFonts w:cs="Arial"/>
                <w:sz w:val="21"/>
                <w:szCs w:val="21"/>
              </w:rPr>
              <w:t xml:space="preserve"> million per annum over 4 years to the Australia Council</w:t>
            </w:r>
          </w:p>
        </w:tc>
      </w:tr>
    </w:tbl>
    <w:p w14:paraId="045DBD0C" w14:textId="77777777" w:rsidR="0069392A" w:rsidRPr="00AA4C1E" w:rsidRDefault="0069392A" w:rsidP="0069392A">
      <w:pPr>
        <w:widowControl w:val="0"/>
        <w:autoSpaceDE w:val="0"/>
        <w:autoSpaceDN w:val="0"/>
        <w:adjustRightInd w:val="0"/>
        <w:spacing w:after="0"/>
        <w:ind w:right="133"/>
        <w:textAlignment w:val="center"/>
        <w:rPr>
          <w:rFonts w:cs="Arial"/>
          <w:color w:val="000000"/>
          <w:sz w:val="21"/>
          <w:szCs w:val="21"/>
          <w:lang w:val="en-GB"/>
        </w:rPr>
      </w:pPr>
    </w:p>
    <w:p w14:paraId="3ED98A54" w14:textId="25393820" w:rsidR="001F5EC9" w:rsidRDefault="004F2F9F" w:rsidP="0069392A">
      <w:pPr>
        <w:rPr>
          <w:rFonts w:cs="Arial"/>
          <w:color w:val="000000"/>
          <w:sz w:val="21"/>
          <w:szCs w:val="21"/>
        </w:rPr>
      </w:pPr>
      <w:r>
        <w:rPr>
          <w:rFonts w:cs="Arial"/>
          <w:color w:val="000000"/>
          <w:sz w:val="21"/>
          <w:szCs w:val="21"/>
        </w:rPr>
        <w:t>The Australia Council is the principal agency through which the Federal Government funds and supports arts and cultural activity in Australia. In recent years, funding</w:t>
      </w:r>
      <w:r w:rsidR="0022024C">
        <w:rPr>
          <w:rFonts w:cs="Arial"/>
          <w:color w:val="000000"/>
          <w:sz w:val="21"/>
          <w:szCs w:val="21"/>
        </w:rPr>
        <w:t xml:space="preserve"> to the Australia Council</w:t>
      </w:r>
      <w:r>
        <w:rPr>
          <w:rFonts w:cs="Arial"/>
          <w:color w:val="000000"/>
          <w:sz w:val="21"/>
          <w:szCs w:val="21"/>
        </w:rPr>
        <w:t xml:space="preserve"> has been significantly </w:t>
      </w:r>
      <w:r w:rsidR="0022024C">
        <w:rPr>
          <w:rFonts w:cs="Arial"/>
          <w:color w:val="000000"/>
          <w:sz w:val="21"/>
          <w:szCs w:val="21"/>
        </w:rPr>
        <w:t xml:space="preserve">reduced, placing pressure on the </w:t>
      </w:r>
      <w:proofErr w:type="spellStart"/>
      <w:r w:rsidR="0022024C">
        <w:rPr>
          <w:rFonts w:cs="Arial"/>
          <w:color w:val="000000"/>
          <w:sz w:val="21"/>
          <w:szCs w:val="21"/>
        </w:rPr>
        <w:t>organisation</w:t>
      </w:r>
      <w:proofErr w:type="spellEnd"/>
      <w:r w:rsidR="0022024C">
        <w:rPr>
          <w:rFonts w:cs="Arial"/>
          <w:color w:val="000000"/>
          <w:sz w:val="21"/>
          <w:szCs w:val="21"/>
        </w:rPr>
        <w:t xml:space="preserve"> to fulfil its strategic plan </w:t>
      </w:r>
      <w:r w:rsidR="00D52C0C">
        <w:rPr>
          <w:rFonts w:cs="Arial"/>
          <w:color w:val="000000"/>
          <w:sz w:val="21"/>
          <w:szCs w:val="21"/>
        </w:rPr>
        <w:t>and limit</w:t>
      </w:r>
      <w:r w:rsidR="00903687">
        <w:rPr>
          <w:rFonts w:cs="Arial"/>
          <w:color w:val="000000"/>
          <w:sz w:val="21"/>
          <w:szCs w:val="21"/>
        </w:rPr>
        <w:t>ing</w:t>
      </w:r>
      <w:r w:rsidR="00D52C0C">
        <w:rPr>
          <w:rFonts w:cs="Arial"/>
          <w:color w:val="000000"/>
          <w:sz w:val="21"/>
          <w:szCs w:val="21"/>
        </w:rPr>
        <w:t xml:space="preserve"> its capacity to support </w:t>
      </w:r>
      <w:r w:rsidR="0022024C">
        <w:rPr>
          <w:rFonts w:cs="Arial"/>
          <w:color w:val="000000"/>
          <w:sz w:val="21"/>
          <w:szCs w:val="21"/>
        </w:rPr>
        <w:t xml:space="preserve">the needs of the arts sector.  </w:t>
      </w:r>
    </w:p>
    <w:p w14:paraId="47247F4F" w14:textId="2EA8ABC0" w:rsidR="007B43B4" w:rsidRDefault="007B43B4" w:rsidP="0069392A">
      <w:pPr>
        <w:rPr>
          <w:rFonts w:cs="Arial"/>
          <w:color w:val="000000"/>
          <w:sz w:val="21"/>
          <w:szCs w:val="21"/>
        </w:rPr>
      </w:pPr>
      <w:r>
        <w:rPr>
          <w:rFonts w:cs="Arial"/>
          <w:color w:val="000000"/>
          <w:sz w:val="21"/>
          <w:szCs w:val="21"/>
        </w:rPr>
        <w:t xml:space="preserve">LPA seeks an additional $20 million per annum </w:t>
      </w:r>
      <w:r w:rsidR="004A3A5F">
        <w:rPr>
          <w:rFonts w:cs="Arial"/>
          <w:color w:val="000000"/>
          <w:sz w:val="21"/>
          <w:szCs w:val="21"/>
        </w:rPr>
        <w:t xml:space="preserve">over 4 years </w:t>
      </w:r>
      <w:r>
        <w:rPr>
          <w:rFonts w:cs="Arial"/>
          <w:color w:val="000000"/>
          <w:sz w:val="21"/>
          <w:szCs w:val="21"/>
        </w:rPr>
        <w:t xml:space="preserve">to the Australia Council to unlock Australia’s creative and cultural potential. The additional funding would allow the Australia Council to:  </w:t>
      </w:r>
    </w:p>
    <w:p w14:paraId="64C07B1C" w14:textId="51B29E28" w:rsidR="0008344A" w:rsidRDefault="007B43B4" w:rsidP="0069392A">
      <w:pPr>
        <w:pStyle w:val="ListParagraph"/>
        <w:numPr>
          <w:ilvl w:val="0"/>
          <w:numId w:val="29"/>
        </w:numPr>
        <w:rPr>
          <w:rFonts w:cs="Arial"/>
          <w:color w:val="000000"/>
          <w:sz w:val="21"/>
          <w:szCs w:val="21"/>
        </w:rPr>
      </w:pPr>
      <w:r>
        <w:rPr>
          <w:rFonts w:cs="Arial"/>
          <w:color w:val="000000"/>
          <w:sz w:val="21"/>
          <w:szCs w:val="21"/>
        </w:rPr>
        <w:t xml:space="preserve">Further invest in programs to support </w:t>
      </w:r>
      <w:r w:rsidR="0008344A" w:rsidRPr="007B43B4">
        <w:rPr>
          <w:rFonts w:cs="Arial"/>
          <w:color w:val="000000"/>
          <w:sz w:val="21"/>
          <w:szCs w:val="21"/>
        </w:rPr>
        <w:t xml:space="preserve">the </w:t>
      </w:r>
      <w:r w:rsidRPr="007B43B4">
        <w:rPr>
          <w:rFonts w:cs="Arial"/>
          <w:color w:val="000000"/>
          <w:sz w:val="21"/>
          <w:szCs w:val="21"/>
        </w:rPr>
        <w:t>sustainability</w:t>
      </w:r>
      <w:r w:rsidR="0008344A" w:rsidRPr="007B43B4">
        <w:rPr>
          <w:rFonts w:cs="Arial"/>
          <w:color w:val="000000"/>
          <w:sz w:val="21"/>
          <w:szCs w:val="21"/>
        </w:rPr>
        <w:t xml:space="preserve"> and growth of the </w:t>
      </w:r>
      <w:r w:rsidR="00B01A6C">
        <w:rPr>
          <w:rFonts w:cs="Arial"/>
          <w:color w:val="000000"/>
          <w:sz w:val="21"/>
          <w:szCs w:val="21"/>
        </w:rPr>
        <w:t xml:space="preserve">performing </w:t>
      </w:r>
      <w:r w:rsidR="0008344A" w:rsidRPr="007B43B4">
        <w:rPr>
          <w:rFonts w:cs="Arial"/>
          <w:color w:val="000000"/>
          <w:sz w:val="21"/>
          <w:szCs w:val="21"/>
        </w:rPr>
        <w:t>arts sector</w:t>
      </w:r>
      <w:r>
        <w:rPr>
          <w:rFonts w:cs="Arial"/>
          <w:color w:val="000000"/>
          <w:sz w:val="21"/>
          <w:szCs w:val="21"/>
        </w:rPr>
        <w:t xml:space="preserve">. This </w:t>
      </w:r>
      <w:r w:rsidR="00F87DC0">
        <w:rPr>
          <w:rFonts w:cs="Arial"/>
          <w:color w:val="000000"/>
          <w:sz w:val="21"/>
          <w:szCs w:val="21"/>
        </w:rPr>
        <w:t>c</w:t>
      </w:r>
      <w:r>
        <w:rPr>
          <w:rFonts w:cs="Arial"/>
          <w:color w:val="000000"/>
          <w:sz w:val="21"/>
          <w:szCs w:val="21"/>
        </w:rPr>
        <w:t>ould be achieved through</w:t>
      </w:r>
      <w:r w:rsidR="0085440C">
        <w:rPr>
          <w:rFonts w:cs="Arial"/>
          <w:color w:val="000000"/>
          <w:sz w:val="21"/>
          <w:szCs w:val="21"/>
        </w:rPr>
        <w:t xml:space="preserve"> supporting more</w:t>
      </w:r>
      <w:r>
        <w:rPr>
          <w:rFonts w:cs="Arial"/>
          <w:color w:val="000000"/>
          <w:sz w:val="21"/>
          <w:szCs w:val="21"/>
        </w:rPr>
        <w:t xml:space="preserve"> </w:t>
      </w:r>
      <w:r w:rsidR="0085440C" w:rsidRPr="007B43B4">
        <w:rPr>
          <w:rFonts w:cs="Arial"/>
          <w:color w:val="000000"/>
          <w:sz w:val="21"/>
          <w:szCs w:val="21"/>
        </w:rPr>
        <w:t xml:space="preserve">performing arts </w:t>
      </w:r>
      <w:proofErr w:type="spellStart"/>
      <w:r w:rsidR="0085440C" w:rsidRPr="007B43B4">
        <w:rPr>
          <w:rFonts w:cs="Arial"/>
          <w:color w:val="000000"/>
          <w:sz w:val="21"/>
          <w:szCs w:val="21"/>
        </w:rPr>
        <w:t>organisations</w:t>
      </w:r>
      <w:proofErr w:type="spellEnd"/>
      <w:r w:rsidR="0085440C" w:rsidRPr="007B43B4">
        <w:rPr>
          <w:rFonts w:cs="Arial"/>
          <w:color w:val="000000"/>
          <w:sz w:val="21"/>
          <w:szCs w:val="21"/>
        </w:rPr>
        <w:t xml:space="preserve"> and individual artists </w:t>
      </w:r>
      <w:r w:rsidR="0085440C">
        <w:rPr>
          <w:rFonts w:cs="Arial"/>
          <w:color w:val="000000"/>
          <w:sz w:val="21"/>
          <w:szCs w:val="21"/>
        </w:rPr>
        <w:t xml:space="preserve">with </w:t>
      </w:r>
      <w:r w:rsidRPr="007B43B4">
        <w:rPr>
          <w:rFonts w:cs="Arial"/>
          <w:color w:val="000000"/>
          <w:sz w:val="21"/>
          <w:szCs w:val="21"/>
        </w:rPr>
        <w:t xml:space="preserve">multi-year funding. </w:t>
      </w:r>
    </w:p>
    <w:p w14:paraId="2F050E54" w14:textId="78CE95B8" w:rsidR="0008344A" w:rsidRDefault="007B43B4" w:rsidP="0069392A">
      <w:pPr>
        <w:pStyle w:val="ListParagraph"/>
        <w:numPr>
          <w:ilvl w:val="0"/>
          <w:numId w:val="29"/>
        </w:numPr>
        <w:rPr>
          <w:rFonts w:cs="Arial"/>
          <w:color w:val="000000"/>
          <w:sz w:val="21"/>
          <w:szCs w:val="21"/>
        </w:rPr>
      </w:pPr>
      <w:r w:rsidRPr="007B43B4">
        <w:rPr>
          <w:rFonts w:cs="Arial"/>
          <w:color w:val="000000"/>
          <w:sz w:val="21"/>
          <w:szCs w:val="21"/>
        </w:rPr>
        <w:t xml:space="preserve">Address the low success rate of </w:t>
      </w:r>
      <w:r w:rsidR="0008344A" w:rsidRPr="007B43B4">
        <w:rPr>
          <w:rFonts w:cs="Arial"/>
          <w:color w:val="000000"/>
          <w:sz w:val="21"/>
          <w:szCs w:val="21"/>
        </w:rPr>
        <w:t>project grant funding applica</w:t>
      </w:r>
      <w:r>
        <w:rPr>
          <w:rFonts w:cs="Arial"/>
          <w:color w:val="000000"/>
          <w:sz w:val="21"/>
          <w:szCs w:val="21"/>
        </w:rPr>
        <w:t>nts</w:t>
      </w:r>
      <w:r w:rsidR="0008344A" w:rsidRPr="007B43B4">
        <w:rPr>
          <w:rFonts w:cs="Arial"/>
          <w:color w:val="000000"/>
          <w:sz w:val="21"/>
          <w:szCs w:val="21"/>
        </w:rPr>
        <w:t xml:space="preserve">. </w:t>
      </w:r>
      <w:r w:rsidR="00FE4651">
        <w:rPr>
          <w:rFonts w:cs="Arial"/>
          <w:color w:val="000000"/>
          <w:sz w:val="21"/>
          <w:szCs w:val="21"/>
        </w:rPr>
        <w:t xml:space="preserve">In the latest Australia Council grants round, </w:t>
      </w:r>
      <w:r>
        <w:rPr>
          <w:rFonts w:cs="Arial"/>
          <w:color w:val="000000"/>
          <w:sz w:val="21"/>
          <w:szCs w:val="21"/>
        </w:rPr>
        <w:t xml:space="preserve">only </w:t>
      </w:r>
      <w:r w:rsidR="00F87DC0" w:rsidRPr="00F87DC0">
        <w:rPr>
          <w:rFonts w:cs="Arial"/>
          <w:color w:val="000000"/>
          <w:sz w:val="21"/>
          <w:szCs w:val="21"/>
        </w:rPr>
        <w:t>13</w:t>
      </w:r>
      <w:r w:rsidRPr="00F87DC0">
        <w:rPr>
          <w:rFonts w:cs="Arial"/>
          <w:color w:val="000000"/>
          <w:sz w:val="21"/>
          <w:szCs w:val="21"/>
        </w:rPr>
        <w:t>%</w:t>
      </w:r>
      <w:r w:rsidR="00FE4651">
        <w:rPr>
          <w:rFonts w:cs="Arial"/>
          <w:color w:val="000000"/>
          <w:sz w:val="21"/>
          <w:szCs w:val="21"/>
        </w:rPr>
        <w:t xml:space="preserve"> (183)</w:t>
      </w:r>
      <w:r>
        <w:rPr>
          <w:rFonts w:cs="Arial"/>
          <w:color w:val="000000"/>
          <w:sz w:val="21"/>
          <w:szCs w:val="21"/>
        </w:rPr>
        <w:t xml:space="preserve"> of applications </w:t>
      </w:r>
      <w:r w:rsidR="002A7603">
        <w:rPr>
          <w:rFonts w:cs="Arial"/>
          <w:color w:val="000000"/>
          <w:sz w:val="21"/>
          <w:szCs w:val="21"/>
        </w:rPr>
        <w:t>we</w:t>
      </w:r>
      <w:r>
        <w:rPr>
          <w:rFonts w:cs="Arial"/>
          <w:color w:val="000000"/>
          <w:sz w:val="21"/>
          <w:szCs w:val="21"/>
        </w:rPr>
        <w:t>re successful</w:t>
      </w:r>
      <w:r w:rsidR="0006008E">
        <w:rPr>
          <w:rFonts w:cs="Arial"/>
          <w:color w:val="000000"/>
          <w:sz w:val="21"/>
          <w:szCs w:val="21"/>
        </w:rPr>
        <w:t xml:space="preserve">. </w:t>
      </w:r>
      <w:r w:rsidR="00FE4651">
        <w:rPr>
          <w:rFonts w:cs="Arial"/>
          <w:color w:val="000000"/>
          <w:sz w:val="21"/>
          <w:szCs w:val="21"/>
        </w:rPr>
        <w:t xml:space="preserve">A </w:t>
      </w:r>
      <w:r w:rsidR="00FE4651" w:rsidRPr="00FE4651">
        <w:rPr>
          <w:rFonts w:cs="Arial"/>
          <w:color w:val="000000"/>
          <w:sz w:val="21"/>
          <w:szCs w:val="21"/>
        </w:rPr>
        <w:t xml:space="preserve">further 271 projects were assessed by peers as being </w:t>
      </w:r>
      <w:r w:rsidR="0006008E">
        <w:rPr>
          <w:rFonts w:cs="Arial"/>
          <w:color w:val="000000"/>
          <w:sz w:val="21"/>
          <w:szCs w:val="21"/>
        </w:rPr>
        <w:t xml:space="preserve">worthy of receiving </w:t>
      </w:r>
      <w:r w:rsidR="0008344A" w:rsidRPr="007B43B4">
        <w:rPr>
          <w:rFonts w:cs="Arial"/>
          <w:color w:val="000000"/>
          <w:sz w:val="21"/>
          <w:szCs w:val="21"/>
        </w:rPr>
        <w:t xml:space="preserve">funding </w:t>
      </w:r>
      <w:r w:rsidR="0006008E">
        <w:rPr>
          <w:rFonts w:cs="Arial"/>
          <w:color w:val="000000"/>
          <w:sz w:val="21"/>
          <w:szCs w:val="21"/>
        </w:rPr>
        <w:t>but c</w:t>
      </w:r>
      <w:r w:rsidR="00FE4651">
        <w:rPr>
          <w:rFonts w:cs="Arial"/>
          <w:color w:val="000000"/>
          <w:sz w:val="21"/>
          <w:szCs w:val="21"/>
        </w:rPr>
        <w:t xml:space="preserve">ould </w:t>
      </w:r>
      <w:r w:rsidR="0006008E">
        <w:rPr>
          <w:rFonts w:cs="Arial"/>
          <w:color w:val="000000"/>
          <w:sz w:val="21"/>
          <w:szCs w:val="21"/>
        </w:rPr>
        <w:t xml:space="preserve">not be funded </w:t>
      </w:r>
      <w:r w:rsidR="0008344A" w:rsidRPr="007B43B4">
        <w:rPr>
          <w:rFonts w:cs="Arial"/>
          <w:color w:val="000000"/>
          <w:sz w:val="21"/>
          <w:szCs w:val="21"/>
        </w:rPr>
        <w:t xml:space="preserve">due to the Australia Council’s constrained </w:t>
      </w:r>
      <w:r w:rsidR="00F87DC0">
        <w:rPr>
          <w:rFonts w:cs="Arial"/>
          <w:color w:val="000000"/>
          <w:sz w:val="21"/>
          <w:szCs w:val="21"/>
        </w:rPr>
        <w:t xml:space="preserve">financial </w:t>
      </w:r>
      <w:r w:rsidR="0008344A" w:rsidRPr="007B43B4">
        <w:rPr>
          <w:rFonts w:cs="Arial"/>
          <w:color w:val="000000"/>
          <w:sz w:val="21"/>
          <w:szCs w:val="21"/>
        </w:rPr>
        <w:t>resources.</w:t>
      </w:r>
      <w:r w:rsidR="00FE4651">
        <w:rPr>
          <w:rStyle w:val="FootnoteReference"/>
          <w:rFonts w:cs="Arial"/>
          <w:color w:val="000000"/>
          <w:sz w:val="21"/>
          <w:szCs w:val="21"/>
        </w:rPr>
        <w:footnoteReference w:id="7"/>
      </w:r>
      <w:r w:rsidR="0008344A" w:rsidRPr="007B43B4">
        <w:rPr>
          <w:rFonts w:cs="Arial"/>
          <w:color w:val="000000"/>
          <w:sz w:val="21"/>
          <w:szCs w:val="21"/>
        </w:rPr>
        <w:t xml:space="preserve"> </w:t>
      </w:r>
      <w:r w:rsidRPr="007B43B4">
        <w:rPr>
          <w:rFonts w:cs="Arial"/>
          <w:color w:val="000000"/>
          <w:sz w:val="21"/>
          <w:szCs w:val="21"/>
        </w:rPr>
        <w:t>Additional funding would allow the Australia Council to increase the success rate of project funding applications</w:t>
      </w:r>
      <w:r w:rsidR="008E44FC">
        <w:rPr>
          <w:rFonts w:cs="Arial"/>
          <w:color w:val="000000"/>
          <w:sz w:val="21"/>
          <w:szCs w:val="21"/>
        </w:rPr>
        <w:t xml:space="preserve"> and further contribute to our nation’s cultural vibrancy. </w:t>
      </w:r>
    </w:p>
    <w:p w14:paraId="36565F69" w14:textId="77777777" w:rsidR="00E47196" w:rsidRDefault="007B43B4" w:rsidP="0069392A">
      <w:pPr>
        <w:pStyle w:val="ListParagraph"/>
        <w:numPr>
          <w:ilvl w:val="0"/>
          <w:numId w:val="29"/>
        </w:numPr>
        <w:rPr>
          <w:rFonts w:cs="Arial"/>
          <w:color w:val="000000"/>
          <w:sz w:val="21"/>
          <w:szCs w:val="21"/>
        </w:rPr>
      </w:pPr>
      <w:r>
        <w:rPr>
          <w:rFonts w:cs="Arial"/>
          <w:color w:val="000000"/>
          <w:sz w:val="21"/>
          <w:szCs w:val="21"/>
        </w:rPr>
        <w:t>Invest in strategic initiatives</w:t>
      </w:r>
      <w:r w:rsidR="003079CB">
        <w:rPr>
          <w:rFonts w:cs="Arial"/>
          <w:color w:val="000000"/>
          <w:sz w:val="21"/>
          <w:szCs w:val="21"/>
        </w:rPr>
        <w:t>, such as programs to</w:t>
      </w:r>
      <w:r w:rsidR="00E47196">
        <w:rPr>
          <w:rFonts w:cs="Arial"/>
          <w:color w:val="000000"/>
          <w:sz w:val="21"/>
          <w:szCs w:val="21"/>
        </w:rPr>
        <w:t>:</w:t>
      </w:r>
    </w:p>
    <w:p w14:paraId="17414AE8" w14:textId="77777777" w:rsidR="00E47196" w:rsidRDefault="003079CB" w:rsidP="00E47196">
      <w:pPr>
        <w:pStyle w:val="ListParagraph"/>
        <w:numPr>
          <w:ilvl w:val="1"/>
          <w:numId w:val="29"/>
        </w:numPr>
        <w:rPr>
          <w:rFonts w:cs="Arial"/>
          <w:color w:val="000000"/>
          <w:sz w:val="21"/>
          <w:szCs w:val="21"/>
        </w:rPr>
      </w:pPr>
      <w:r>
        <w:rPr>
          <w:rFonts w:cs="Arial"/>
          <w:color w:val="000000"/>
          <w:sz w:val="21"/>
          <w:szCs w:val="21"/>
        </w:rPr>
        <w:t xml:space="preserve">reach </w:t>
      </w:r>
      <w:r w:rsidR="005D6760">
        <w:rPr>
          <w:rFonts w:cs="Arial"/>
          <w:color w:val="000000"/>
          <w:sz w:val="21"/>
          <w:szCs w:val="21"/>
        </w:rPr>
        <w:t xml:space="preserve">and engage </w:t>
      </w:r>
      <w:r>
        <w:rPr>
          <w:rFonts w:cs="Arial"/>
          <w:color w:val="000000"/>
          <w:sz w:val="21"/>
          <w:szCs w:val="21"/>
        </w:rPr>
        <w:t>new and diverse audiences</w:t>
      </w:r>
    </w:p>
    <w:p w14:paraId="3047C6A1" w14:textId="0BC4C00A" w:rsidR="007B43B4" w:rsidRDefault="005D6760" w:rsidP="00E47196">
      <w:pPr>
        <w:pStyle w:val="ListParagraph"/>
        <w:numPr>
          <w:ilvl w:val="1"/>
          <w:numId w:val="29"/>
        </w:numPr>
        <w:rPr>
          <w:rFonts w:cs="Arial"/>
          <w:color w:val="000000"/>
          <w:sz w:val="21"/>
          <w:szCs w:val="21"/>
        </w:rPr>
      </w:pPr>
      <w:r>
        <w:rPr>
          <w:rFonts w:cs="Arial"/>
          <w:color w:val="000000"/>
          <w:sz w:val="21"/>
          <w:szCs w:val="21"/>
        </w:rPr>
        <w:t xml:space="preserve">equip future arts leaders with the skills they need </w:t>
      </w:r>
      <w:r w:rsidR="00E47196">
        <w:rPr>
          <w:rFonts w:cs="Arial"/>
          <w:color w:val="000000"/>
          <w:sz w:val="21"/>
          <w:szCs w:val="21"/>
        </w:rPr>
        <w:t xml:space="preserve">to respond to new and emerging opportunities and challenges </w:t>
      </w:r>
    </w:p>
    <w:p w14:paraId="1607EA0C" w14:textId="5B5874F7" w:rsidR="00E47196" w:rsidRDefault="00E2200C" w:rsidP="00E47196">
      <w:pPr>
        <w:pStyle w:val="ListParagraph"/>
        <w:numPr>
          <w:ilvl w:val="1"/>
          <w:numId w:val="29"/>
        </w:numPr>
        <w:rPr>
          <w:rFonts w:cs="Arial"/>
          <w:color w:val="000000"/>
          <w:sz w:val="21"/>
          <w:szCs w:val="21"/>
        </w:rPr>
      </w:pPr>
      <w:r>
        <w:rPr>
          <w:rFonts w:cs="Arial"/>
          <w:color w:val="000000"/>
          <w:sz w:val="21"/>
          <w:szCs w:val="21"/>
        </w:rPr>
        <w:t xml:space="preserve">showcase Australian works nationally and internationally. </w:t>
      </w:r>
    </w:p>
    <w:p w14:paraId="261D20B1" w14:textId="77777777" w:rsidR="00E2200C" w:rsidRDefault="00E2200C" w:rsidP="00E2200C">
      <w:pPr>
        <w:pStyle w:val="ListParagraph"/>
        <w:rPr>
          <w:rFonts w:cs="Arial"/>
          <w:color w:val="000000"/>
          <w:sz w:val="21"/>
          <w:szCs w:val="21"/>
        </w:rPr>
      </w:pPr>
    </w:p>
    <w:p w14:paraId="60528CDA" w14:textId="77777777" w:rsidR="007B43B4" w:rsidRPr="007B43B4" w:rsidRDefault="007B43B4" w:rsidP="007B43B4">
      <w:pPr>
        <w:pStyle w:val="ListParagraph"/>
        <w:rPr>
          <w:rFonts w:cs="Arial"/>
          <w:color w:val="000000"/>
          <w:sz w:val="21"/>
          <w:szCs w:val="21"/>
        </w:rPr>
      </w:pPr>
    </w:p>
    <w:p w14:paraId="13E0DA08" w14:textId="219092F3" w:rsidR="008A699F" w:rsidRPr="00AA4C1E" w:rsidRDefault="007F6AE7" w:rsidP="007F6AE7">
      <w:pPr>
        <w:pStyle w:val="ListParagraph"/>
        <w:numPr>
          <w:ilvl w:val="0"/>
          <w:numId w:val="5"/>
        </w:numPr>
        <w:rPr>
          <w:rFonts w:cs="Arial"/>
          <w:b/>
          <w:bCs/>
          <w:color w:val="ED1E42"/>
          <w:sz w:val="24"/>
          <w:szCs w:val="24"/>
          <w:lang w:val="en-GB"/>
        </w:rPr>
      </w:pPr>
      <w:r w:rsidRPr="00AA4C1E">
        <w:rPr>
          <w:rFonts w:cs="Arial"/>
          <w:b/>
          <w:bCs/>
          <w:color w:val="ED1E42"/>
          <w:sz w:val="24"/>
          <w:szCs w:val="24"/>
          <w:lang w:val="en-GB"/>
        </w:rPr>
        <w:t>REGIONAL TOURING</w:t>
      </w:r>
      <w:r w:rsidR="00D65B0F">
        <w:rPr>
          <w:rFonts w:cs="Arial"/>
          <w:b/>
          <w:bCs/>
          <w:color w:val="ED1E42"/>
          <w:sz w:val="24"/>
          <w:szCs w:val="24"/>
          <w:lang w:val="en-GB"/>
        </w:rPr>
        <w:t xml:space="preserve"> &amp; ACCESS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D3D4"/>
        <w:tblLook w:val="04A0" w:firstRow="1" w:lastRow="0" w:firstColumn="1" w:lastColumn="0" w:noHBand="0" w:noVBand="1"/>
      </w:tblPr>
      <w:tblGrid>
        <w:gridCol w:w="8931"/>
      </w:tblGrid>
      <w:tr w:rsidR="009A5022" w:rsidRPr="00AA4C1E" w14:paraId="5707B760" w14:textId="77777777" w:rsidTr="009A5022">
        <w:tc>
          <w:tcPr>
            <w:tcW w:w="8931" w:type="dxa"/>
            <w:shd w:val="clear" w:color="auto" w:fill="D0D3D4"/>
          </w:tcPr>
          <w:p w14:paraId="77F9A9EF" w14:textId="6050E34C" w:rsidR="007F6AE7" w:rsidRPr="00AA4C1E" w:rsidRDefault="007F6AE7" w:rsidP="00261F98">
            <w:pPr>
              <w:autoSpaceDE w:val="0"/>
              <w:autoSpaceDN w:val="0"/>
              <w:adjustRightInd w:val="0"/>
              <w:spacing w:before="120" w:after="0" w:line="300" w:lineRule="exact"/>
              <w:rPr>
                <w:rFonts w:cs="Arial"/>
                <w:b/>
                <w:sz w:val="21"/>
                <w:szCs w:val="21"/>
              </w:rPr>
            </w:pPr>
            <w:r w:rsidRPr="00AA4C1E">
              <w:rPr>
                <w:rFonts w:cs="Arial"/>
                <w:b/>
                <w:sz w:val="21"/>
                <w:szCs w:val="21"/>
              </w:rPr>
              <w:t xml:space="preserve">Budget request 4: </w:t>
            </w:r>
          </w:p>
          <w:p w14:paraId="3FF938E0" w14:textId="25463D72" w:rsidR="007F6AE7" w:rsidRPr="00AA4C1E" w:rsidRDefault="007F6AE7" w:rsidP="00B90FBB">
            <w:pPr>
              <w:autoSpaceDE w:val="0"/>
              <w:autoSpaceDN w:val="0"/>
              <w:adjustRightInd w:val="0"/>
              <w:spacing w:after="120" w:line="300" w:lineRule="exact"/>
              <w:rPr>
                <w:rFonts w:cs="Arial"/>
                <w:b/>
                <w:sz w:val="21"/>
                <w:szCs w:val="21"/>
              </w:rPr>
            </w:pPr>
            <w:r w:rsidRPr="00AA4C1E">
              <w:rPr>
                <w:rFonts w:cs="Arial"/>
                <w:sz w:val="21"/>
                <w:szCs w:val="21"/>
              </w:rPr>
              <w:t>Provide an additional $</w:t>
            </w:r>
            <w:r w:rsidR="00D76CAD">
              <w:rPr>
                <w:rFonts w:cs="Arial"/>
                <w:sz w:val="21"/>
                <w:szCs w:val="21"/>
              </w:rPr>
              <w:t>5</w:t>
            </w:r>
            <w:r w:rsidRPr="00AA4C1E">
              <w:rPr>
                <w:rFonts w:cs="Arial"/>
                <w:sz w:val="21"/>
                <w:szCs w:val="21"/>
              </w:rPr>
              <w:t xml:space="preserve"> million</w:t>
            </w:r>
            <w:r w:rsidR="00D76CAD">
              <w:rPr>
                <w:rFonts w:cs="Arial"/>
                <w:sz w:val="21"/>
                <w:szCs w:val="21"/>
              </w:rPr>
              <w:t xml:space="preserve"> per annum</w:t>
            </w:r>
            <w:r w:rsidRPr="00AA4C1E">
              <w:rPr>
                <w:rFonts w:cs="Arial"/>
                <w:sz w:val="21"/>
                <w:szCs w:val="21"/>
              </w:rPr>
              <w:t xml:space="preserve"> over four years to Playing Australia</w:t>
            </w:r>
            <w:r w:rsidR="00426763" w:rsidRPr="00AA4C1E">
              <w:rPr>
                <w:rFonts w:cs="Arial"/>
                <w:sz w:val="21"/>
                <w:szCs w:val="21"/>
              </w:rPr>
              <w:t xml:space="preserve"> </w:t>
            </w:r>
          </w:p>
        </w:tc>
      </w:tr>
    </w:tbl>
    <w:p w14:paraId="6910D7FB" w14:textId="77777777" w:rsidR="00426763" w:rsidRPr="00AA4C1E" w:rsidRDefault="00426763" w:rsidP="00426763">
      <w:pPr>
        <w:widowControl w:val="0"/>
        <w:autoSpaceDE w:val="0"/>
        <w:autoSpaceDN w:val="0"/>
        <w:adjustRightInd w:val="0"/>
        <w:spacing w:after="0"/>
        <w:ind w:right="133"/>
        <w:textAlignment w:val="center"/>
        <w:rPr>
          <w:rFonts w:cs="Arial"/>
          <w:color w:val="000000"/>
          <w:sz w:val="21"/>
          <w:szCs w:val="21"/>
          <w:lang w:val="en-GB"/>
        </w:rPr>
      </w:pPr>
    </w:p>
    <w:p w14:paraId="658E1382" w14:textId="199778A6" w:rsidR="00426763" w:rsidRPr="00AA4C1E" w:rsidRDefault="00426763" w:rsidP="00426763">
      <w:pPr>
        <w:widowControl w:val="0"/>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 xml:space="preserve">Australians living in regional areas deserve access to quality live productions. Unfortunately, Australia’s geographical size and the costs associated with touring (e.g. accommodation, transport, freight, allowances) are barriers to bringing more live productions to regional areas. The Australia Council, through its Playing Australia grants program, supports performing arts companies </w:t>
      </w:r>
      <w:r w:rsidR="00784794">
        <w:rPr>
          <w:rFonts w:cs="Arial"/>
          <w:color w:val="000000"/>
          <w:sz w:val="21"/>
          <w:szCs w:val="21"/>
        </w:rPr>
        <w:t xml:space="preserve">by </w:t>
      </w:r>
      <w:r w:rsidRPr="00AA4C1E">
        <w:rPr>
          <w:rFonts w:cs="Arial"/>
          <w:color w:val="000000"/>
          <w:sz w:val="21"/>
          <w:szCs w:val="21"/>
        </w:rPr>
        <w:t>help</w:t>
      </w:r>
      <w:r w:rsidR="00784794">
        <w:rPr>
          <w:rFonts w:cs="Arial"/>
          <w:color w:val="000000"/>
          <w:sz w:val="21"/>
          <w:szCs w:val="21"/>
        </w:rPr>
        <w:t>ing to</w:t>
      </w:r>
      <w:r w:rsidRPr="00AA4C1E">
        <w:rPr>
          <w:rFonts w:cs="Arial"/>
          <w:color w:val="000000"/>
          <w:sz w:val="21"/>
          <w:szCs w:val="21"/>
        </w:rPr>
        <w:t xml:space="preserve"> meet the high costs associated with touring to regional locations. However, this program is oversubscribed each year, resulting in many missed opportunities for regional Australians to experience live productions in their local community. </w:t>
      </w:r>
    </w:p>
    <w:p w14:paraId="168F4F66" w14:textId="77777777" w:rsidR="00426763" w:rsidRPr="00AA4C1E" w:rsidRDefault="00426763" w:rsidP="00426763">
      <w:pPr>
        <w:widowControl w:val="0"/>
        <w:autoSpaceDE w:val="0"/>
        <w:autoSpaceDN w:val="0"/>
        <w:adjustRightInd w:val="0"/>
        <w:spacing w:after="0"/>
        <w:ind w:right="133"/>
        <w:textAlignment w:val="center"/>
        <w:rPr>
          <w:rFonts w:cs="Arial"/>
          <w:color w:val="000000"/>
          <w:sz w:val="21"/>
          <w:szCs w:val="21"/>
        </w:rPr>
      </w:pPr>
    </w:p>
    <w:p w14:paraId="0FACECC3" w14:textId="62FC46E7" w:rsidR="00C07A83" w:rsidRPr="00AA4C1E" w:rsidRDefault="00426763" w:rsidP="00C07A83">
      <w:pPr>
        <w:widowControl w:val="0"/>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 xml:space="preserve">Historically, the total value of grants awarded through Playing Australia has been $6-7 million per annum. </w:t>
      </w:r>
      <w:r w:rsidR="00E20801">
        <w:rPr>
          <w:rFonts w:cs="Arial"/>
          <w:color w:val="000000"/>
          <w:sz w:val="21"/>
          <w:szCs w:val="21"/>
        </w:rPr>
        <w:t xml:space="preserve">LPA believes Playing Australia needs an </w:t>
      </w:r>
      <w:r w:rsidRPr="00AA4C1E">
        <w:rPr>
          <w:rFonts w:cs="Arial"/>
          <w:color w:val="000000"/>
          <w:sz w:val="21"/>
          <w:szCs w:val="21"/>
        </w:rPr>
        <w:t>additional $5 million per annum</w:t>
      </w:r>
      <w:r w:rsidR="00E20801">
        <w:rPr>
          <w:rFonts w:cs="Arial"/>
          <w:color w:val="000000"/>
          <w:sz w:val="21"/>
          <w:szCs w:val="21"/>
        </w:rPr>
        <w:t xml:space="preserve"> to </w:t>
      </w:r>
      <w:r w:rsidR="00FB500D">
        <w:rPr>
          <w:rFonts w:cs="Arial"/>
          <w:color w:val="000000"/>
          <w:sz w:val="21"/>
          <w:szCs w:val="21"/>
        </w:rPr>
        <w:t xml:space="preserve">allow a greater number of works to tour </w:t>
      </w:r>
      <w:r w:rsidR="00095230">
        <w:rPr>
          <w:rFonts w:cs="Arial"/>
          <w:color w:val="000000"/>
          <w:sz w:val="21"/>
          <w:szCs w:val="21"/>
        </w:rPr>
        <w:t xml:space="preserve">regional areas. </w:t>
      </w:r>
      <w:r w:rsidR="00C07A83">
        <w:rPr>
          <w:rFonts w:cs="Arial"/>
          <w:color w:val="000000"/>
          <w:sz w:val="21"/>
          <w:szCs w:val="21"/>
        </w:rPr>
        <w:t>Furthermore, a</w:t>
      </w:r>
      <w:r w:rsidR="00C07A83" w:rsidRPr="00AA4C1E">
        <w:rPr>
          <w:rFonts w:cs="Arial"/>
          <w:color w:val="000000"/>
          <w:sz w:val="21"/>
          <w:szCs w:val="21"/>
        </w:rPr>
        <w:t xml:space="preserve"> proportion of the additional funding could be allocated to increasing the number of companies with National Touring Status (companies that receive multi-year funding to enable touring in regional and remote Australia), so that deeper relationships may be developed with regional audiences. </w:t>
      </w:r>
    </w:p>
    <w:p w14:paraId="2E7EAF59" w14:textId="77777777" w:rsidR="00095230" w:rsidRDefault="00095230" w:rsidP="00426763">
      <w:pPr>
        <w:widowControl w:val="0"/>
        <w:autoSpaceDE w:val="0"/>
        <w:autoSpaceDN w:val="0"/>
        <w:adjustRightInd w:val="0"/>
        <w:spacing w:after="0"/>
        <w:ind w:right="133"/>
        <w:textAlignment w:val="center"/>
        <w:rPr>
          <w:rFonts w:cs="Arial"/>
          <w:color w:val="000000"/>
          <w:sz w:val="21"/>
          <w:szCs w:val="21"/>
        </w:rPr>
      </w:pPr>
    </w:p>
    <w:p w14:paraId="0B3E04E6" w14:textId="093E1D70" w:rsidR="00FB500D" w:rsidRDefault="00095230" w:rsidP="00426763">
      <w:pPr>
        <w:widowControl w:val="0"/>
        <w:autoSpaceDE w:val="0"/>
        <w:autoSpaceDN w:val="0"/>
        <w:adjustRightInd w:val="0"/>
        <w:spacing w:after="0"/>
        <w:ind w:right="133"/>
        <w:textAlignment w:val="center"/>
        <w:rPr>
          <w:rFonts w:cs="Arial"/>
          <w:color w:val="000000"/>
          <w:sz w:val="21"/>
          <w:szCs w:val="21"/>
        </w:rPr>
      </w:pPr>
      <w:r>
        <w:rPr>
          <w:rFonts w:cs="Arial"/>
          <w:color w:val="000000"/>
          <w:sz w:val="21"/>
          <w:szCs w:val="21"/>
        </w:rPr>
        <w:t>Consideration should also be given to broadening</w:t>
      </w:r>
      <w:r w:rsidR="00FB500D">
        <w:rPr>
          <w:rFonts w:cs="Arial"/>
          <w:color w:val="000000"/>
          <w:sz w:val="21"/>
          <w:szCs w:val="21"/>
        </w:rPr>
        <w:t xml:space="preserve"> the </w:t>
      </w:r>
      <w:r>
        <w:rPr>
          <w:rFonts w:cs="Arial"/>
          <w:color w:val="000000"/>
          <w:sz w:val="21"/>
          <w:szCs w:val="21"/>
        </w:rPr>
        <w:t xml:space="preserve">eligible </w:t>
      </w:r>
      <w:r w:rsidR="00FB500D">
        <w:rPr>
          <w:rFonts w:cs="Arial"/>
          <w:color w:val="000000"/>
          <w:sz w:val="21"/>
          <w:szCs w:val="21"/>
        </w:rPr>
        <w:t xml:space="preserve">expenses which </w:t>
      </w:r>
      <w:r>
        <w:rPr>
          <w:rFonts w:cs="Arial"/>
          <w:color w:val="000000"/>
          <w:sz w:val="21"/>
          <w:szCs w:val="21"/>
        </w:rPr>
        <w:t>Playing Australia will fund. Regional areas not only suffer from the tyranny of distance</w:t>
      </w:r>
      <w:r w:rsidR="00D908BD">
        <w:rPr>
          <w:rFonts w:cs="Arial"/>
          <w:color w:val="000000"/>
          <w:sz w:val="21"/>
          <w:szCs w:val="21"/>
        </w:rPr>
        <w:t xml:space="preserve"> but also from lack</w:t>
      </w:r>
      <w:r w:rsidR="00C07A83">
        <w:rPr>
          <w:rFonts w:cs="Arial"/>
          <w:color w:val="000000"/>
          <w:sz w:val="21"/>
          <w:szCs w:val="21"/>
        </w:rPr>
        <w:t xml:space="preserve"> of</w:t>
      </w:r>
      <w:r w:rsidR="00D908BD">
        <w:rPr>
          <w:rFonts w:cs="Arial"/>
          <w:color w:val="000000"/>
          <w:sz w:val="21"/>
          <w:szCs w:val="21"/>
        </w:rPr>
        <w:t xml:space="preserve"> capability and capacity. For example, staff at regional venues are </w:t>
      </w:r>
      <w:r w:rsidR="0070169D">
        <w:rPr>
          <w:rFonts w:cs="Arial"/>
          <w:color w:val="000000"/>
          <w:sz w:val="21"/>
          <w:szCs w:val="21"/>
        </w:rPr>
        <w:t xml:space="preserve">often </w:t>
      </w:r>
      <w:r w:rsidR="00D908BD">
        <w:rPr>
          <w:rFonts w:cs="Arial"/>
          <w:color w:val="000000"/>
          <w:sz w:val="21"/>
          <w:szCs w:val="21"/>
        </w:rPr>
        <w:t>‘jacks of all trades’ and do not have capacity to adequately market a show</w:t>
      </w:r>
      <w:r w:rsidR="0070169D">
        <w:rPr>
          <w:rFonts w:cs="Arial"/>
          <w:color w:val="000000"/>
          <w:sz w:val="21"/>
          <w:szCs w:val="21"/>
        </w:rPr>
        <w:t xml:space="preserve">. This may result in not being able </w:t>
      </w:r>
      <w:r w:rsidR="00D908BD">
        <w:rPr>
          <w:rFonts w:cs="Arial"/>
          <w:color w:val="000000"/>
          <w:sz w:val="21"/>
          <w:szCs w:val="21"/>
        </w:rPr>
        <w:t xml:space="preserve">to </w:t>
      </w:r>
      <w:r w:rsidR="0070169D">
        <w:rPr>
          <w:rFonts w:cs="Arial"/>
          <w:color w:val="000000"/>
          <w:sz w:val="21"/>
          <w:szCs w:val="21"/>
        </w:rPr>
        <w:t>sell enough tickets</w:t>
      </w:r>
      <w:r w:rsidR="00D908BD">
        <w:rPr>
          <w:rFonts w:cs="Arial"/>
          <w:color w:val="000000"/>
          <w:sz w:val="21"/>
          <w:szCs w:val="21"/>
        </w:rPr>
        <w:t xml:space="preserve"> </w:t>
      </w:r>
      <w:r w:rsidR="0070169D">
        <w:rPr>
          <w:rFonts w:cs="Arial"/>
          <w:color w:val="000000"/>
          <w:sz w:val="21"/>
          <w:szCs w:val="21"/>
        </w:rPr>
        <w:t>to make bringing the show to the regional area viable. Bringing live productions to regional communities would be more successful if</w:t>
      </w:r>
      <w:r w:rsidR="00C07A83">
        <w:rPr>
          <w:rFonts w:cs="Arial"/>
          <w:color w:val="000000"/>
          <w:sz w:val="21"/>
          <w:szCs w:val="21"/>
        </w:rPr>
        <w:t xml:space="preserve"> marketing and</w:t>
      </w:r>
      <w:r w:rsidR="0070169D">
        <w:rPr>
          <w:rFonts w:cs="Arial"/>
          <w:color w:val="000000"/>
          <w:sz w:val="21"/>
          <w:szCs w:val="21"/>
        </w:rPr>
        <w:t xml:space="preserve"> </w:t>
      </w:r>
      <w:r w:rsidR="00C07A83">
        <w:rPr>
          <w:rFonts w:cs="Arial"/>
          <w:color w:val="000000"/>
          <w:sz w:val="21"/>
          <w:szCs w:val="21"/>
        </w:rPr>
        <w:t xml:space="preserve">audience development capability existed in the </w:t>
      </w:r>
      <w:r w:rsidR="0070169D">
        <w:rPr>
          <w:rFonts w:cs="Arial"/>
          <w:color w:val="000000"/>
          <w:sz w:val="21"/>
          <w:szCs w:val="21"/>
        </w:rPr>
        <w:t xml:space="preserve">producing company </w:t>
      </w:r>
      <w:r w:rsidR="00C07A83">
        <w:rPr>
          <w:rFonts w:cs="Arial"/>
          <w:color w:val="000000"/>
          <w:sz w:val="21"/>
          <w:szCs w:val="21"/>
        </w:rPr>
        <w:t>to support regional venues, or if regional venues could access a subsidy on the fees charged by the producing company to bring the work to the regional venue.</w:t>
      </w:r>
      <w:r w:rsidR="0070169D">
        <w:rPr>
          <w:rFonts w:cs="Arial"/>
          <w:color w:val="000000"/>
          <w:sz w:val="21"/>
          <w:szCs w:val="21"/>
        </w:rPr>
        <w:t xml:space="preserve"> </w:t>
      </w:r>
      <w:r>
        <w:rPr>
          <w:rFonts w:cs="Arial"/>
          <w:color w:val="000000"/>
          <w:sz w:val="21"/>
          <w:szCs w:val="21"/>
        </w:rPr>
        <w:t>The current guidelines limit eligible expenses to net touring costs and could be expanded to include audience development</w:t>
      </w:r>
      <w:r w:rsidR="00C07A83">
        <w:rPr>
          <w:rFonts w:cs="Arial"/>
          <w:color w:val="000000"/>
          <w:sz w:val="21"/>
          <w:szCs w:val="21"/>
        </w:rPr>
        <w:t xml:space="preserve"> and</w:t>
      </w:r>
      <w:r>
        <w:rPr>
          <w:rFonts w:cs="Arial"/>
          <w:color w:val="000000"/>
          <w:sz w:val="21"/>
          <w:szCs w:val="21"/>
        </w:rPr>
        <w:t xml:space="preserve"> a subsidy for sell-off fees or high-risk work.</w:t>
      </w:r>
    </w:p>
    <w:p w14:paraId="49E2FE54" w14:textId="77777777" w:rsidR="000F360C" w:rsidRPr="00AA4C1E" w:rsidRDefault="000F360C" w:rsidP="00426763">
      <w:pPr>
        <w:widowControl w:val="0"/>
        <w:autoSpaceDE w:val="0"/>
        <w:autoSpaceDN w:val="0"/>
        <w:adjustRightInd w:val="0"/>
        <w:spacing w:after="0"/>
        <w:ind w:right="133"/>
        <w:textAlignment w:val="center"/>
        <w:rPr>
          <w:rFonts w:cs="Arial"/>
          <w:color w:val="000000"/>
          <w:sz w:val="21"/>
          <w:szCs w:val="21"/>
        </w:rPr>
      </w:pPr>
    </w:p>
    <w:p w14:paraId="0BB07A9C" w14:textId="2EFC0F94" w:rsidR="00426763" w:rsidRDefault="00426763" w:rsidP="00426763">
      <w:pPr>
        <w:widowControl w:val="0"/>
        <w:autoSpaceDE w:val="0"/>
        <w:autoSpaceDN w:val="0"/>
        <w:adjustRightInd w:val="0"/>
        <w:spacing w:after="0"/>
        <w:ind w:right="133"/>
        <w:textAlignment w:val="center"/>
        <w:rPr>
          <w:rFonts w:cs="Arial"/>
          <w:color w:val="000000"/>
          <w:sz w:val="21"/>
          <w:szCs w:val="21"/>
        </w:rPr>
      </w:pPr>
      <w:r w:rsidRPr="00AA4C1E">
        <w:rPr>
          <w:rFonts w:cs="Arial"/>
          <w:color w:val="000000"/>
          <w:sz w:val="21"/>
          <w:szCs w:val="21"/>
        </w:rPr>
        <w:t xml:space="preserve">This proposal is supported by the findings of the House of Representatives Standing Committee on Communication and the Arts inquiry into broadcasting, online content and live production in regional and rural Australia. The final report (released in May 2016) acknowledged the importance of Playing Australia and recommended that there be adequate levels of funding for the program and that the National Touring Status arrangements be extended to include additional companies. Support should also be considered for commercial producers to tour productions throughout regional Australia. </w:t>
      </w:r>
    </w:p>
    <w:p w14:paraId="16EE7BF5" w14:textId="56161BA7" w:rsidR="00C07A83" w:rsidRDefault="00C07A83" w:rsidP="00426763">
      <w:pPr>
        <w:widowControl w:val="0"/>
        <w:autoSpaceDE w:val="0"/>
        <w:autoSpaceDN w:val="0"/>
        <w:adjustRightInd w:val="0"/>
        <w:spacing w:after="0"/>
        <w:ind w:right="133"/>
        <w:textAlignment w:val="center"/>
        <w:rPr>
          <w:rFonts w:cs="Arial"/>
          <w:color w:val="000000"/>
          <w:sz w:val="21"/>
          <w:szCs w:val="21"/>
        </w:rPr>
      </w:pPr>
    </w:p>
    <w:p w14:paraId="292FB19B" w14:textId="25BD5C47" w:rsidR="00C07A83" w:rsidRDefault="00C07A83" w:rsidP="00426763">
      <w:pPr>
        <w:widowControl w:val="0"/>
        <w:autoSpaceDE w:val="0"/>
        <w:autoSpaceDN w:val="0"/>
        <w:adjustRightInd w:val="0"/>
        <w:spacing w:after="0"/>
        <w:ind w:right="133"/>
        <w:textAlignment w:val="center"/>
        <w:rPr>
          <w:rFonts w:cs="Arial"/>
          <w:color w:val="000000"/>
          <w:sz w:val="21"/>
          <w:szCs w:val="21"/>
        </w:rPr>
      </w:pPr>
    </w:p>
    <w:p w14:paraId="6C89E8E1" w14:textId="01B7FED2" w:rsidR="00C07A83" w:rsidRDefault="00C07A83" w:rsidP="00426763">
      <w:pPr>
        <w:widowControl w:val="0"/>
        <w:autoSpaceDE w:val="0"/>
        <w:autoSpaceDN w:val="0"/>
        <w:adjustRightInd w:val="0"/>
        <w:spacing w:after="0"/>
        <w:ind w:right="133"/>
        <w:textAlignment w:val="center"/>
        <w:rPr>
          <w:rFonts w:cs="Arial"/>
          <w:color w:val="000000"/>
          <w:sz w:val="21"/>
          <w:szCs w:val="21"/>
        </w:rPr>
      </w:pPr>
    </w:p>
    <w:p w14:paraId="0AB7742B" w14:textId="3AF039BD" w:rsidR="00C07A83" w:rsidRDefault="00C07A83" w:rsidP="00426763">
      <w:pPr>
        <w:widowControl w:val="0"/>
        <w:autoSpaceDE w:val="0"/>
        <w:autoSpaceDN w:val="0"/>
        <w:adjustRightInd w:val="0"/>
        <w:spacing w:after="0"/>
        <w:ind w:right="133"/>
        <w:textAlignment w:val="center"/>
        <w:rPr>
          <w:rFonts w:cs="Arial"/>
          <w:color w:val="000000"/>
          <w:sz w:val="21"/>
          <w:szCs w:val="21"/>
        </w:rPr>
      </w:pPr>
    </w:p>
    <w:p w14:paraId="2CE3E743" w14:textId="3E2BB734" w:rsidR="00C07A83" w:rsidRDefault="00C07A83" w:rsidP="00426763">
      <w:pPr>
        <w:widowControl w:val="0"/>
        <w:autoSpaceDE w:val="0"/>
        <w:autoSpaceDN w:val="0"/>
        <w:adjustRightInd w:val="0"/>
        <w:spacing w:after="0"/>
        <w:ind w:right="133"/>
        <w:textAlignment w:val="center"/>
        <w:rPr>
          <w:rFonts w:cs="Arial"/>
          <w:color w:val="000000"/>
          <w:sz w:val="21"/>
          <w:szCs w:val="21"/>
        </w:rPr>
      </w:pPr>
    </w:p>
    <w:p w14:paraId="2E2012C5" w14:textId="77777777" w:rsidR="00C07A83" w:rsidRPr="00AA4C1E" w:rsidRDefault="00C07A83" w:rsidP="00426763">
      <w:pPr>
        <w:widowControl w:val="0"/>
        <w:autoSpaceDE w:val="0"/>
        <w:autoSpaceDN w:val="0"/>
        <w:adjustRightInd w:val="0"/>
        <w:spacing w:after="0"/>
        <w:ind w:right="133"/>
        <w:textAlignment w:val="center"/>
        <w:rPr>
          <w:rFonts w:cs="Arial"/>
          <w:color w:val="000000"/>
          <w:sz w:val="21"/>
          <w:szCs w:val="21"/>
        </w:rPr>
      </w:pPr>
    </w:p>
    <w:p w14:paraId="0C5C5DC2" w14:textId="77777777" w:rsidR="00426763" w:rsidRPr="00AA4C1E" w:rsidRDefault="00426763" w:rsidP="00426763">
      <w:pPr>
        <w:widowControl w:val="0"/>
        <w:autoSpaceDE w:val="0"/>
        <w:autoSpaceDN w:val="0"/>
        <w:adjustRightInd w:val="0"/>
        <w:spacing w:after="0"/>
        <w:ind w:right="133"/>
        <w:textAlignment w:val="center"/>
        <w:rPr>
          <w:rFonts w:cs="Arial"/>
          <w:color w:val="000000"/>
          <w:sz w:val="21"/>
          <w:szCs w:val="21"/>
        </w:rPr>
      </w:pPr>
    </w:p>
    <w:p w14:paraId="7269864F" w14:textId="2C72D10A" w:rsidR="001219AF" w:rsidRPr="00AA4C1E" w:rsidRDefault="001C3FD3" w:rsidP="00001194">
      <w:pPr>
        <w:pStyle w:val="ListParagraph"/>
        <w:numPr>
          <w:ilvl w:val="0"/>
          <w:numId w:val="5"/>
        </w:numPr>
        <w:rPr>
          <w:rFonts w:cs="Arial"/>
          <w:b/>
          <w:bCs/>
          <w:color w:val="ED1E42"/>
          <w:sz w:val="24"/>
          <w:szCs w:val="24"/>
          <w:lang w:val="en-GB"/>
        </w:rPr>
      </w:pPr>
      <w:r>
        <w:rPr>
          <w:rFonts w:cs="Arial"/>
          <w:b/>
          <w:bCs/>
          <w:color w:val="ED1E42"/>
          <w:sz w:val="24"/>
          <w:szCs w:val="24"/>
          <w:lang w:val="en-GB"/>
        </w:rPr>
        <w:t xml:space="preserve">REBUILDING INDUSTRY STABILITY </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D3D4"/>
        <w:tblLook w:val="04A0" w:firstRow="1" w:lastRow="0" w:firstColumn="1" w:lastColumn="0" w:noHBand="0" w:noVBand="1"/>
      </w:tblPr>
      <w:tblGrid>
        <w:gridCol w:w="8931"/>
      </w:tblGrid>
      <w:tr w:rsidR="009A5022" w:rsidRPr="00AA4C1E" w14:paraId="3A03D4F3" w14:textId="77777777" w:rsidTr="009A5022">
        <w:trPr>
          <w:trHeight w:val="1009"/>
        </w:trPr>
        <w:tc>
          <w:tcPr>
            <w:tcW w:w="8931" w:type="dxa"/>
            <w:shd w:val="clear" w:color="auto" w:fill="D0D3D4"/>
          </w:tcPr>
          <w:p w14:paraId="38FF8000" w14:textId="190E3B33" w:rsidR="00001194" w:rsidRPr="00AA4C1E" w:rsidRDefault="00001194" w:rsidP="00261F98">
            <w:pPr>
              <w:autoSpaceDE w:val="0"/>
              <w:autoSpaceDN w:val="0"/>
              <w:adjustRightInd w:val="0"/>
              <w:spacing w:before="120" w:after="0" w:line="300" w:lineRule="exact"/>
              <w:rPr>
                <w:rFonts w:cs="Arial"/>
                <w:b/>
                <w:sz w:val="21"/>
                <w:szCs w:val="21"/>
              </w:rPr>
            </w:pPr>
            <w:r w:rsidRPr="00AA4C1E">
              <w:rPr>
                <w:rFonts w:cs="Arial"/>
                <w:b/>
                <w:sz w:val="21"/>
                <w:szCs w:val="21"/>
              </w:rPr>
              <w:t xml:space="preserve">Budget request 5: </w:t>
            </w:r>
          </w:p>
          <w:p w14:paraId="3CDE5F89" w14:textId="0976C08F" w:rsidR="00001194" w:rsidRPr="00AA4C1E" w:rsidRDefault="00D65B0F" w:rsidP="00B8549E">
            <w:pPr>
              <w:autoSpaceDE w:val="0"/>
              <w:autoSpaceDN w:val="0"/>
              <w:adjustRightInd w:val="0"/>
              <w:spacing w:after="120" w:line="300" w:lineRule="exact"/>
              <w:rPr>
                <w:rFonts w:cs="Arial"/>
                <w:b/>
                <w:sz w:val="21"/>
                <w:szCs w:val="21"/>
              </w:rPr>
            </w:pPr>
            <w:r>
              <w:rPr>
                <w:rFonts w:cs="Arial"/>
                <w:sz w:val="21"/>
                <w:szCs w:val="21"/>
              </w:rPr>
              <w:t>A</w:t>
            </w:r>
            <w:r w:rsidRPr="00D65B0F">
              <w:rPr>
                <w:rFonts w:cs="Arial"/>
                <w:sz w:val="21"/>
                <w:szCs w:val="21"/>
              </w:rPr>
              <w:t>djust arts funding annually by CPI and remov</w:t>
            </w:r>
            <w:r>
              <w:rPr>
                <w:rFonts w:cs="Arial"/>
                <w:sz w:val="21"/>
                <w:szCs w:val="21"/>
              </w:rPr>
              <w:t>e</w:t>
            </w:r>
            <w:r w:rsidRPr="00D65B0F">
              <w:rPr>
                <w:rFonts w:cs="Arial"/>
                <w:sz w:val="21"/>
                <w:szCs w:val="21"/>
              </w:rPr>
              <w:t xml:space="preserve"> the efficiency dividend on arts program funding</w:t>
            </w:r>
          </w:p>
        </w:tc>
      </w:tr>
    </w:tbl>
    <w:p w14:paraId="0E419EE2" w14:textId="77777777" w:rsidR="00001194" w:rsidRPr="00AA4C1E" w:rsidRDefault="00001194" w:rsidP="00001194">
      <w:pPr>
        <w:widowControl w:val="0"/>
        <w:autoSpaceDE w:val="0"/>
        <w:autoSpaceDN w:val="0"/>
        <w:adjustRightInd w:val="0"/>
        <w:spacing w:after="0"/>
        <w:ind w:right="133"/>
        <w:textAlignment w:val="center"/>
        <w:rPr>
          <w:rFonts w:cs="Arial"/>
          <w:color w:val="000000"/>
          <w:sz w:val="21"/>
          <w:szCs w:val="21"/>
        </w:rPr>
      </w:pPr>
    </w:p>
    <w:p w14:paraId="27D39C13" w14:textId="2469641C" w:rsidR="00167343" w:rsidRDefault="00137D8B" w:rsidP="00C07A83">
      <w:pPr>
        <w:widowControl w:val="0"/>
        <w:autoSpaceDE w:val="0"/>
        <w:autoSpaceDN w:val="0"/>
        <w:adjustRightInd w:val="0"/>
        <w:spacing w:after="0"/>
        <w:ind w:right="133"/>
        <w:textAlignment w:val="center"/>
        <w:rPr>
          <w:rFonts w:cs="Arial"/>
          <w:color w:val="000000"/>
          <w:sz w:val="21"/>
          <w:szCs w:val="21"/>
        </w:rPr>
      </w:pPr>
      <w:r>
        <w:rPr>
          <w:rFonts w:cs="Arial"/>
          <w:color w:val="000000"/>
          <w:sz w:val="21"/>
          <w:szCs w:val="21"/>
        </w:rPr>
        <w:t xml:space="preserve">The </w:t>
      </w:r>
      <w:r w:rsidR="00B01A6C">
        <w:rPr>
          <w:rFonts w:cs="Arial"/>
          <w:color w:val="000000"/>
          <w:sz w:val="21"/>
          <w:szCs w:val="21"/>
        </w:rPr>
        <w:t xml:space="preserve">performing </w:t>
      </w:r>
      <w:r>
        <w:rPr>
          <w:rFonts w:cs="Arial"/>
          <w:color w:val="000000"/>
          <w:sz w:val="21"/>
          <w:szCs w:val="21"/>
        </w:rPr>
        <w:t>arts sector has suffered a great deal of instability and uncertainty over recent years, due to lack of new investment in the sector, cuts to arts funding and events such as the</w:t>
      </w:r>
      <w:r w:rsidR="0056540E">
        <w:rPr>
          <w:rFonts w:cs="Arial"/>
          <w:color w:val="000000"/>
          <w:sz w:val="21"/>
          <w:szCs w:val="21"/>
        </w:rPr>
        <w:t xml:space="preserve"> significant</w:t>
      </w:r>
      <w:r>
        <w:rPr>
          <w:rFonts w:cs="Arial"/>
          <w:color w:val="000000"/>
          <w:sz w:val="21"/>
          <w:szCs w:val="21"/>
        </w:rPr>
        <w:t xml:space="preserve"> $105 million </w:t>
      </w:r>
      <w:r w:rsidR="0056540E">
        <w:rPr>
          <w:rFonts w:cs="Arial"/>
          <w:color w:val="000000"/>
          <w:sz w:val="21"/>
          <w:szCs w:val="21"/>
        </w:rPr>
        <w:t>reduction</w:t>
      </w:r>
      <w:r>
        <w:rPr>
          <w:rFonts w:cs="Arial"/>
          <w:color w:val="000000"/>
          <w:sz w:val="21"/>
          <w:szCs w:val="21"/>
        </w:rPr>
        <w:t xml:space="preserve"> of </w:t>
      </w:r>
      <w:r w:rsidR="0056540E">
        <w:rPr>
          <w:rFonts w:cs="Arial"/>
          <w:color w:val="000000"/>
          <w:sz w:val="21"/>
          <w:szCs w:val="21"/>
        </w:rPr>
        <w:t xml:space="preserve">the </w:t>
      </w:r>
      <w:r>
        <w:rPr>
          <w:rFonts w:cs="Arial"/>
          <w:color w:val="000000"/>
          <w:sz w:val="21"/>
          <w:szCs w:val="21"/>
        </w:rPr>
        <w:t>Australia Council’s funding.</w:t>
      </w:r>
      <w:r w:rsidR="00B01A6C">
        <w:rPr>
          <w:rFonts w:cs="Arial"/>
          <w:color w:val="000000"/>
          <w:sz w:val="21"/>
          <w:szCs w:val="21"/>
        </w:rPr>
        <w:t xml:space="preserve"> </w:t>
      </w:r>
      <w:r w:rsidR="00167343">
        <w:rPr>
          <w:rFonts w:cs="Arial"/>
          <w:color w:val="000000"/>
          <w:sz w:val="21"/>
          <w:szCs w:val="21"/>
        </w:rPr>
        <w:t xml:space="preserve">Continued cuts to arts funding are unsustainable and will </w:t>
      </w:r>
      <w:proofErr w:type="spellStart"/>
      <w:r w:rsidR="00167343">
        <w:rPr>
          <w:rFonts w:cs="Arial"/>
          <w:color w:val="000000"/>
          <w:sz w:val="21"/>
          <w:szCs w:val="21"/>
        </w:rPr>
        <w:t>jeopardise</w:t>
      </w:r>
      <w:proofErr w:type="spellEnd"/>
      <w:r w:rsidR="00167343">
        <w:rPr>
          <w:rFonts w:cs="Arial"/>
          <w:color w:val="000000"/>
          <w:sz w:val="21"/>
          <w:szCs w:val="21"/>
        </w:rPr>
        <w:t xml:space="preserve"> </w:t>
      </w:r>
      <w:r w:rsidR="00425D1E">
        <w:rPr>
          <w:rFonts w:cs="Arial"/>
          <w:color w:val="000000"/>
          <w:sz w:val="21"/>
          <w:szCs w:val="21"/>
        </w:rPr>
        <w:t xml:space="preserve">the </w:t>
      </w:r>
      <w:r w:rsidR="0056540E">
        <w:rPr>
          <w:rFonts w:cs="Arial"/>
          <w:color w:val="000000"/>
          <w:sz w:val="21"/>
          <w:szCs w:val="21"/>
        </w:rPr>
        <w:t xml:space="preserve">economic and social </w:t>
      </w:r>
      <w:r w:rsidR="00425D1E">
        <w:rPr>
          <w:rFonts w:cs="Arial"/>
          <w:color w:val="000000"/>
          <w:sz w:val="21"/>
          <w:szCs w:val="21"/>
        </w:rPr>
        <w:t>benefits derived from having a thriving and innovative arts sector.</w:t>
      </w:r>
    </w:p>
    <w:p w14:paraId="26587F2F" w14:textId="77777777" w:rsidR="00167343" w:rsidRDefault="00167343" w:rsidP="00C07A83">
      <w:pPr>
        <w:widowControl w:val="0"/>
        <w:autoSpaceDE w:val="0"/>
        <w:autoSpaceDN w:val="0"/>
        <w:adjustRightInd w:val="0"/>
        <w:spacing w:after="0"/>
        <w:ind w:right="133"/>
        <w:textAlignment w:val="center"/>
        <w:rPr>
          <w:rFonts w:cs="Arial"/>
          <w:color w:val="000000"/>
          <w:sz w:val="21"/>
          <w:szCs w:val="21"/>
        </w:rPr>
      </w:pPr>
    </w:p>
    <w:p w14:paraId="59BF8D4C" w14:textId="44C6D68E" w:rsidR="00425D1E" w:rsidRDefault="00B01A6C" w:rsidP="00C07A83">
      <w:pPr>
        <w:widowControl w:val="0"/>
        <w:autoSpaceDE w:val="0"/>
        <w:autoSpaceDN w:val="0"/>
        <w:adjustRightInd w:val="0"/>
        <w:spacing w:after="0"/>
        <w:ind w:right="133"/>
        <w:textAlignment w:val="center"/>
        <w:rPr>
          <w:rFonts w:cs="Arial"/>
          <w:color w:val="000000"/>
          <w:sz w:val="21"/>
          <w:szCs w:val="21"/>
        </w:rPr>
      </w:pPr>
      <w:r>
        <w:rPr>
          <w:rFonts w:cs="Arial"/>
          <w:color w:val="000000"/>
          <w:sz w:val="21"/>
          <w:szCs w:val="21"/>
        </w:rPr>
        <w:t>Of great concern to LPA is the division the</w:t>
      </w:r>
      <w:r w:rsidR="00425D1E">
        <w:rPr>
          <w:rFonts w:cs="Arial"/>
          <w:color w:val="000000"/>
          <w:sz w:val="21"/>
          <w:szCs w:val="21"/>
        </w:rPr>
        <w:t xml:space="preserve"> aforementioned</w:t>
      </w:r>
      <w:r>
        <w:rPr>
          <w:rFonts w:cs="Arial"/>
          <w:color w:val="000000"/>
          <w:sz w:val="21"/>
          <w:szCs w:val="21"/>
        </w:rPr>
        <w:t xml:space="preserve"> factors have created within the performing arts sector – a sector which is generally highly collaborative – by pitting small to medium against large </w:t>
      </w:r>
      <w:proofErr w:type="spellStart"/>
      <w:r>
        <w:rPr>
          <w:rFonts w:cs="Arial"/>
          <w:color w:val="000000"/>
          <w:sz w:val="21"/>
          <w:szCs w:val="21"/>
        </w:rPr>
        <w:t>organisations</w:t>
      </w:r>
      <w:proofErr w:type="spellEnd"/>
      <w:r>
        <w:rPr>
          <w:rFonts w:cs="Arial"/>
          <w:color w:val="000000"/>
          <w:sz w:val="21"/>
          <w:szCs w:val="21"/>
        </w:rPr>
        <w:t xml:space="preserve"> for government funding in a fiscally constrained environment.</w:t>
      </w:r>
      <w:r w:rsidR="00425D1E">
        <w:rPr>
          <w:rFonts w:cs="Arial"/>
          <w:color w:val="000000"/>
          <w:sz w:val="21"/>
          <w:szCs w:val="21"/>
        </w:rPr>
        <w:t xml:space="preserve"> It is unsustainable for the performing arts sector</w:t>
      </w:r>
      <w:r w:rsidR="0056540E">
        <w:rPr>
          <w:rFonts w:cs="Arial"/>
          <w:color w:val="000000"/>
          <w:sz w:val="21"/>
          <w:szCs w:val="21"/>
        </w:rPr>
        <w:t xml:space="preserve"> to</w:t>
      </w:r>
      <w:r w:rsidR="00425D1E">
        <w:rPr>
          <w:rFonts w:cs="Arial"/>
          <w:color w:val="000000"/>
          <w:sz w:val="21"/>
          <w:szCs w:val="21"/>
        </w:rPr>
        <w:t xml:space="preserve"> do more with less. </w:t>
      </w:r>
    </w:p>
    <w:p w14:paraId="220B84DB" w14:textId="77777777" w:rsidR="00425D1E" w:rsidRDefault="00425D1E" w:rsidP="00C07A83">
      <w:pPr>
        <w:widowControl w:val="0"/>
        <w:autoSpaceDE w:val="0"/>
        <w:autoSpaceDN w:val="0"/>
        <w:adjustRightInd w:val="0"/>
        <w:spacing w:after="0"/>
        <w:ind w:right="133"/>
        <w:textAlignment w:val="center"/>
        <w:rPr>
          <w:rFonts w:cs="Arial"/>
          <w:color w:val="000000"/>
          <w:sz w:val="21"/>
          <w:szCs w:val="21"/>
        </w:rPr>
      </w:pPr>
    </w:p>
    <w:p w14:paraId="29C96B91" w14:textId="2589F5E4" w:rsidR="00167343" w:rsidRDefault="00167343" w:rsidP="00C07A83">
      <w:pPr>
        <w:widowControl w:val="0"/>
        <w:autoSpaceDE w:val="0"/>
        <w:autoSpaceDN w:val="0"/>
        <w:adjustRightInd w:val="0"/>
        <w:spacing w:after="0"/>
        <w:ind w:right="133"/>
        <w:textAlignment w:val="center"/>
        <w:rPr>
          <w:rFonts w:cs="Arial"/>
          <w:color w:val="000000"/>
          <w:sz w:val="21"/>
          <w:szCs w:val="21"/>
        </w:rPr>
      </w:pPr>
      <w:r>
        <w:rPr>
          <w:rFonts w:cs="Arial"/>
          <w:color w:val="000000"/>
          <w:sz w:val="21"/>
          <w:szCs w:val="21"/>
        </w:rPr>
        <w:t>Stability needs to be reinstated to the performing arts sector</w:t>
      </w:r>
      <w:r w:rsidR="00425D1E">
        <w:rPr>
          <w:rFonts w:cs="Arial"/>
          <w:color w:val="000000"/>
          <w:sz w:val="21"/>
          <w:szCs w:val="21"/>
        </w:rPr>
        <w:t xml:space="preserve"> by fully adjusting arts funding and programs in line with the consumer price index (CPI) and removing the efficien</w:t>
      </w:r>
      <w:r w:rsidR="0056540E">
        <w:rPr>
          <w:rFonts w:cs="Arial"/>
          <w:color w:val="000000"/>
          <w:sz w:val="21"/>
          <w:szCs w:val="21"/>
        </w:rPr>
        <w:t>cy</w:t>
      </w:r>
      <w:r w:rsidR="00425D1E">
        <w:rPr>
          <w:rFonts w:cs="Arial"/>
          <w:color w:val="000000"/>
          <w:sz w:val="21"/>
          <w:szCs w:val="21"/>
        </w:rPr>
        <w:t xml:space="preserve"> dividend on arts program funding. </w:t>
      </w:r>
    </w:p>
    <w:p w14:paraId="26B0A220" w14:textId="77777777" w:rsidR="00001194" w:rsidRPr="00C07A83" w:rsidRDefault="00001194" w:rsidP="00C07A83">
      <w:pPr>
        <w:widowControl w:val="0"/>
        <w:autoSpaceDE w:val="0"/>
        <w:autoSpaceDN w:val="0"/>
        <w:adjustRightInd w:val="0"/>
        <w:spacing w:after="0"/>
        <w:ind w:right="133"/>
        <w:textAlignment w:val="center"/>
        <w:rPr>
          <w:rFonts w:cs="Arial"/>
          <w:color w:val="000000"/>
          <w:sz w:val="21"/>
          <w:szCs w:val="21"/>
        </w:rPr>
      </w:pPr>
    </w:p>
    <w:p w14:paraId="18E9D214" w14:textId="51BB3EC9" w:rsidR="006320F4" w:rsidRDefault="006320F4" w:rsidP="00001194">
      <w:pPr>
        <w:widowControl w:val="0"/>
        <w:autoSpaceDE w:val="0"/>
        <w:autoSpaceDN w:val="0"/>
        <w:adjustRightInd w:val="0"/>
        <w:spacing w:after="0"/>
        <w:ind w:right="133"/>
        <w:textAlignment w:val="center"/>
        <w:rPr>
          <w:rFonts w:cs="Arial"/>
          <w:color w:val="000000"/>
          <w:sz w:val="20"/>
          <w:szCs w:val="20"/>
          <w:lang w:val="en-GB"/>
        </w:rPr>
      </w:pPr>
    </w:p>
    <w:p w14:paraId="17647D96" w14:textId="0532B1CC"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04DB8B79" w14:textId="75824272"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213C1709" w14:textId="194C856B"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16318AA1" w14:textId="05A000C2"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6649C3C7" w14:textId="36E89710"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13F81EA0" w14:textId="30BBA37D"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297BB134" w14:textId="0949D39D"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7047D898" w14:textId="0F4D1FA8"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1CC41AD1" w14:textId="2A4592E7"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4A216CA0" w14:textId="7F51259D"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p w14:paraId="671D0306" w14:textId="77777777" w:rsidR="00425D1E" w:rsidRDefault="00425D1E" w:rsidP="00001194">
      <w:pPr>
        <w:widowControl w:val="0"/>
        <w:autoSpaceDE w:val="0"/>
        <w:autoSpaceDN w:val="0"/>
        <w:adjustRightInd w:val="0"/>
        <w:spacing w:after="0"/>
        <w:ind w:right="133"/>
        <w:textAlignment w:val="center"/>
        <w:rPr>
          <w:rFonts w:cs="Arial"/>
          <w:color w:val="000000"/>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54"/>
      </w:tblGrid>
      <w:tr w:rsidR="00920AF3" w14:paraId="212C58B5" w14:textId="77777777" w:rsidTr="00920AF3">
        <w:tc>
          <w:tcPr>
            <w:tcW w:w="9054" w:type="dxa"/>
            <w:shd w:val="clear" w:color="auto" w:fill="F2F2F2" w:themeFill="background1" w:themeFillShade="F2"/>
          </w:tcPr>
          <w:p w14:paraId="3093F986" w14:textId="77777777" w:rsidR="00920AF3" w:rsidRPr="00920AF3" w:rsidRDefault="00920AF3" w:rsidP="00920AF3">
            <w:pPr>
              <w:widowControl w:val="0"/>
              <w:autoSpaceDE w:val="0"/>
              <w:autoSpaceDN w:val="0"/>
              <w:adjustRightInd w:val="0"/>
              <w:spacing w:before="120" w:after="120"/>
              <w:ind w:right="130"/>
              <w:textAlignment w:val="center"/>
              <w:rPr>
                <w:rFonts w:cs="Arial"/>
                <w:b/>
                <w:color w:val="000000"/>
                <w:sz w:val="20"/>
                <w:szCs w:val="20"/>
                <w:lang w:val="en-GB"/>
              </w:rPr>
            </w:pPr>
            <w:r w:rsidRPr="00920AF3">
              <w:rPr>
                <w:rFonts w:cs="Arial"/>
                <w:b/>
                <w:color w:val="000000"/>
                <w:sz w:val="20"/>
                <w:szCs w:val="20"/>
                <w:lang w:val="en-GB"/>
              </w:rPr>
              <w:t>ABOUT LPA</w:t>
            </w:r>
          </w:p>
          <w:p w14:paraId="37D85343" w14:textId="77777777" w:rsidR="00920AF3" w:rsidRPr="00920AF3" w:rsidRDefault="00920AF3" w:rsidP="00920AF3">
            <w:pPr>
              <w:widowControl w:val="0"/>
              <w:autoSpaceDE w:val="0"/>
              <w:autoSpaceDN w:val="0"/>
              <w:adjustRightInd w:val="0"/>
              <w:spacing w:before="120" w:after="120"/>
              <w:ind w:right="130"/>
              <w:textAlignment w:val="center"/>
              <w:rPr>
                <w:rFonts w:cs="Arial"/>
                <w:color w:val="000000"/>
                <w:sz w:val="20"/>
                <w:szCs w:val="20"/>
                <w:lang w:val="en-GB"/>
              </w:rPr>
            </w:pPr>
            <w:r w:rsidRPr="00920AF3">
              <w:rPr>
                <w:rFonts w:cs="Arial"/>
                <w:color w:val="000000"/>
                <w:sz w:val="20"/>
                <w:szCs w:val="20"/>
                <w:lang w:val="en-GB"/>
              </w:rPr>
              <w:t xml:space="preserve">LPA is the peak body for Australia’s live performance industry. Established 100 years ago in 1917 and registered as an employers’ organisation under the </w:t>
            </w:r>
            <w:r w:rsidRPr="00137D8B">
              <w:rPr>
                <w:rFonts w:cs="Arial"/>
                <w:i/>
                <w:color w:val="000000"/>
                <w:sz w:val="20"/>
                <w:szCs w:val="20"/>
                <w:lang w:val="en-GB"/>
              </w:rPr>
              <w:t>Fair Work (Registered Organisations) Act 2009</w:t>
            </w:r>
            <w:r w:rsidRPr="00920AF3">
              <w:rPr>
                <w:rFonts w:cs="Arial"/>
                <w:color w:val="000000"/>
                <w:sz w:val="20"/>
                <w:szCs w:val="20"/>
                <w:lang w:val="en-GB"/>
              </w:rPr>
              <w:t xml:space="preserve">, LPA has over 400 Members nationally. We represent commercial producers, music promoters, major performing arts companies, small to medium companies, independent producers, major performing arts centres, metropolitan and regional venues, commercial theatres, stadiums and arenas, arts festivals, music festivals, and service providers such as ticketing companies and technical suppliers. Our membership spans from small-medium and not-for-profit organisations to large commercial entities. </w:t>
            </w:r>
          </w:p>
          <w:p w14:paraId="5EEC0FF0" w14:textId="51785B36" w:rsidR="00920AF3" w:rsidRDefault="00920AF3" w:rsidP="00920AF3">
            <w:pPr>
              <w:widowControl w:val="0"/>
              <w:autoSpaceDE w:val="0"/>
              <w:autoSpaceDN w:val="0"/>
              <w:adjustRightInd w:val="0"/>
              <w:spacing w:before="120" w:after="120"/>
              <w:ind w:right="130"/>
              <w:textAlignment w:val="center"/>
              <w:rPr>
                <w:rFonts w:cs="Arial"/>
                <w:color w:val="000000"/>
                <w:sz w:val="20"/>
                <w:szCs w:val="20"/>
                <w:lang w:val="en-GB"/>
              </w:rPr>
            </w:pPr>
            <w:r w:rsidRPr="00920AF3">
              <w:rPr>
                <w:rFonts w:cs="Arial"/>
                <w:color w:val="000000"/>
                <w:sz w:val="20"/>
                <w:szCs w:val="20"/>
                <w:lang w:val="en-GB"/>
              </w:rPr>
              <w:t>LPA has a clear mandate to advocate for and support policy decisions that benefit the sustainability and growth of the live performance industry in Australia.</w:t>
            </w:r>
          </w:p>
        </w:tc>
      </w:tr>
    </w:tbl>
    <w:p w14:paraId="3D53EE85" w14:textId="77777777" w:rsidR="00920AF3" w:rsidRPr="00AA4C1E" w:rsidRDefault="00920AF3">
      <w:pPr>
        <w:widowControl w:val="0"/>
        <w:autoSpaceDE w:val="0"/>
        <w:autoSpaceDN w:val="0"/>
        <w:adjustRightInd w:val="0"/>
        <w:spacing w:after="0"/>
        <w:ind w:right="133"/>
        <w:textAlignment w:val="center"/>
        <w:rPr>
          <w:rFonts w:cs="Arial"/>
          <w:color w:val="000000"/>
          <w:sz w:val="20"/>
          <w:szCs w:val="20"/>
          <w:lang w:val="en-GB"/>
        </w:rPr>
      </w:pPr>
    </w:p>
    <w:sectPr w:rsidR="00920AF3" w:rsidRPr="00AA4C1E" w:rsidSect="00D10D27">
      <w:headerReference w:type="default" r:id="rId21"/>
      <w:footerReference w:type="default" r:id="rId22"/>
      <w:pgSz w:w="11900" w:h="16840"/>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16DA9" w14:textId="77777777" w:rsidR="001D1A96" w:rsidRDefault="001D1A96" w:rsidP="00247541">
      <w:pPr>
        <w:spacing w:after="0" w:line="240" w:lineRule="auto"/>
      </w:pPr>
      <w:r>
        <w:separator/>
      </w:r>
    </w:p>
  </w:endnote>
  <w:endnote w:type="continuationSeparator" w:id="0">
    <w:p w14:paraId="486F4D73" w14:textId="77777777" w:rsidR="001D1A96" w:rsidRDefault="001D1A96" w:rsidP="0024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83AF3" w14:textId="7F92D54D" w:rsidR="001D1A96" w:rsidRPr="00D10D27" w:rsidRDefault="001D1A96">
    <w:pPr>
      <w:pStyle w:val="Footer"/>
      <w:jc w:val="center"/>
      <w:rPr>
        <w:rFonts w:ascii="Arial" w:hAnsi="Arial" w:cs="Arial"/>
        <w:sz w:val="20"/>
        <w:szCs w:val="20"/>
      </w:rPr>
    </w:pPr>
  </w:p>
  <w:p w14:paraId="7C0A61F2" w14:textId="77777777" w:rsidR="001D1A96" w:rsidRDefault="001D1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459107"/>
      <w:docPartObj>
        <w:docPartGallery w:val="Page Numbers (Bottom of Page)"/>
        <w:docPartUnique/>
      </w:docPartObj>
    </w:sdtPr>
    <w:sdtEndPr>
      <w:rPr>
        <w:rFonts w:cs="Arial"/>
        <w:noProof/>
        <w:sz w:val="20"/>
        <w:szCs w:val="20"/>
      </w:rPr>
    </w:sdtEndPr>
    <w:sdtContent>
      <w:p w14:paraId="43D73519" w14:textId="2D04D85F" w:rsidR="001D1A96" w:rsidRPr="001442AB" w:rsidRDefault="001442AB" w:rsidP="001442AB">
        <w:pPr>
          <w:pStyle w:val="Footer"/>
          <w:jc w:val="center"/>
          <w:rPr>
            <w:rFonts w:cs="Arial"/>
            <w:sz w:val="20"/>
            <w:szCs w:val="20"/>
          </w:rPr>
        </w:pPr>
        <w:r>
          <w:t xml:space="preserve">- </w:t>
        </w:r>
        <w:r w:rsidR="001D1A96" w:rsidRPr="001442AB">
          <w:rPr>
            <w:rFonts w:cs="Arial"/>
            <w:sz w:val="20"/>
            <w:szCs w:val="20"/>
          </w:rPr>
          <w:fldChar w:fldCharType="begin"/>
        </w:r>
        <w:r w:rsidR="001D1A96" w:rsidRPr="001442AB">
          <w:rPr>
            <w:rFonts w:cs="Arial"/>
            <w:sz w:val="20"/>
            <w:szCs w:val="20"/>
          </w:rPr>
          <w:instrText xml:space="preserve"> PAGE   \* MERGEFORMAT </w:instrText>
        </w:r>
        <w:r w:rsidR="001D1A96" w:rsidRPr="001442AB">
          <w:rPr>
            <w:rFonts w:cs="Arial"/>
            <w:sz w:val="20"/>
            <w:szCs w:val="20"/>
          </w:rPr>
          <w:fldChar w:fldCharType="separate"/>
        </w:r>
        <w:r w:rsidR="004428C3">
          <w:rPr>
            <w:rFonts w:cs="Arial"/>
            <w:noProof/>
            <w:sz w:val="20"/>
            <w:szCs w:val="20"/>
          </w:rPr>
          <w:t>6</w:t>
        </w:r>
        <w:r w:rsidR="001D1A96" w:rsidRPr="001442AB">
          <w:rPr>
            <w:rFonts w:cs="Arial"/>
            <w:noProof/>
            <w:sz w:val="20"/>
            <w:szCs w:val="20"/>
          </w:rPr>
          <w:fldChar w:fldCharType="end"/>
        </w:r>
        <w:r>
          <w:rPr>
            <w:rFonts w:cs="Arial"/>
            <w:noProof/>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28E97" w14:textId="77777777" w:rsidR="001D1A96" w:rsidRDefault="001D1A96" w:rsidP="00247541">
      <w:pPr>
        <w:spacing w:after="0" w:line="240" w:lineRule="auto"/>
      </w:pPr>
      <w:r>
        <w:separator/>
      </w:r>
    </w:p>
  </w:footnote>
  <w:footnote w:type="continuationSeparator" w:id="0">
    <w:p w14:paraId="083A2F3F" w14:textId="77777777" w:rsidR="001D1A96" w:rsidRDefault="001D1A96" w:rsidP="00247541">
      <w:pPr>
        <w:spacing w:after="0" w:line="240" w:lineRule="auto"/>
      </w:pPr>
      <w:r>
        <w:continuationSeparator/>
      </w:r>
    </w:p>
  </w:footnote>
  <w:footnote w:id="1">
    <w:p w14:paraId="6D5AFC8F" w14:textId="4029F824" w:rsidR="00822C80" w:rsidRPr="00AA4C1E" w:rsidRDefault="00822C80">
      <w:pPr>
        <w:pStyle w:val="FootnoteText"/>
        <w:rPr>
          <w:rFonts w:ascii="Calibri" w:hAnsi="Calibri"/>
          <w:sz w:val="18"/>
          <w:szCs w:val="18"/>
        </w:rPr>
      </w:pPr>
      <w:r w:rsidRPr="00AA4C1E">
        <w:rPr>
          <w:rStyle w:val="FootnoteReference"/>
          <w:rFonts w:ascii="Calibri" w:hAnsi="Calibri"/>
          <w:sz w:val="18"/>
          <w:szCs w:val="18"/>
        </w:rPr>
        <w:footnoteRef/>
      </w:r>
      <w:r w:rsidRPr="00AA4C1E">
        <w:rPr>
          <w:rFonts w:ascii="Calibri" w:hAnsi="Calibri"/>
          <w:sz w:val="18"/>
          <w:szCs w:val="18"/>
        </w:rPr>
        <w:t xml:space="preserve"> Screen Australia (November 2017), </w:t>
      </w:r>
      <w:r w:rsidRPr="00AA4C1E">
        <w:rPr>
          <w:rFonts w:ascii="Calibri" w:hAnsi="Calibri"/>
          <w:i/>
          <w:sz w:val="18"/>
          <w:szCs w:val="18"/>
        </w:rPr>
        <w:t>Skin in the Game: The Producer Offset 10 Years On</w:t>
      </w:r>
      <w:r w:rsidR="00F56EF4" w:rsidRPr="00AA4C1E">
        <w:rPr>
          <w:rFonts w:ascii="Calibri" w:hAnsi="Calibri"/>
          <w:sz w:val="18"/>
          <w:szCs w:val="18"/>
        </w:rPr>
        <w:t>, p.3</w:t>
      </w:r>
      <w:r w:rsidR="00670C63" w:rsidRPr="00AA4C1E">
        <w:rPr>
          <w:rFonts w:ascii="Calibri" w:hAnsi="Calibri"/>
          <w:sz w:val="18"/>
          <w:szCs w:val="18"/>
        </w:rPr>
        <w:t>-17</w:t>
      </w:r>
    </w:p>
  </w:footnote>
  <w:footnote w:id="2">
    <w:p w14:paraId="28A88175" w14:textId="77777777" w:rsidR="00351CE7" w:rsidRPr="00351CE7" w:rsidRDefault="00631D1D" w:rsidP="00351CE7">
      <w:pPr>
        <w:pStyle w:val="FootnoteText"/>
        <w:rPr>
          <w:rFonts w:ascii="Calibri" w:hAnsi="Calibri"/>
          <w:sz w:val="18"/>
          <w:szCs w:val="18"/>
        </w:rPr>
      </w:pPr>
      <w:r w:rsidRPr="00AA4C1E">
        <w:rPr>
          <w:rStyle w:val="FootnoteReference"/>
          <w:rFonts w:ascii="Calibri" w:hAnsi="Calibri"/>
          <w:sz w:val="18"/>
          <w:szCs w:val="18"/>
        </w:rPr>
        <w:footnoteRef/>
      </w:r>
      <w:r w:rsidRPr="00AA4C1E">
        <w:rPr>
          <w:rFonts w:ascii="Calibri" w:hAnsi="Calibri"/>
          <w:sz w:val="18"/>
          <w:szCs w:val="18"/>
        </w:rPr>
        <w:t xml:space="preserve"> </w:t>
      </w:r>
      <w:r w:rsidR="00351CE7" w:rsidRPr="00351CE7">
        <w:rPr>
          <w:rFonts w:ascii="Calibri" w:hAnsi="Calibri"/>
          <w:sz w:val="18"/>
          <w:szCs w:val="18"/>
        </w:rPr>
        <w:t xml:space="preserve">Society of London Theatre, Media Release (11 May 2016), Ticket Relief News, accessed online: </w:t>
      </w:r>
    </w:p>
    <w:p w14:paraId="2D821D0C" w14:textId="675EF338" w:rsidR="003108EF" w:rsidRPr="00AA4C1E" w:rsidRDefault="00351CE7" w:rsidP="00351CE7">
      <w:pPr>
        <w:pStyle w:val="FootnoteText"/>
        <w:rPr>
          <w:rFonts w:ascii="Calibri" w:hAnsi="Calibri"/>
          <w:sz w:val="18"/>
          <w:szCs w:val="18"/>
        </w:rPr>
      </w:pPr>
      <w:r w:rsidRPr="00351CE7">
        <w:rPr>
          <w:rFonts w:ascii="Calibri" w:hAnsi="Calibri"/>
          <w:sz w:val="18"/>
          <w:szCs w:val="18"/>
        </w:rPr>
        <w:t xml:space="preserve">&lt; </w:t>
      </w:r>
      <w:hyperlink r:id="rId1" w:history="1">
        <w:r w:rsidRPr="00B8004B">
          <w:rPr>
            <w:rStyle w:val="Hyperlink"/>
            <w:rFonts w:ascii="Calibri" w:hAnsi="Calibri"/>
            <w:sz w:val="18"/>
            <w:szCs w:val="18"/>
          </w:rPr>
          <w:t>https://uktheatre.org/theatre-industry/news/tax-relief-news/</w:t>
        </w:r>
      </w:hyperlink>
      <w:r>
        <w:rPr>
          <w:rFonts w:ascii="Calibri" w:hAnsi="Calibri"/>
          <w:sz w:val="18"/>
          <w:szCs w:val="18"/>
        </w:rPr>
        <w:t>&gt;</w:t>
      </w:r>
      <w:r w:rsidRPr="00351CE7">
        <w:rPr>
          <w:rFonts w:ascii="Calibri" w:hAnsi="Calibri"/>
          <w:sz w:val="18"/>
          <w:szCs w:val="18"/>
        </w:rPr>
        <w:t xml:space="preserve">; The Stage (21 July 2017), Theatre tax relief brings savings to nearly 2,000 shows, accessed online: &lt; </w:t>
      </w:r>
      <w:hyperlink r:id="rId2" w:history="1">
        <w:r w:rsidRPr="00B8004B">
          <w:rPr>
            <w:rStyle w:val="Hyperlink"/>
            <w:rFonts w:ascii="Calibri" w:hAnsi="Calibri"/>
            <w:sz w:val="18"/>
            <w:szCs w:val="18"/>
          </w:rPr>
          <w:t>https://www.thestage.co.uk/news/2017/theatre-tax-relief-brings-savings-nearly-2000-shows/</w:t>
        </w:r>
      </w:hyperlink>
      <w:r w:rsidRPr="00351CE7">
        <w:rPr>
          <w:rFonts w:ascii="Calibri" w:hAnsi="Calibri"/>
          <w:sz w:val="18"/>
          <w:szCs w:val="18"/>
        </w:rPr>
        <w:t>&gt;.</w:t>
      </w:r>
      <w:r>
        <w:rPr>
          <w:rFonts w:ascii="Calibri" w:hAnsi="Calibri"/>
          <w:sz w:val="18"/>
          <w:szCs w:val="18"/>
        </w:rPr>
        <w:t xml:space="preserve"> </w:t>
      </w:r>
    </w:p>
  </w:footnote>
  <w:footnote w:id="3">
    <w:p w14:paraId="4B759C52" w14:textId="69E5A07F" w:rsidR="00351CE7" w:rsidRPr="00351CE7" w:rsidRDefault="00351CE7">
      <w:pPr>
        <w:pStyle w:val="FootnoteText"/>
        <w:rPr>
          <w:rFonts w:ascii="Calibri" w:hAnsi="Calibri"/>
          <w:sz w:val="18"/>
          <w:szCs w:val="18"/>
        </w:rPr>
      </w:pPr>
      <w:r>
        <w:rPr>
          <w:rStyle w:val="FootnoteReference"/>
        </w:rPr>
        <w:footnoteRef/>
      </w:r>
      <w:r>
        <w:t xml:space="preserve"> </w:t>
      </w:r>
      <w:r w:rsidRPr="00351CE7">
        <w:rPr>
          <w:rFonts w:ascii="Calibri" w:hAnsi="Calibri"/>
          <w:sz w:val="18"/>
          <w:szCs w:val="18"/>
        </w:rPr>
        <w:t>Arts Professional</w:t>
      </w:r>
      <w:r>
        <w:rPr>
          <w:rFonts w:ascii="Calibri" w:hAnsi="Calibri"/>
          <w:sz w:val="18"/>
          <w:szCs w:val="18"/>
        </w:rPr>
        <w:t xml:space="preserve"> (27 July 2018)</w:t>
      </w:r>
      <w:r w:rsidRPr="00351CE7">
        <w:rPr>
          <w:rFonts w:ascii="Calibri" w:hAnsi="Calibri"/>
          <w:sz w:val="18"/>
          <w:szCs w:val="18"/>
        </w:rPr>
        <w:t xml:space="preserve">, </w:t>
      </w:r>
      <w:r w:rsidRPr="00351CE7">
        <w:rPr>
          <w:rFonts w:ascii="Calibri" w:hAnsi="Calibri"/>
          <w:i/>
          <w:sz w:val="18"/>
          <w:szCs w:val="18"/>
        </w:rPr>
        <w:t>Theatre tax relief payouts rise by two thirds</w:t>
      </w:r>
      <w:r w:rsidRPr="00351CE7">
        <w:rPr>
          <w:rFonts w:ascii="Calibri" w:hAnsi="Calibri"/>
          <w:sz w:val="18"/>
          <w:szCs w:val="18"/>
        </w:rPr>
        <w:t xml:space="preserve">, </w:t>
      </w:r>
      <w:r>
        <w:rPr>
          <w:rFonts w:ascii="Calibri" w:hAnsi="Calibri"/>
          <w:sz w:val="18"/>
          <w:szCs w:val="18"/>
        </w:rPr>
        <w:t>accessed online 8 January 2019 &lt;</w:t>
      </w:r>
      <w:hyperlink r:id="rId3" w:history="1">
        <w:r w:rsidRPr="00B8004B">
          <w:rPr>
            <w:rStyle w:val="Hyperlink"/>
            <w:rFonts w:ascii="Calibri" w:hAnsi="Calibri"/>
            <w:sz w:val="18"/>
            <w:szCs w:val="18"/>
          </w:rPr>
          <w:t>https://www.artsprofessional.co.uk/news/theatre-tax-relief-payouts-rise-two-thirds</w:t>
        </w:r>
      </w:hyperlink>
      <w:r>
        <w:rPr>
          <w:rFonts w:ascii="Calibri" w:hAnsi="Calibri"/>
          <w:sz w:val="18"/>
          <w:szCs w:val="18"/>
        </w:rPr>
        <w:t>&gt;</w:t>
      </w:r>
    </w:p>
  </w:footnote>
  <w:footnote w:id="4">
    <w:p w14:paraId="303D0465" w14:textId="4A4E19F8" w:rsidR="00485631" w:rsidRPr="00AA4C1E" w:rsidRDefault="00485631" w:rsidP="00485631">
      <w:pPr>
        <w:pStyle w:val="FootnoteText"/>
        <w:rPr>
          <w:rFonts w:ascii="Calibri" w:hAnsi="Calibri"/>
        </w:rPr>
      </w:pPr>
      <w:r w:rsidRPr="00AA4C1E">
        <w:rPr>
          <w:rStyle w:val="FootnoteReference"/>
          <w:rFonts w:ascii="Calibri" w:hAnsi="Calibri"/>
        </w:rPr>
        <w:footnoteRef/>
      </w:r>
      <w:r w:rsidRPr="00AA4C1E">
        <w:rPr>
          <w:rFonts w:ascii="Calibri" w:hAnsi="Calibri"/>
        </w:rPr>
        <w:t xml:space="preserve"> </w:t>
      </w:r>
      <w:r w:rsidR="00351CE7" w:rsidRPr="00351CE7">
        <w:rPr>
          <w:rFonts w:ascii="Calibri" w:hAnsi="Calibri"/>
          <w:sz w:val="18"/>
          <w:szCs w:val="18"/>
        </w:rPr>
        <w:t xml:space="preserve">UK HM Revenue and Customs (July 2018), </w:t>
      </w:r>
      <w:r w:rsidR="00351CE7" w:rsidRPr="00351CE7">
        <w:rPr>
          <w:rFonts w:ascii="Calibri" w:hAnsi="Calibri"/>
          <w:i/>
          <w:sz w:val="18"/>
          <w:szCs w:val="18"/>
        </w:rPr>
        <w:t>Creative Industries Statistics, July 2018, Official Statistics on Film, High-End Television, Animation, Video Games, Children’s Television, Theatre and Orchestra Tax Relief</w:t>
      </w:r>
      <w:r w:rsidR="00351CE7" w:rsidRPr="00351CE7">
        <w:rPr>
          <w:rFonts w:ascii="Calibri" w:hAnsi="Calibri"/>
          <w:sz w:val="18"/>
          <w:szCs w:val="18"/>
        </w:rPr>
        <w:t>, p.23</w:t>
      </w:r>
    </w:p>
  </w:footnote>
  <w:footnote w:id="5">
    <w:p w14:paraId="3B99177E" w14:textId="08C533C4" w:rsidR="00631D1D" w:rsidRDefault="00631D1D">
      <w:pPr>
        <w:pStyle w:val="FootnoteText"/>
      </w:pPr>
      <w:r w:rsidRPr="00AA4C1E">
        <w:rPr>
          <w:rStyle w:val="FootnoteReference"/>
          <w:rFonts w:ascii="Calibri" w:hAnsi="Calibri"/>
          <w:sz w:val="18"/>
          <w:szCs w:val="18"/>
        </w:rPr>
        <w:footnoteRef/>
      </w:r>
      <w:r w:rsidRPr="00AA4C1E">
        <w:rPr>
          <w:rFonts w:ascii="Calibri" w:hAnsi="Calibri"/>
          <w:sz w:val="18"/>
          <w:szCs w:val="18"/>
        </w:rPr>
        <w:t xml:space="preserve"> Ernst and Young (2016), </w:t>
      </w:r>
      <w:r w:rsidRPr="00AA4C1E">
        <w:rPr>
          <w:rFonts w:ascii="Calibri" w:hAnsi="Calibri"/>
          <w:i/>
          <w:sz w:val="18"/>
          <w:szCs w:val="18"/>
        </w:rPr>
        <w:t>Investment support for the live performance industry</w:t>
      </w:r>
      <w:r w:rsidRPr="00AA4C1E">
        <w:rPr>
          <w:rFonts w:ascii="Calibri" w:hAnsi="Calibri"/>
          <w:sz w:val="18"/>
          <w:szCs w:val="18"/>
        </w:rPr>
        <w:t>, Report for Live Performance Australia</w:t>
      </w:r>
    </w:p>
  </w:footnote>
  <w:footnote w:id="6">
    <w:p w14:paraId="1DD97466" w14:textId="77777777" w:rsidR="007E3FC6" w:rsidRPr="002E76F6" w:rsidRDefault="007E3FC6" w:rsidP="007E3FC6">
      <w:pPr>
        <w:pStyle w:val="FootnoteText"/>
        <w:rPr>
          <w:sz w:val="18"/>
          <w:szCs w:val="18"/>
        </w:rPr>
      </w:pPr>
      <w:r w:rsidRPr="002E76F6">
        <w:rPr>
          <w:rStyle w:val="FootnoteReference"/>
          <w:sz w:val="18"/>
          <w:szCs w:val="18"/>
        </w:rPr>
        <w:footnoteRef/>
      </w:r>
      <w:r w:rsidRPr="002E76F6">
        <w:rPr>
          <w:sz w:val="18"/>
          <w:szCs w:val="18"/>
        </w:rPr>
        <w:t xml:space="preserve"> </w:t>
      </w:r>
      <w:r w:rsidRPr="00AA4C1E">
        <w:rPr>
          <w:rFonts w:ascii="Calibri" w:hAnsi="Calibri"/>
          <w:sz w:val="18"/>
          <w:szCs w:val="18"/>
        </w:rPr>
        <w:t xml:space="preserve">Creative Victoria (2016), </w:t>
      </w:r>
      <w:r w:rsidRPr="00AA4C1E">
        <w:rPr>
          <w:rFonts w:ascii="Calibri" w:hAnsi="Calibri"/>
          <w:i/>
          <w:sz w:val="18"/>
          <w:szCs w:val="18"/>
        </w:rPr>
        <w:t>Creative State: Victoria’s First Creative Industries Strategy</w:t>
      </w:r>
      <w:r w:rsidRPr="00AA4C1E">
        <w:rPr>
          <w:rFonts w:ascii="Calibri" w:hAnsi="Calibri"/>
          <w:sz w:val="18"/>
          <w:szCs w:val="18"/>
        </w:rPr>
        <w:t>, p.17</w:t>
      </w:r>
    </w:p>
  </w:footnote>
  <w:footnote w:id="7">
    <w:p w14:paraId="72E50CE0" w14:textId="60E047E0" w:rsidR="00FE4651" w:rsidRPr="00FE4651" w:rsidRDefault="00FE4651">
      <w:pPr>
        <w:pStyle w:val="FootnoteText"/>
        <w:rPr>
          <w:rFonts w:ascii="Calibri" w:hAnsi="Calibri"/>
          <w:i/>
          <w:sz w:val="18"/>
          <w:szCs w:val="18"/>
        </w:rPr>
      </w:pPr>
      <w:r>
        <w:rPr>
          <w:rStyle w:val="FootnoteReference"/>
        </w:rPr>
        <w:footnoteRef/>
      </w:r>
      <w:r>
        <w:t xml:space="preserve"> </w:t>
      </w:r>
      <w:r w:rsidRPr="00FE4651">
        <w:rPr>
          <w:rFonts w:ascii="Calibri" w:hAnsi="Calibri"/>
          <w:sz w:val="18"/>
          <w:szCs w:val="18"/>
        </w:rPr>
        <w:t>Australia Council for the Arts</w:t>
      </w:r>
      <w:r>
        <w:rPr>
          <w:rFonts w:ascii="Calibri" w:hAnsi="Calibri"/>
          <w:sz w:val="18"/>
          <w:szCs w:val="18"/>
        </w:rPr>
        <w:t xml:space="preserve"> (2019), </w:t>
      </w:r>
      <w:r w:rsidRPr="00FE4651">
        <w:rPr>
          <w:rFonts w:ascii="Calibri" w:hAnsi="Calibri"/>
          <w:i/>
          <w:sz w:val="18"/>
          <w:szCs w:val="18"/>
        </w:rPr>
        <w:t>First Nations artists and ambitious projects shine in highly competitive Australia Council grants round</w:t>
      </w:r>
      <w:r>
        <w:rPr>
          <w:rFonts w:ascii="Calibri" w:hAnsi="Calibri"/>
          <w:i/>
          <w:sz w:val="18"/>
          <w:szCs w:val="18"/>
        </w:rPr>
        <w:t xml:space="preserve">, </w:t>
      </w:r>
      <w:r w:rsidRPr="00FE4651">
        <w:rPr>
          <w:rFonts w:ascii="Calibri" w:hAnsi="Calibri"/>
          <w:sz w:val="18"/>
          <w:szCs w:val="18"/>
        </w:rPr>
        <w:t>M</w:t>
      </w:r>
      <w:r>
        <w:rPr>
          <w:rFonts w:ascii="Calibri" w:hAnsi="Calibri"/>
          <w:sz w:val="18"/>
          <w:szCs w:val="18"/>
        </w:rPr>
        <w:t>edia release, 11 January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8B055" w14:textId="30E82879" w:rsidR="00AA4C1E" w:rsidRDefault="00AA4C1E">
    <w:pPr>
      <w:pStyle w:val="Header"/>
    </w:pPr>
    <w:r>
      <w:rPr>
        <w:noProof/>
        <w:lang w:val="en-AU" w:eastAsia="en-AU"/>
      </w:rPr>
      <w:drawing>
        <wp:anchor distT="0" distB="0" distL="114300" distR="114300" simplePos="0" relativeHeight="251659264" behindDoc="1" locked="0" layoutInCell="1" allowOverlap="1" wp14:anchorId="55658358" wp14:editId="2EA2FC91">
          <wp:simplePos x="0" y="0"/>
          <wp:positionH relativeFrom="page">
            <wp:posOffset>10160</wp:posOffset>
          </wp:positionH>
          <wp:positionV relativeFrom="page">
            <wp:posOffset>22225</wp:posOffset>
          </wp:positionV>
          <wp:extent cx="7527600" cy="10652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425 LPA Letterhead FA - no text.pdf"/>
                  <pic:cNvPicPr/>
                </pic:nvPicPr>
                <pic:blipFill>
                  <a:blip r:embed="rId1">
                    <a:extLst>
                      <a:ext uri="{28A0092B-C50C-407E-A947-70E740481C1C}">
                        <a14:useLocalDpi xmlns:a14="http://schemas.microsoft.com/office/drawing/2010/main" val="0"/>
                      </a:ext>
                    </a:extLst>
                  </a:blip>
                  <a:stretch>
                    <a:fillRect/>
                  </a:stretch>
                </pic:blipFill>
                <pic:spPr>
                  <a:xfrm>
                    <a:off x="0" y="0"/>
                    <a:ext cx="75276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6FFBC" w14:textId="367361E9" w:rsidR="001D1A96" w:rsidRDefault="001D1A96" w:rsidP="0021601C">
    <w:pPr>
      <w:pStyle w:val="Header"/>
      <w:spacing w:after="0"/>
      <w:jc w:val="right"/>
    </w:pPr>
    <w:r>
      <w:rPr>
        <w:noProof/>
        <w:lang w:val="en-AU" w:eastAsia="en-AU"/>
      </w:rPr>
      <w:drawing>
        <wp:inline distT="0" distB="0" distL="0" distR="0" wp14:anchorId="57C14341" wp14:editId="2C3DED8E">
          <wp:extent cx="1781175" cy="660437"/>
          <wp:effectExtent l="0" t="0" r="0" b="6350"/>
          <wp:docPr id="3" name="Picture 3" descr="C:\Users\ktran\AppData\Local\Microsoft\Windows\Temporary Internet Files\Content.Word\LPA Logo Colour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ran\AppData\Local\Microsoft\Windows\Temporary Internet Files\Content.Word\LPA Logo Colour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60437"/>
                  </a:xfrm>
                  <a:prstGeom prst="rect">
                    <a:avLst/>
                  </a:prstGeom>
                  <a:noFill/>
                  <a:ln>
                    <a:noFill/>
                  </a:ln>
                </pic:spPr>
              </pic:pic>
            </a:graphicData>
          </a:graphic>
        </wp:inline>
      </w:drawing>
    </w:r>
  </w:p>
  <w:p w14:paraId="037FFA4B" w14:textId="77777777" w:rsidR="0021601C" w:rsidRDefault="0021601C" w:rsidP="0021601C">
    <w:pPr>
      <w:pStyle w:val="Heade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C9D"/>
    <w:multiLevelType w:val="hybridMultilevel"/>
    <w:tmpl w:val="BE7AF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61619B"/>
    <w:multiLevelType w:val="hybridMultilevel"/>
    <w:tmpl w:val="2F4C051A"/>
    <w:lvl w:ilvl="0" w:tplc="FCF6FC1A">
      <w:start w:val="1"/>
      <w:numFmt w:val="decimal"/>
      <w:lvlText w:val="%1."/>
      <w:lvlJc w:val="left"/>
      <w:pPr>
        <w:ind w:left="1080" w:hanging="360"/>
      </w:pPr>
      <w:rPr>
        <w:rFonts w:hint="default"/>
        <w:color w:val="ED1E42"/>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88D4B2E"/>
    <w:multiLevelType w:val="hybridMultilevel"/>
    <w:tmpl w:val="B628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7611F"/>
    <w:multiLevelType w:val="hybridMultilevel"/>
    <w:tmpl w:val="4E94132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nsid w:val="0CBB1835"/>
    <w:multiLevelType w:val="hybridMultilevel"/>
    <w:tmpl w:val="97AAE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8368E0"/>
    <w:multiLevelType w:val="hybridMultilevel"/>
    <w:tmpl w:val="411C226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nsid w:val="157F6E22"/>
    <w:multiLevelType w:val="hybridMultilevel"/>
    <w:tmpl w:val="34C016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790231E"/>
    <w:multiLevelType w:val="hybridMultilevel"/>
    <w:tmpl w:val="D256B1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nsid w:val="286F55E6"/>
    <w:multiLevelType w:val="hybridMultilevel"/>
    <w:tmpl w:val="209C6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F190D73"/>
    <w:multiLevelType w:val="hybridMultilevel"/>
    <w:tmpl w:val="58E4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8D7648"/>
    <w:multiLevelType w:val="hybridMultilevel"/>
    <w:tmpl w:val="F0C076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A65881"/>
    <w:multiLevelType w:val="hybridMultilevel"/>
    <w:tmpl w:val="4978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876D89"/>
    <w:multiLevelType w:val="hybridMultilevel"/>
    <w:tmpl w:val="E6725ED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CE615E4"/>
    <w:multiLevelType w:val="multilevel"/>
    <w:tmpl w:val="CCC07D4C"/>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0E2604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356002E"/>
    <w:multiLevelType w:val="hybridMultilevel"/>
    <w:tmpl w:val="D354F1BE"/>
    <w:lvl w:ilvl="0" w:tplc="E4C4B57C">
      <w:start w:val="2017"/>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2E1B9C"/>
    <w:multiLevelType w:val="hybridMultilevel"/>
    <w:tmpl w:val="DCBE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D533F1B"/>
    <w:multiLevelType w:val="hybridMultilevel"/>
    <w:tmpl w:val="3B4E9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DF31B9B"/>
    <w:multiLevelType w:val="hybridMultilevel"/>
    <w:tmpl w:val="5C4C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817CAE"/>
    <w:multiLevelType w:val="hybridMultilevel"/>
    <w:tmpl w:val="C076ED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nsid w:val="4EE728B3"/>
    <w:multiLevelType w:val="hybridMultilevel"/>
    <w:tmpl w:val="0A34CD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1252E3D"/>
    <w:multiLevelType w:val="hybridMultilevel"/>
    <w:tmpl w:val="70F0329C"/>
    <w:lvl w:ilvl="0" w:tplc="9512470E">
      <w:start w:val="1"/>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930803"/>
    <w:multiLevelType w:val="hybridMultilevel"/>
    <w:tmpl w:val="342AA67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5C5D2D75"/>
    <w:multiLevelType w:val="hybridMultilevel"/>
    <w:tmpl w:val="15DA9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779604B"/>
    <w:multiLevelType w:val="hybridMultilevel"/>
    <w:tmpl w:val="EA8ED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8F37F7B"/>
    <w:multiLevelType w:val="hybridMultilevel"/>
    <w:tmpl w:val="AE520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C0E32BB"/>
    <w:multiLevelType w:val="hybridMultilevel"/>
    <w:tmpl w:val="C1A21F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nsid w:val="6D565709"/>
    <w:multiLevelType w:val="hybridMultilevel"/>
    <w:tmpl w:val="5EE4A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924E8A"/>
    <w:multiLevelType w:val="hybridMultilevel"/>
    <w:tmpl w:val="8ECEE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5"/>
  </w:num>
  <w:num w:numId="3">
    <w:abstractNumId w:val="3"/>
  </w:num>
  <w:num w:numId="4">
    <w:abstractNumId w:val="28"/>
  </w:num>
  <w:num w:numId="5">
    <w:abstractNumId w:val="13"/>
  </w:num>
  <w:num w:numId="6">
    <w:abstractNumId w:val="23"/>
  </w:num>
  <w:num w:numId="7">
    <w:abstractNumId w:val="21"/>
  </w:num>
  <w:num w:numId="8">
    <w:abstractNumId w:val="12"/>
  </w:num>
  <w:num w:numId="9">
    <w:abstractNumId w:val="7"/>
  </w:num>
  <w:num w:numId="10">
    <w:abstractNumId w:val="11"/>
  </w:num>
  <w:num w:numId="11">
    <w:abstractNumId w:val="16"/>
  </w:num>
  <w:num w:numId="12">
    <w:abstractNumId w:val="4"/>
  </w:num>
  <w:num w:numId="13">
    <w:abstractNumId w:val="25"/>
  </w:num>
  <w:num w:numId="14">
    <w:abstractNumId w:val="6"/>
  </w:num>
  <w:num w:numId="15">
    <w:abstractNumId w:val="24"/>
  </w:num>
  <w:num w:numId="16">
    <w:abstractNumId w:val="19"/>
  </w:num>
  <w:num w:numId="17">
    <w:abstractNumId w:val="26"/>
  </w:num>
  <w:num w:numId="18">
    <w:abstractNumId w:val="0"/>
  </w:num>
  <w:num w:numId="19">
    <w:abstractNumId w:val="14"/>
  </w:num>
  <w:num w:numId="20">
    <w:abstractNumId w:val="18"/>
  </w:num>
  <w:num w:numId="21">
    <w:abstractNumId w:val="2"/>
  </w:num>
  <w:num w:numId="22">
    <w:abstractNumId w:val="1"/>
  </w:num>
  <w:num w:numId="23">
    <w:abstractNumId w:val="20"/>
  </w:num>
  <w:num w:numId="24">
    <w:abstractNumId w:val="15"/>
  </w:num>
  <w:num w:numId="25">
    <w:abstractNumId w:val="9"/>
  </w:num>
  <w:num w:numId="26">
    <w:abstractNumId w:val="17"/>
  </w:num>
  <w:num w:numId="27">
    <w:abstractNumId w:val="8"/>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41"/>
    <w:rsid w:val="00001194"/>
    <w:rsid w:val="00012B18"/>
    <w:rsid w:val="00051E69"/>
    <w:rsid w:val="0006008E"/>
    <w:rsid w:val="00060C25"/>
    <w:rsid w:val="0008344A"/>
    <w:rsid w:val="00095230"/>
    <w:rsid w:val="000C0992"/>
    <w:rsid w:val="000F360C"/>
    <w:rsid w:val="000F7A4E"/>
    <w:rsid w:val="00113ECB"/>
    <w:rsid w:val="001219AF"/>
    <w:rsid w:val="001242EF"/>
    <w:rsid w:val="00137D8B"/>
    <w:rsid w:val="001442AB"/>
    <w:rsid w:val="00145510"/>
    <w:rsid w:val="00162CD3"/>
    <w:rsid w:val="00167343"/>
    <w:rsid w:val="001948DB"/>
    <w:rsid w:val="001A78C0"/>
    <w:rsid w:val="001C3FD3"/>
    <w:rsid w:val="001D1A96"/>
    <w:rsid w:val="001F5EC9"/>
    <w:rsid w:val="0021601C"/>
    <w:rsid w:val="0022024C"/>
    <w:rsid w:val="00223493"/>
    <w:rsid w:val="00247541"/>
    <w:rsid w:val="00253F14"/>
    <w:rsid w:val="002617AC"/>
    <w:rsid w:val="002712C0"/>
    <w:rsid w:val="0029594E"/>
    <w:rsid w:val="002A3B24"/>
    <w:rsid w:val="002A58C4"/>
    <w:rsid w:val="002A7603"/>
    <w:rsid w:val="002C4085"/>
    <w:rsid w:val="002C4E05"/>
    <w:rsid w:val="002E2B8B"/>
    <w:rsid w:val="002E76F6"/>
    <w:rsid w:val="00305C51"/>
    <w:rsid w:val="003079CB"/>
    <w:rsid w:val="003108EF"/>
    <w:rsid w:val="00312195"/>
    <w:rsid w:val="003305B9"/>
    <w:rsid w:val="00342978"/>
    <w:rsid w:val="003431AE"/>
    <w:rsid w:val="00351CE7"/>
    <w:rsid w:val="00373C36"/>
    <w:rsid w:val="003765EF"/>
    <w:rsid w:val="003B595B"/>
    <w:rsid w:val="00405AD9"/>
    <w:rsid w:val="00410004"/>
    <w:rsid w:val="00413200"/>
    <w:rsid w:val="004201AC"/>
    <w:rsid w:val="00425D1E"/>
    <w:rsid w:val="00426763"/>
    <w:rsid w:val="004428C3"/>
    <w:rsid w:val="004430C6"/>
    <w:rsid w:val="00482184"/>
    <w:rsid w:val="00485631"/>
    <w:rsid w:val="004A1426"/>
    <w:rsid w:val="004A3A5F"/>
    <w:rsid w:val="004B0449"/>
    <w:rsid w:val="004B548A"/>
    <w:rsid w:val="004B71AE"/>
    <w:rsid w:val="004C5BCB"/>
    <w:rsid w:val="004F2F9F"/>
    <w:rsid w:val="004F72F7"/>
    <w:rsid w:val="00524D19"/>
    <w:rsid w:val="0053368A"/>
    <w:rsid w:val="00534291"/>
    <w:rsid w:val="005447DB"/>
    <w:rsid w:val="00547BE0"/>
    <w:rsid w:val="005502D5"/>
    <w:rsid w:val="0056540E"/>
    <w:rsid w:val="0058481A"/>
    <w:rsid w:val="005954AA"/>
    <w:rsid w:val="005A5DD3"/>
    <w:rsid w:val="005D6760"/>
    <w:rsid w:val="005D6F4E"/>
    <w:rsid w:val="005E5C41"/>
    <w:rsid w:val="006065C8"/>
    <w:rsid w:val="00631D1D"/>
    <w:rsid w:val="006320F4"/>
    <w:rsid w:val="00660BD5"/>
    <w:rsid w:val="00662DC0"/>
    <w:rsid w:val="00667182"/>
    <w:rsid w:val="00670C63"/>
    <w:rsid w:val="00684A1C"/>
    <w:rsid w:val="0069392A"/>
    <w:rsid w:val="006D4A59"/>
    <w:rsid w:val="006E63D9"/>
    <w:rsid w:val="0070169D"/>
    <w:rsid w:val="007031B3"/>
    <w:rsid w:val="00706B4D"/>
    <w:rsid w:val="00715D24"/>
    <w:rsid w:val="00720D79"/>
    <w:rsid w:val="007252C8"/>
    <w:rsid w:val="007301F2"/>
    <w:rsid w:val="00733DC0"/>
    <w:rsid w:val="00743C02"/>
    <w:rsid w:val="007500CB"/>
    <w:rsid w:val="00757065"/>
    <w:rsid w:val="00760C19"/>
    <w:rsid w:val="007642C1"/>
    <w:rsid w:val="00784794"/>
    <w:rsid w:val="00790D22"/>
    <w:rsid w:val="007B43B4"/>
    <w:rsid w:val="007D5B10"/>
    <w:rsid w:val="007E3FC6"/>
    <w:rsid w:val="007F078B"/>
    <w:rsid w:val="007F6AE7"/>
    <w:rsid w:val="00813F32"/>
    <w:rsid w:val="00822C80"/>
    <w:rsid w:val="008237B2"/>
    <w:rsid w:val="00843B05"/>
    <w:rsid w:val="0085440C"/>
    <w:rsid w:val="0089525F"/>
    <w:rsid w:val="008A699F"/>
    <w:rsid w:val="008E369B"/>
    <w:rsid w:val="008E44FC"/>
    <w:rsid w:val="008E5FAF"/>
    <w:rsid w:val="008F241C"/>
    <w:rsid w:val="008F4D4B"/>
    <w:rsid w:val="00903687"/>
    <w:rsid w:val="00920AF3"/>
    <w:rsid w:val="00931EC5"/>
    <w:rsid w:val="00936032"/>
    <w:rsid w:val="00937137"/>
    <w:rsid w:val="0094529B"/>
    <w:rsid w:val="00950128"/>
    <w:rsid w:val="00956A58"/>
    <w:rsid w:val="009649C6"/>
    <w:rsid w:val="00971303"/>
    <w:rsid w:val="009A5022"/>
    <w:rsid w:val="009C62F3"/>
    <w:rsid w:val="009C734F"/>
    <w:rsid w:val="009D38B1"/>
    <w:rsid w:val="009F1204"/>
    <w:rsid w:val="00A047F6"/>
    <w:rsid w:val="00A37774"/>
    <w:rsid w:val="00A70C29"/>
    <w:rsid w:val="00A93A5D"/>
    <w:rsid w:val="00AA4C1E"/>
    <w:rsid w:val="00AB71EB"/>
    <w:rsid w:val="00AC037F"/>
    <w:rsid w:val="00AC641F"/>
    <w:rsid w:val="00AC6C6B"/>
    <w:rsid w:val="00AD71B5"/>
    <w:rsid w:val="00AE381F"/>
    <w:rsid w:val="00B0166E"/>
    <w:rsid w:val="00B01A6C"/>
    <w:rsid w:val="00B17A05"/>
    <w:rsid w:val="00B23F47"/>
    <w:rsid w:val="00B441D9"/>
    <w:rsid w:val="00B57472"/>
    <w:rsid w:val="00B652E4"/>
    <w:rsid w:val="00B8549E"/>
    <w:rsid w:val="00B85513"/>
    <w:rsid w:val="00B90FBB"/>
    <w:rsid w:val="00B93C96"/>
    <w:rsid w:val="00BA6914"/>
    <w:rsid w:val="00BB1F71"/>
    <w:rsid w:val="00BB4055"/>
    <w:rsid w:val="00BC1E92"/>
    <w:rsid w:val="00BD6EE4"/>
    <w:rsid w:val="00C07A83"/>
    <w:rsid w:val="00C338AE"/>
    <w:rsid w:val="00C41206"/>
    <w:rsid w:val="00C659B5"/>
    <w:rsid w:val="00C779B3"/>
    <w:rsid w:val="00C81774"/>
    <w:rsid w:val="00C932CF"/>
    <w:rsid w:val="00C95A45"/>
    <w:rsid w:val="00C96761"/>
    <w:rsid w:val="00CB2DFB"/>
    <w:rsid w:val="00CC3EB9"/>
    <w:rsid w:val="00D10D27"/>
    <w:rsid w:val="00D349B2"/>
    <w:rsid w:val="00D477A4"/>
    <w:rsid w:val="00D52C0C"/>
    <w:rsid w:val="00D617A2"/>
    <w:rsid w:val="00D65B0F"/>
    <w:rsid w:val="00D73D32"/>
    <w:rsid w:val="00D76CAD"/>
    <w:rsid w:val="00D908BD"/>
    <w:rsid w:val="00D9411C"/>
    <w:rsid w:val="00DC2037"/>
    <w:rsid w:val="00DC7912"/>
    <w:rsid w:val="00DE7183"/>
    <w:rsid w:val="00E20801"/>
    <w:rsid w:val="00E2200C"/>
    <w:rsid w:val="00E24340"/>
    <w:rsid w:val="00E375E0"/>
    <w:rsid w:val="00E42860"/>
    <w:rsid w:val="00E47196"/>
    <w:rsid w:val="00E800D6"/>
    <w:rsid w:val="00EB0435"/>
    <w:rsid w:val="00EB6CE1"/>
    <w:rsid w:val="00EC7076"/>
    <w:rsid w:val="00EF3958"/>
    <w:rsid w:val="00F02AB9"/>
    <w:rsid w:val="00F17885"/>
    <w:rsid w:val="00F56EF4"/>
    <w:rsid w:val="00F632FF"/>
    <w:rsid w:val="00F80879"/>
    <w:rsid w:val="00F87DC0"/>
    <w:rsid w:val="00F87DE5"/>
    <w:rsid w:val="00FA0ED0"/>
    <w:rsid w:val="00FB500D"/>
    <w:rsid w:val="00FE4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531240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41"/>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41"/>
    <w:pPr>
      <w:tabs>
        <w:tab w:val="center" w:pos="4320"/>
        <w:tab w:val="right" w:pos="8640"/>
      </w:tabs>
    </w:pPr>
  </w:style>
  <w:style w:type="character" w:customStyle="1" w:styleId="HeaderChar">
    <w:name w:val="Header Char"/>
    <w:basedOn w:val="DefaultParagraphFont"/>
    <w:link w:val="Header"/>
    <w:uiPriority w:val="99"/>
    <w:rsid w:val="00247541"/>
    <w:rPr>
      <w:rFonts w:ascii="Calibri" w:eastAsia="Times New Roman" w:hAnsi="Calibri" w:cs="Times New Roman"/>
      <w:sz w:val="22"/>
      <w:szCs w:val="22"/>
    </w:rPr>
  </w:style>
  <w:style w:type="paragraph" w:styleId="Footer">
    <w:name w:val="footer"/>
    <w:basedOn w:val="Normal"/>
    <w:link w:val="FooterChar"/>
    <w:uiPriority w:val="99"/>
    <w:unhideWhenUsed/>
    <w:rsid w:val="002475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7541"/>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475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541"/>
    <w:rPr>
      <w:rFonts w:ascii="Lucida Grande" w:eastAsia="Times New Roman" w:hAnsi="Lucida Grande" w:cs="Lucida Grande"/>
      <w:sz w:val="18"/>
      <w:szCs w:val="18"/>
    </w:rPr>
  </w:style>
  <w:style w:type="table" w:styleId="TableGrid">
    <w:name w:val="Table Grid"/>
    <w:basedOn w:val="TableNormal"/>
    <w:rsid w:val="0001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A2"/>
    <w:pPr>
      <w:ind w:left="720"/>
      <w:contextualSpacing/>
    </w:pPr>
  </w:style>
  <w:style w:type="character" w:styleId="Hyperlink">
    <w:name w:val="Hyperlink"/>
    <w:basedOn w:val="DefaultParagraphFont"/>
    <w:uiPriority w:val="99"/>
    <w:unhideWhenUsed/>
    <w:rsid w:val="00DC2037"/>
    <w:rPr>
      <w:color w:val="0000FF" w:themeColor="hyperlink"/>
      <w:u w:val="single"/>
    </w:rPr>
  </w:style>
  <w:style w:type="paragraph" w:styleId="FootnoteText">
    <w:name w:val="footnote text"/>
    <w:basedOn w:val="Normal"/>
    <w:link w:val="FootnoteTextChar"/>
    <w:rsid w:val="002617AC"/>
    <w:pPr>
      <w:spacing w:after="0" w:line="240" w:lineRule="auto"/>
    </w:pPr>
    <w:rPr>
      <w:rFonts w:ascii="Arial" w:eastAsia="Times" w:hAnsi="Arial"/>
      <w:sz w:val="20"/>
      <w:szCs w:val="20"/>
      <w:lang w:val="en-AU"/>
    </w:rPr>
  </w:style>
  <w:style w:type="character" w:customStyle="1" w:styleId="FootnoteTextChar">
    <w:name w:val="Footnote Text Char"/>
    <w:basedOn w:val="DefaultParagraphFont"/>
    <w:link w:val="FootnoteText"/>
    <w:rsid w:val="002617AC"/>
    <w:rPr>
      <w:rFonts w:ascii="Arial" w:eastAsia="Times" w:hAnsi="Arial" w:cs="Times New Roman"/>
      <w:sz w:val="20"/>
      <w:szCs w:val="20"/>
      <w:lang w:val="en-AU"/>
    </w:rPr>
  </w:style>
  <w:style w:type="character" w:styleId="FootnoteReference">
    <w:name w:val="footnote reference"/>
    <w:aliases w:val="(NECG) Footnote Reference"/>
    <w:basedOn w:val="DefaultParagraphFont"/>
    <w:rsid w:val="002617AC"/>
    <w:rPr>
      <w:vertAlign w:val="superscript"/>
    </w:rPr>
  </w:style>
  <w:style w:type="character" w:styleId="CommentReference">
    <w:name w:val="annotation reference"/>
    <w:basedOn w:val="DefaultParagraphFont"/>
    <w:semiHidden/>
    <w:unhideWhenUsed/>
    <w:rsid w:val="00426763"/>
    <w:rPr>
      <w:sz w:val="16"/>
      <w:szCs w:val="16"/>
    </w:rPr>
  </w:style>
  <w:style w:type="paragraph" w:styleId="CommentText">
    <w:name w:val="annotation text"/>
    <w:basedOn w:val="Normal"/>
    <w:link w:val="CommentTextChar"/>
    <w:semiHidden/>
    <w:unhideWhenUsed/>
    <w:rsid w:val="00426763"/>
    <w:pPr>
      <w:spacing w:after="0" w:line="240" w:lineRule="auto"/>
    </w:pPr>
    <w:rPr>
      <w:rFonts w:ascii="Arial" w:eastAsia="Times" w:hAnsi="Arial"/>
      <w:sz w:val="20"/>
      <w:szCs w:val="20"/>
      <w:lang w:val="en-AU"/>
    </w:rPr>
  </w:style>
  <w:style w:type="character" w:customStyle="1" w:styleId="CommentTextChar">
    <w:name w:val="Comment Text Char"/>
    <w:basedOn w:val="DefaultParagraphFont"/>
    <w:link w:val="CommentText"/>
    <w:semiHidden/>
    <w:rsid w:val="00426763"/>
    <w:rPr>
      <w:rFonts w:ascii="Arial" w:eastAsia="Times"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E42860"/>
    <w:pPr>
      <w:spacing w:after="200"/>
    </w:pPr>
    <w:rPr>
      <w:rFonts w:ascii="Calibri" w:eastAsia="Times New Roman" w:hAnsi="Calibri"/>
      <w:b/>
      <w:bCs/>
      <w:lang w:val="en-US"/>
    </w:rPr>
  </w:style>
  <w:style w:type="character" w:customStyle="1" w:styleId="CommentSubjectChar">
    <w:name w:val="Comment Subject Char"/>
    <w:basedOn w:val="CommentTextChar"/>
    <w:link w:val="CommentSubject"/>
    <w:uiPriority w:val="99"/>
    <w:semiHidden/>
    <w:rsid w:val="00E42860"/>
    <w:rPr>
      <w:rFonts w:ascii="Calibri" w:eastAsia="Times New Roman" w:hAnsi="Calibri" w:cs="Times New Roman"/>
      <w:b/>
      <w:bCs/>
      <w:sz w:val="20"/>
      <w:szCs w:val="20"/>
      <w:lang w:val="en-AU"/>
    </w:rPr>
  </w:style>
  <w:style w:type="character" w:customStyle="1" w:styleId="UnresolvedMention">
    <w:name w:val="Unresolved Mention"/>
    <w:basedOn w:val="DefaultParagraphFont"/>
    <w:uiPriority w:val="99"/>
    <w:semiHidden/>
    <w:unhideWhenUsed/>
    <w:rsid w:val="00AA4C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41"/>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41"/>
    <w:pPr>
      <w:tabs>
        <w:tab w:val="center" w:pos="4320"/>
        <w:tab w:val="right" w:pos="8640"/>
      </w:tabs>
    </w:pPr>
  </w:style>
  <w:style w:type="character" w:customStyle="1" w:styleId="HeaderChar">
    <w:name w:val="Header Char"/>
    <w:basedOn w:val="DefaultParagraphFont"/>
    <w:link w:val="Header"/>
    <w:uiPriority w:val="99"/>
    <w:rsid w:val="00247541"/>
    <w:rPr>
      <w:rFonts w:ascii="Calibri" w:eastAsia="Times New Roman" w:hAnsi="Calibri" w:cs="Times New Roman"/>
      <w:sz w:val="22"/>
      <w:szCs w:val="22"/>
    </w:rPr>
  </w:style>
  <w:style w:type="paragraph" w:styleId="Footer">
    <w:name w:val="footer"/>
    <w:basedOn w:val="Normal"/>
    <w:link w:val="FooterChar"/>
    <w:uiPriority w:val="99"/>
    <w:unhideWhenUsed/>
    <w:rsid w:val="002475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7541"/>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475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541"/>
    <w:rPr>
      <w:rFonts w:ascii="Lucida Grande" w:eastAsia="Times New Roman" w:hAnsi="Lucida Grande" w:cs="Lucida Grande"/>
      <w:sz w:val="18"/>
      <w:szCs w:val="18"/>
    </w:rPr>
  </w:style>
  <w:style w:type="table" w:styleId="TableGrid">
    <w:name w:val="Table Grid"/>
    <w:basedOn w:val="TableNormal"/>
    <w:rsid w:val="0001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A2"/>
    <w:pPr>
      <w:ind w:left="720"/>
      <w:contextualSpacing/>
    </w:pPr>
  </w:style>
  <w:style w:type="character" w:styleId="Hyperlink">
    <w:name w:val="Hyperlink"/>
    <w:basedOn w:val="DefaultParagraphFont"/>
    <w:uiPriority w:val="99"/>
    <w:unhideWhenUsed/>
    <w:rsid w:val="00DC2037"/>
    <w:rPr>
      <w:color w:val="0000FF" w:themeColor="hyperlink"/>
      <w:u w:val="single"/>
    </w:rPr>
  </w:style>
  <w:style w:type="paragraph" w:styleId="FootnoteText">
    <w:name w:val="footnote text"/>
    <w:basedOn w:val="Normal"/>
    <w:link w:val="FootnoteTextChar"/>
    <w:rsid w:val="002617AC"/>
    <w:pPr>
      <w:spacing w:after="0" w:line="240" w:lineRule="auto"/>
    </w:pPr>
    <w:rPr>
      <w:rFonts w:ascii="Arial" w:eastAsia="Times" w:hAnsi="Arial"/>
      <w:sz w:val="20"/>
      <w:szCs w:val="20"/>
      <w:lang w:val="en-AU"/>
    </w:rPr>
  </w:style>
  <w:style w:type="character" w:customStyle="1" w:styleId="FootnoteTextChar">
    <w:name w:val="Footnote Text Char"/>
    <w:basedOn w:val="DefaultParagraphFont"/>
    <w:link w:val="FootnoteText"/>
    <w:rsid w:val="002617AC"/>
    <w:rPr>
      <w:rFonts w:ascii="Arial" w:eastAsia="Times" w:hAnsi="Arial" w:cs="Times New Roman"/>
      <w:sz w:val="20"/>
      <w:szCs w:val="20"/>
      <w:lang w:val="en-AU"/>
    </w:rPr>
  </w:style>
  <w:style w:type="character" w:styleId="FootnoteReference">
    <w:name w:val="footnote reference"/>
    <w:aliases w:val="(NECG) Footnote Reference"/>
    <w:basedOn w:val="DefaultParagraphFont"/>
    <w:rsid w:val="002617AC"/>
    <w:rPr>
      <w:vertAlign w:val="superscript"/>
    </w:rPr>
  </w:style>
  <w:style w:type="character" w:styleId="CommentReference">
    <w:name w:val="annotation reference"/>
    <w:basedOn w:val="DefaultParagraphFont"/>
    <w:semiHidden/>
    <w:unhideWhenUsed/>
    <w:rsid w:val="00426763"/>
    <w:rPr>
      <w:sz w:val="16"/>
      <w:szCs w:val="16"/>
    </w:rPr>
  </w:style>
  <w:style w:type="paragraph" w:styleId="CommentText">
    <w:name w:val="annotation text"/>
    <w:basedOn w:val="Normal"/>
    <w:link w:val="CommentTextChar"/>
    <w:semiHidden/>
    <w:unhideWhenUsed/>
    <w:rsid w:val="00426763"/>
    <w:pPr>
      <w:spacing w:after="0" w:line="240" w:lineRule="auto"/>
    </w:pPr>
    <w:rPr>
      <w:rFonts w:ascii="Arial" w:eastAsia="Times" w:hAnsi="Arial"/>
      <w:sz w:val="20"/>
      <w:szCs w:val="20"/>
      <w:lang w:val="en-AU"/>
    </w:rPr>
  </w:style>
  <w:style w:type="character" w:customStyle="1" w:styleId="CommentTextChar">
    <w:name w:val="Comment Text Char"/>
    <w:basedOn w:val="DefaultParagraphFont"/>
    <w:link w:val="CommentText"/>
    <w:semiHidden/>
    <w:rsid w:val="00426763"/>
    <w:rPr>
      <w:rFonts w:ascii="Arial" w:eastAsia="Times"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E42860"/>
    <w:pPr>
      <w:spacing w:after="200"/>
    </w:pPr>
    <w:rPr>
      <w:rFonts w:ascii="Calibri" w:eastAsia="Times New Roman" w:hAnsi="Calibri"/>
      <w:b/>
      <w:bCs/>
      <w:lang w:val="en-US"/>
    </w:rPr>
  </w:style>
  <w:style w:type="character" w:customStyle="1" w:styleId="CommentSubjectChar">
    <w:name w:val="Comment Subject Char"/>
    <w:basedOn w:val="CommentTextChar"/>
    <w:link w:val="CommentSubject"/>
    <w:uiPriority w:val="99"/>
    <w:semiHidden/>
    <w:rsid w:val="00E42860"/>
    <w:rPr>
      <w:rFonts w:ascii="Calibri" w:eastAsia="Times New Roman" w:hAnsi="Calibri" w:cs="Times New Roman"/>
      <w:b/>
      <w:bCs/>
      <w:sz w:val="20"/>
      <w:szCs w:val="20"/>
      <w:lang w:val="en-AU"/>
    </w:rPr>
  </w:style>
  <w:style w:type="character" w:customStyle="1" w:styleId="UnresolvedMention">
    <w:name w:val="Unresolved Mention"/>
    <w:basedOn w:val="DefaultParagraphFont"/>
    <w:uiPriority w:val="99"/>
    <w:semiHidden/>
    <w:unhideWhenUsed/>
    <w:rsid w:val="00AA4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ktran@liveperformance.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erichardson@liveperformance.com.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tran@liveperformance.com.au"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rtsprofessional.co.uk/news/theatre-tax-relief-payouts-rise-two-thirds" TargetMode="External"/><Relationship Id="rId2" Type="http://schemas.openxmlformats.org/officeDocument/2006/relationships/hyperlink" Target="https://www.thestage.co.uk/news/2017/theatre-tax-relief-brings-savings-nearly-2000-shows/" TargetMode="External"/><Relationship Id="rId1" Type="http://schemas.openxmlformats.org/officeDocument/2006/relationships/hyperlink" Target="https://uktheatre.org/theatre-industry/news/tax-relief-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2019MINS-957875958-197</_dlc_DocId>
    <_dlc_DocIdUrl xmlns="0f563589-9cf9-4143-b1eb-fb0534803d38">
      <Url>http://tweb/sites/mins/activity/prebudget/_layouts/15/DocIdRedir.aspx?ID=2019MINS-957875958-197</Url>
      <Description>2019MINS-957875958-197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CEF5-F9CA-438C-B26C-BF42A9E471CF}"/>
</file>

<file path=customXml/itemProps2.xml><?xml version="1.0" encoding="utf-8"?>
<ds:datastoreItem xmlns:ds="http://schemas.openxmlformats.org/officeDocument/2006/customXml" ds:itemID="{8797320F-481D-4540-B80B-98CF72B16810}">
  <ds:schemaRefs>
    <ds:schemaRef ds:uri="http://schemas.microsoft.com/sharepoint/events"/>
  </ds:schemaRefs>
</ds:datastoreItem>
</file>

<file path=customXml/itemProps3.xml><?xml version="1.0" encoding="utf-8"?>
<ds:datastoreItem xmlns:ds="http://schemas.openxmlformats.org/officeDocument/2006/customXml" ds:itemID="{FE8F132C-0F8A-48BA-B5F5-B1453501A3A0}">
  <ds:schemaRefs>
    <ds:schemaRef ds:uri="office.server.policy"/>
  </ds:schemaRefs>
</ds:datastoreItem>
</file>

<file path=customXml/itemProps4.xml><?xml version="1.0" encoding="utf-8"?>
<ds:datastoreItem xmlns:ds="http://schemas.openxmlformats.org/officeDocument/2006/customXml" ds:itemID="{DFC7A196-7CDB-4239-94E5-F5DBCFF39331}">
  <ds:schemaRefs>
    <ds:schemaRef ds:uri="http://schemas.microsoft.com/sharepoint/v3/contenttype/forms"/>
  </ds:schemaRefs>
</ds:datastoreItem>
</file>

<file path=customXml/itemProps5.xml><?xml version="1.0" encoding="utf-8"?>
<ds:datastoreItem xmlns:ds="http://schemas.openxmlformats.org/officeDocument/2006/customXml" ds:itemID="{AFF3C843-EBA9-433E-A0C7-E800FAE30150}">
  <ds:schemaRefs>
    <ds:schemaRef ds:uri="http://purl.org/dc/terms/"/>
    <ds:schemaRef ds:uri="http://schemas.microsoft.com/office/2006/metadata/properties"/>
    <ds:schemaRef ds:uri="768d4202-dccb-4ec8-a008-7abfadedbb89"/>
    <ds:schemaRef ds:uri="http://schemas.microsoft.com/office/2006/documentManagement/types"/>
    <ds:schemaRef ds:uri="http://purl.org/dc/dcmitype/"/>
    <ds:schemaRef ds:uri="0f563589-9cf9-4143-b1eb-fb0534803d38"/>
    <ds:schemaRef ds:uri="http://purl.org/dc/elements/1.1/"/>
    <ds:schemaRef ds:uri="http://www.w3.org/XML/1998/namespace"/>
    <ds:schemaRef ds:uri="http://schemas.microsoft.com/sharepoint/v3"/>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52BF32D3-D319-4043-B27D-687FC380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Berardone</dc:creator>
  <cp:lastModifiedBy>Whittaker, Jillian</cp:lastModifiedBy>
  <cp:revision>2</cp:revision>
  <cp:lastPrinted>2019-01-31T03:03:00Z</cp:lastPrinted>
  <dcterms:created xsi:type="dcterms:W3CDTF">2019-01-31T06:58:00Z</dcterms:created>
  <dcterms:modified xsi:type="dcterms:W3CDTF">2019-01-31T06:58:00Z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3fb0511a-536b-4ddb-ad08-8200cf430b87</vt:lpwstr>
  </property>
</Properties>
</file>