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BD" w:rsidRPr="00E149FC" w:rsidRDefault="00621BE8" w:rsidP="00857989">
      <w:pPr>
        <w:spacing w:after="200" w:line="276" w:lineRule="auto"/>
        <w:jc w:val="left"/>
        <w:rPr>
          <w:rFonts w:ascii="Arial" w:eastAsia="Times New Roman" w:hAnsi="Arial" w:cs="Times New Roman"/>
          <w:sz w:val="22"/>
          <w:szCs w:val="20"/>
        </w:rPr>
      </w:pPr>
      <w:bookmarkStart w:id="0" w:name="_GoBack"/>
      <w:bookmarkEnd w:id="0"/>
      <w:r>
        <w:rPr>
          <w:noProof/>
          <w:lang w:val="en-AU" w:eastAsia="en-AU"/>
        </w:rPr>
        <w:drawing>
          <wp:anchor distT="0" distB="0" distL="114300" distR="114300" simplePos="0" relativeHeight="251678720" behindDoc="1" locked="0" layoutInCell="1" allowOverlap="1" wp14:anchorId="3C956E99" wp14:editId="4BC0C4D7">
            <wp:simplePos x="0" y="0"/>
            <wp:positionH relativeFrom="column">
              <wp:posOffset>-914400</wp:posOffset>
            </wp:positionH>
            <wp:positionV relativeFrom="paragraph">
              <wp:posOffset>-927735</wp:posOffset>
            </wp:positionV>
            <wp:extent cx="7591425" cy="10737215"/>
            <wp:effectExtent l="0" t="0" r="952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FS cover sheet_v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1425" cy="10737215"/>
                    </a:xfrm>
                    <a:prstGeom prst="rect">
                      <a:avLst/>
                    </a:prstGeom>
                  </pic:spPr>
                </pic:pic>
              </a:graphicData>
            </a:graphic>
            <wp14:sizeRelH relativeFrom="margin">
              <wp14:pctWidth>0</wp14:pctWidth>
            </wp14:sizeRelH>
            <wp14:sizeRelV relativeFrom="margin">
              <wp14:pctHeight>0</wp14:pctHeight>
            </wp14:sizeRelV>
          </wp:anchor>
        </w:drawing>
      </w:r>
    </w:p>
    <w:bookmarkStart w:id="1" w:name="_Toc449708029" w:displacedByCustomXml="next"/>
    <w:sdt>
      <w:sdtPr>
        <w:rPr>
          <w:rFonts w:asciiTheme="majorHAnsi" w:eastAsiaTheme="minorHAnsi" w:hAnsiTheme="majorHAnsi" w:cstheme="majorHAnsi"/>
          <w:b w:val="0"/>
          <w:bCs w:val="0"/>
          <w:caps w:val="0"/>
          <w:color w:val="auto"/>
          <w:sz w:val="24"/>
          <w:szCs w:val="24"/>
          <w:lang w:eastAsia="en-US"/>
        </w:rPr>
        <w:id w:val="381066141"/>
        <w:docPartObj>
          <w:docPartGallery w:val="Table of Contents"/>
          <w:docPartUnique/>
        </w:docPartObj>
      </w:sdtPr>
      <w:sdtEndPr>
        <w:rPr>
          <w:noProof/>
        </w:rPr>
      </w:sdtEndPr>
      <w:sdtContent>
        <w:p w:rsidR="00031684" w:rsidRDefault="00031684" w:rsidP="00621BE8">
          <w:pPr>
            <w:pStyle w:val="TOCHeading"/>
          </w:pPr>
        </w:p>
        <w:p w:rsidR="00031684" w:rsidRPr="00031684" w:rsidRDefault="00FD1DC8" w:rsidP="00031684"/>
      </w:sdtContent>
    </w:sdt>
    <w:p w:rsidR="0071079A" w:rsidRDefault="0071079A" w:rsidP="005755D5">
      <w:pPr>
        <w:pStyle w:val="BodyText1"/>
        <w:sectPr w:rsidR="0071079A" w:rsidSect="00A60C3E">
          <w:headerReference w:type="even" r:id="rId9"/>
          <w:footerReference w:type="even" r:id="rId10"/>
          <w:footerReference w:type="default" r:id="rId11"/>
          <w:footerReference w:type="first" r:id="rId12"/>
          <w:pgSz w:w="11906" w:h="16838" w:code="9"/>
          <w:pgMar w:top="1440" w:right="1440" w:bottom="1440" w:left="1440" w:header="720" w:footer="255" w:gutter="0"/>
          <w:paperSrc w:first="4" w:other="4"/>
          <w:cols w:space="708"/>
          <w:docGrid w:linePitch="326"/>
        </w:sectPr>
      </w:pPr>
    </w:p>
    <w:p w:rsidR="00851FD1" w:rsidRDefault="00851FD1" w:rsidP="005755D5">
      <w:pPr>
        <w:pStyle w:val="BodyText1"/>
      </w:pPr>
    </w:p>
    <w:p w:rsidR="00851FD1" w:rsidRDefault="00851FD1" w:rsidP="005755D5">
      <w:pPr>
        <w:pStyle w:val="BodyText1"/>
      </w:pPr>
    </w:p>
    <w:p w:rsidR="00B223AA" w:rsidRDefault="007F66B0">
      <w:pPr>
        <w:spacing w:after="200" w:line="276" w:lineRule="auto"/>
        <w:jc w:val="left"/>
        <w:rPr>
          <w:rStyle w:val="Heading1Char"/>
        </w:rPr>
      </w:pPr>
      <w:r w:rsidRPr="00DB30BD">
        <w:rPr>
          <w:noProof/>
          <w:lang w:val="en-AU" w:eastAsia="en-AU"/>
        </w:rPr>
        <mc:AlternateContent>
          <mc:Choice Requires="wps">
            <w:drawing>
              <wp:anchor distT="0" distB="0" distL="114300" distR="114300" simplePos="0" relativeHeight="251680768" behindDoc="0" locked="0" layoutInCell="1" allowOverlap="1" wp14:anchorId="19872724" wp14:editId="70F55396">
                <wp:simplePos x="0" y="0"/>
                <wp:positionH relativeFrom="column">
                  <wp:posOffset>84455</wp:posOffset>
                </wp:positionH>
                <wp:positionV relativeFrom="paragraph">
                  <wp:posOffset>50165</wp:posOffset>
                </wp:positionV>
                <wp:extent cx="4333875" cy="161607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4333875" cy="1616075"/>
                        </a:xfrm>
                        <a:prstGeom prst="rect">
                          <a:avLst/>
                        </a:prstGeom>
                        <a:noFill/>
                        <a:ln>
                          <a:noFill/>
                        </a:ln>
                        <a:effectLst/>
                      </wps:spPr>
                      <wps:txbx>
                        <w:txbxContent>
                          <w:p w:rsidR="007F66B0" w:rsidRPr="002E0BD1" w:rsidRDefault="007F66B0" w:rsidP="00E149FC">
                            <w:pPr>
                              <w:jc w:val="left"/>
                            </w:pPr>
                            <w:r>
                              <w:rPr>
                                <w:rFonts w:ascii="Arial Narrow" w:hAnsi="Arial Narrow"/>
                                <w:sz w:val="60"/>
                                <w:szCs w:val="60"/>
                                <w:lang w:val="en-AU"/>
                              </w:rPr>
                              <w:t>Reforming the Fair Entitlements Guarantee (FEG)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72724" id="_x0000_t202" coordsize="21600,21600" o:spt="202" path="m,l,21600r21600,l21600,xe">
                <v:stroke joinstyle="miter"/>
                <v:path gradientshapeok="t" o:connecttype="rect"/>
              </v:shapetype>
              <v:shape id="Text Box 4" o:spid="_x0000_s1026" type="#_x0000_t202" style="position:absolute;margin-left:6.65pt;margin-top:3.95pt;width:341.25pt;height:12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" filled="f" stroked="f">
                <v:textbox>
                  <w:txbxContent>
                    <w:p w:rsidR="007F66B0" w:rsidRPr="002E0BD1" w:rsidRDefault="007F66B0" w:rsidP="00E149FC">
                      <w:pPr>
                        <w:jc w:val="left"/>
                      </w:pPr>
                      <w:r>
                        <w:rPr>
                          <w:rFonts w:ascii="Arial Narrow" w:hAnsi="Arial Narrow"/>
                          <w:sz w:val="60"/>
                          <w:szCs w:val="60"/>
                          <w:lang w:val="en-AU"/>
                        </w:rPr>
                        <w:t>Reforming the Fair Entitlements Guarantee (FEG) scheme</w:t>
                      </w:r>
                    </w:p>
                  </w:txbxContent>
                </v:textbox>
                <w10:wrap type="square"/>
              </v:shape>
            </w:pict>
          </mc:Fallback>
        </mc:AlternateContent>
      </w:r>
      <w:r w:rsidR="00621BE8" w:rsidRPr="00DB30BD">
        <w:rPr>
          <w:noProof/>
          <w:lang w:val="en-AU" w:eastAsia="en-AU"/>
        </w:rPr>
        <mc:AlternateContent>
          <mc:Choice Requires="wps">
            <w:drawing>
              <wp:anchor distT="0" distB="0" distL="114300" distR="114300" simplePos="0" relativeHeight="251682816" behindDoc="0" locked="0" layoutInCell="1" allowOverlap="1" wp14:anchorId="0E949496" wp14:editId="7514F1F7">
                <wp:simplePos x="0" y="0"/>
                <wp:positionH relativeFrom="column">
                  <wp:posOffset>142875</wp:posOffset>
                </wp:positionH>
                <wp:positionV relativeFrom="paragraph">
                  <wp:posOffset>1914525</wp:posOffset>
                </wp:positionV>
                <wp:extent cx="3818890" cy="19431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818890" cy="1943100"/>
                        </a:xfrm>
                        <a:prstGeom prst="rect">
                          <a:avLst/>
                        </a:prstGeom>
                        <a:noFill/>
                        <a:ln>
                          <a:noFill/>
                        </a:ln>
                        <a:effectLst/>
                      </wps:spPr>
                      <wps:txbx>
                        <w:txbxContent>
                          <w:p w:rsidR="007F66B0" w:rsidRDefault="007F66B0" w:rsidP="00E149FC">
                            <w:pPr>
                              <w:jc w:val="left"/>
                              <w:rPr>
                                <w:rFonts w:ascii="Arial Narrow" w:hAnsi="Arial Narrow"/>
                                <w:color w:val="002060"/>
                                <w:sz w:val="34"/>
                                <w:szCs w:val="48"/>
                                <w:lang w:val="en-AU"/>
                              </w:rPr>
                            </w:pPr>
                            <w:r>
                              <w:rPr>
                                <w:rFonts w:ascii="Arial Narrow" w:hAnsi="Arial Narrow"/>
                                <w:color w:val="002060"/>
                                <w:sz w:val="34"/>
                                <w:szCs w:val="48"/>
                                <w:lang w:val="en-AU"/>
                              </w:rPr>
                              <w:t xml:space="preserve">Financial Policy Brief </w:t>
                            </w:r>
                          </w:p>
                          <w:p w:rsidR="007F66B0" w:rsidRPr="00857989" w:rsidRDefault="007F66B0" w:rsidP="00E149FC">
                            <w:pPr>
                              <w:jc w:val="left"/>
                              <w:rPr>
                                <w:rFonts w:ascii="Arial Narrow" w:hAnsi="Arial Narrow"/>
                                <w:color w:val="002060"/>
                                <w:sz w:val="34"/>
                                <w:szCs w:val="48"/>
                                <w:lang w:val="en-AU"/>
                              </w:rPr>
                            </w:pPr>
                            <w:r>
                              <w:rPr>
                                <w:rFonts w:ascii="Arial Narrow" w:hAnsi="Arial Narrow"/>
                                <w:color w:val="002060"/>
                                <w:sz w:val="34"/>
                                <w:szCs w:val="48"/>
                                <w:lang w:val="en-AU"/>
                              </w:rPr>
                              <w:t>FPB 2017-06: 19 May 2017</w:t>
                            </w:r>
                          </w:p>
                          <w:p w:rsidR="007F66B0" w:rsidRPr="00857989" w:rsidRDefault="007F66B0" w:rsidP="00E149FC">
                            <w:pPr>
                              <w:jc w:val="left"/>
                              <w:rPr>
                                <w:rFonts w:ascii="Arial Narrow" w:hAnsi="Arial Narrow"/>
                                <w:color w:val="002060"/>
                                <w:sz w:val="34"/>
                                <w:szCs w:val="48"/>
                                <w:lang w:val="en-AU"/>
                              </w:rPr>
                            </w:pPr>
                          </w:p>
                          <w:p w:rsidR="007F66B0" w:rsidRDefault="007F66B0" w:rsidP="00E149FC">
                            <w:pPr>
                              <w:jc w:val="left"/>
                              <w:rPr>
                                <w:rFonts w:ascii="Arial Narrow" w:hAnsi="Arial Narrow"/>
                                <w:i/>
                                <w:color w:val="002060"/>
                                <w:sz w:val="28"/>
                                <w:szCs w:val="48"/>
                                <w:lang w:val="en-AU"/>
                              </w:rPr>
                            </w:pPr>
                            <w:r>
                              <w:rPr>
                                <w:rFonts w:ascii="Arial Narrow" w:hAnsi="Arial Narrow"/>
                                <w:i/>
                                <w:color w:val="002060"/>
                                <w:sz w:val="28"/>
                                <w:szCs w:val="48"/>
                                <w:lang w:val="en-AU"/>
                              </w:rPr>
                              <w:t>Author:</w:t>
                            </w:r>
                          </w:p>
                          <w:p w:rsidR="007F66B0" w:rsidRDefault="007F66B0" w:rsidP="00E149FC">
                            <w:pPr>
                              <w:jc w:val="left"/>
                              <w:rPr>
                                <w:rFonts w:ascii="Arial Narrow" w:hAnsi="Arial Narrow"/>
                                <w:i/>
                                <w:color w:val="002060"/>
                                <w:sz w:val="28"/>
                                <w:szCs w:val="48"/>
                                <w:lang w:val="en-AU"/>
                              </w:rPr>
                            </w:pPr>
                            <w:r>
                              <w:rPr>
                                <w:rFonts w:ascii="Arial Narrow" w:hAnsi="Arial Narrow"/>
                                <w:i/>
                                <w:color w:val="002060"/>
                                <w:sz w:val="28"/>
                                <w:szCs w:val="48"/>
                                <w:lang w:val="en-AU"/>
                              </w:rPr>
                              <w:t>Professor Kevin Davis</w:t>
                            </w:r>
                          </w:p>
                          <w:p w:rsidR="007F66B0" w:rsidRDefault="007F66B0" w:rsidP="00E149FC">
                            <w:pPr>
                              <w:jc w:val="left"/>
                              <w:rPr>
                                <w:rFonts w:ascii="Arial Narrow" w:hAnsi="Arial Narrow"/>
                                <w:i/>
                                <w:color w:val="002060"/>
                                <w:sz w:val="28"/>
                                <w:szCs w:val="48"/>
                                <w:lang w:val="en-AU"/>
                              </w:rPr>
                            </w:pPr>
                          </w:p>
                          <w:p w:rsidR="007F66B0" w:rsidRPr="00857989" w:rsidRDefault="007F66B0" w:rsidP="00E149FC">
                            <w:pPr>
                              <w:jc w:val="left"/>
                              <w:rPr>
                                <w:rFonts w:ascii="Arial Narrow" w:hAnsi="Arial Narrow"/>
                                <w:i/>
                                <w:color w:val="002060"/>
                                <w:sz w:val="28"/>
                                <w:szCs w:val="48"/>
                                <w:lang w:val="en-A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49496" id="Text Box 5" o:spid="_x0000_s1027" type="#_x0000_t202" style="position:absolute;margin-left:11.25pt;margin-top:150.75pt;width:300.7pt;height:1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" filled="f" stroked="f">
                <v:textbox>
                  <w:txbxContent>
                    <w:p w:rsidR="007F66B0" w:rsidRDefault="007F66B0" w:rsidP="00E149FC">
                      <w:pPr>
                        <w:jc w:val="left"/>
                        <w:rPr>
                          <w:rFonts w:ascii="Arial Narrow" w:hAnsi="Arial Narrow"/>
                          <w:color w:val="002060"/>
                          <w:sz w:val="34"/>
                          <w:szCs w:val="48"/>
                          <w:lang w:val="en-AU"/>
                        </w:rPr>
                      </w:pPr>
                      <w:r>
                        <w:rPr>
                          <w:rFonts w:ascii="Arial Narrow" w:hAnsi="Arial Narrow"/>
                          <w:color w:val="002060"/>
                          <w:sz w:val="34"/>
                          <w:szCs w:val="48"/>
                          <w:lang w:val="en-AU"/>
                        </w:rPr>
                        <w:t xml:space="preserve">Financial Policy Brief </w:t>
                      </w:r>
                    </w:p>
                    <w:p w:rsidR="007F66B0" w:rsidRPr="00857989" w:rsidRDefault="007F66B0" w:rsidP="00E149FC">
                      <w:pPr>
                        <w:jc w:val="left"/>
                        <w:rPr>
                          <w:rFonts w:ascii="Arial Narrow" w:hAnsi="Arial Narrow"/>
                          <w:color w:val="002060"/>
                          <w:sz w:val="34"/>
                          <w:szCs w:val="48"/>
                          <w:lang w:val="en-AU"/>
                        </w:rPr>
                      </w:pPr>
                      <w:r>
                        <w:rPr>
                          <w:rFonts w:ascii="Arial Narrow" w:hAnsi="Arial Narrow"/>
                          <w:color w:val="002060"/>
                          <w:sz w:val="34"/>
                          <w:szCs w:val="48"/>
                          <w:lang w:val="en-AU"/>
                        </w:rPr>
                        <w:t>FPB 2017-06: 19 May 2017</w:t>
                      </w:r>
                    </w:p>
                    <w:p w:rsidR="007F66B0" w:rsidRPr="00857989" w:rsidRDefault="007F66B0" w:rsidP="00E149FC">
                      <w:pPr>
                        <w:jc w:val="left"/>
                        <w:rPr>
                          <w:rFonts w:ascii="Arial Narrow" w:hAnsi="Arial Narrow"/>
                          <w:color w:val="002060"/>
                          <w:sz w:val="34"/>
                          <w:szCs w:val="48"/>
                          <w:lang w:val="en-AU"/>
                        </w:rPr>
                      </w:pPr>
                    </w:p>
                    <w:p w:rsidR="007F66B0" w:rsidRDefault="007F66B0" w:rsidP="00E149FC">
                      <w:pPr>
                        <w:jc w:val="left"/>
                        <w:rPr>
                          <w:rFonts w:ascii="Arial Narrow" w:hAnsi="Arial Narrow"/>
                          <w:i/>
                          <w:color w:val="002060"/>
                          <w:sz w:val="28"/>
                          <w:szCs w:val="48"/>
                          <w:lang w:val="en-AU"/>
                        </w:rPr>
                      </w:pPr>
                      <w:r>
                        <w:rPr>
                          <w:rFonts w:ascii="Arial Narrow" w:hAnsi="Arial Narrow"/>
                          <w:i/>
                          <w:color w:val="002060"/>
                          <w:sz w:val="28"/>
                          <w:szCs w:val="48"/>
                          <w:lang w:val="en-AU"/>
                        </w:rPr>
                        <w:t>Author:</w:t>
                      </w:r>
                    </w:p>
                    <w:p w:rsidR="007F66B0" w:rsidRDefault="007F66B0" w:rsidP="00E149FC">
                      <w:pPr>
                        <w:jc w:val="left"/>
                        <w:rPr>
                          <w:rFonts w:ascii="Arial Narrow" w:hAnsi="Arial Narrow"/>
                          <w:i/>
                          <w:color w:val="002060"/>
                          <w:sz w:val="28"/>
                          <w:szCs w:val="48"/>
                          <w:lang w:val="en-AU"/>
                        </w:rPr>
                      </w:pPr>
                      <w:r>
                        <w:rPr>
                          <w:rFonts w:ascii="Arial Narrow" w:hAnsi="Arial Narrow"/>
                          <w:i/>
                          <w:color w:val="002060"/>
                          <w:sz w:val="28"/>
                          <w:szCs w:val="48"/>
                          <w:lang w:val="en-AU"/>
                        </w:rPr>
                        <w:t>Professor Kevin Davis</w:t>
                      </w:r>
                    </w:p>
                    <w:p w:rsidR="007F66B0" w:rsidRDefault="007F66B0" w:rsidP="00E149FC">
                      <w:pPr>
                        <w:jc w:val="left"/>
                        <w:rPr>
                          <w:rFonts w:ascii="Arial Narrow" w:hAnsi="Arial Narrow"/>
                          <w:i/>
                          <w:color w:val="002060"/>
                          <w:sz w:val="28"/>
                          <w:szCs w:val="48"/>
                          <w:lang w:val="en-AU"/>
                        </w:rPr>
                      </w:pPr>
                    </w:p>
                    <w:p w:rsidR="007F66B0" w:rsidRPr="00857989" w:rsidRDefault="007F66B0" w:rsidP="00E149FC">
                      <w:pPr>
                        <w:jc w:val="left"/>
                        <w:rPr>
                          <w:rFonts w:ascii="Arial Narrow" w:hAnsi="Arial Narrow"/>
                          <w:i/>
                          <w:color w:val="002060"/>
                          <w:sz w:val="28"/>
                          <w:szCs w:val="48"/>
                          <w:lang w:val="en-AU"/>
                        </w:rPr>
                      </w:pPr>
                    </w:p>
                  </w:txbxContent>
                </v:textbox>
                <w10:wrap type="square"/>
              </v:shape>
            </w:pict>
          </mc:Fallback>
        </mc:AlternateContent>
      </w:r>
      <w:r w:rsidR="00B223AA">
        <w:rPr>
          <w:rStyle w:val="Heading1Char"/>
        </w:rPr>
        <w:br w:type="page"/>
      </w:r>
    </w:p>
    <w:p w:rsidR="005D3C5E" w:rsidRDefault="005D3C5E" w:rsidP="005D3C5E">
      <w:pPr>
        <w:autoSpaceDE w:val="0"/>
        <w:autoSpaceDN w:val="0"/>
        <w:adjustRightInd w:val="0"/>
        <w:spacing w:line="240" w:lineRule="auto"/>
        <w:jc w:val="center"/>
        <w:rPr>
          <w:rFonts w:ascii="Verdana,Bold" w:hAnsi="Verdana,Bold" w:cs="Verdana,Bold"/>
          <w:b/>
          <w:bCs/>
          <w:color w:val="000000"/>
          <w:sz w:val="28"/>
          <w:szCs w:val="28"/>
        </w:rPr>
      </w:pPr>
      <w:r w:rsidRPr="00F97A51">
        <w:rPr>
          <w:rStyle w:val="Heading1Char"/>
        </w:rPr>
        <w:lastRenderedPageBreak/>
        <w:t xml:space="preserve">FINANCIAL </w:t>
      </w:r>
      <w:r>
        <w:rPr>
          <w:rStyle w:val="Heading1Char"/>
        </w:rPr>
        <w:t>policy brief</w:t>
      </w:r>
    </w:p>
    <w:p w:rsidR="0065500A" w:rsidRDefault="007F66B0" w:rsidP="0065500A">
      <w:pPr>
        <w:pStyle w:val="Heading2"/>
        <w:jc w:val="center"/>
      </w:pPr>
      <w:r>
        <w:t>Reforming the Fair Entitlements Guarantee (FEG) scheme</w:t>
      </w:r>
    </w:p>
    <w:p w:rsidR="007C330D" w:rsidRPr="00F97A51" w:rsidRDefault="005D3C5E" w:rsidP="007C330D">
      <w:pPr>
        <w:pStyle w:val="Heading3"/>
        <w:jc w:val="center"/>
      </w:pPr>
      <w:r w:rsidRPr="0065500A">
        <w:t xml:space="preserve">FPB </w:t>
      </w:r>
      <w:r w:rsidR="007F66B0">
        <w:t>2017 – 06</w:t>
      </w:r>
      <w:r w:rsidRPr="0065500A">
        <w:t xml:space="preserve">: </w:t>
      </w:r>
      <w:r w:rsidR="0053044B">
        <w:t>1</w:t>
      </w:r>
      <w:r w:rsidR="007F66B0">
        <w:t>9</w:t>
      </w:r>
      <w:r w:rsidR="009A658D">
        <w:t xml:space="preserve"> May</w:t>
      </w:r>
      <w:r w:rsidR="007C330D" w:rsidRPr="0065500A">
        <w:t xml:space="preserve"> 2017</w:t>
      </w:r>
    </w:p>
    <w:p w:rsidR="007F66B0" w:rsidRPr="007F66B0" w:rsidRDefault="007F66B0" w:rsidP="007F66B0">
      <w:pPr>
        <w:pStyle w:val="BodyText1"/>
        <w:rPr>
          <w:szCs w:val="24"/>
        </w:rPr>
      </w:pPr>
      <w:r w:rsidRPr="007F66B0">
        <w:rPr>
          <w:szCs w:val="24"/>
        </w:rPr>
        <w:t xml:space="preserve">The deficiencies of the </w:t>
      </w:r>
      <w:r w:rsidR="00A722AC">
        <w:t>Fair Entitlements Guarantee</w:t>
      </w:r>
      <w:r w:rsidR="00A722AC" w:rsidRPr="007F66B0">
        <w:rPr>
          <w:szCs w:val="24"/>
        </w:rPr>
        <w:t xml:space="preserve"> </w:t>
      </w:r>
      <w:r w:rsidR="00A722AC">
        <w:rPr>
          <w:szCs w:val="24"/>
        </w:rPr>
        <w:t>(</w:t>
      </w:r>
      <w:r w:rsidRPr="007F66B0">
        <w:rPr>
          <w:szCs w:val="24"/>
        </w:rPr>
        <w:t>FEG</w:t>
      </w:r>
      <w:r w:rsidR="00A722AC">
        <w:rPr>
          <w:szCs w:val="24"/>
        </w:rPr>
        <w:t>)</w:t>
      </w:r>
      <w:r w:rsidRPr="007F66B0">
        <w:rPr>
          <w:szCs w:val="24"/>
        </w:rPr>
        <w:t xml:space="preserve"> Scheme and its predecessors have been apparent ever since the first predecessor scheme (</w:t>
      </w:r>
      <w:r w:rsidR="00A722AC">
        <w:rPr>
          <w:szCs w:val="24"/>
        </w:rPr>
        <w:t>General Employment Entitlements and Redundancy Scheme- GEERS</w:t>
      </w:r>
      <w:r w:rsidRPr="007F66B0">
        <w:rPr>
          <w:szCs w:val="24"/>
        </w:rPr>
        <w:t>) was introduced in 2001 following a number of large high profile insolvencies (including Ansett). Legal chan</w:t>
      </w:r>
      <w:r w:rsidR="00A722AC">
        <w:rPr>
          <w:szCs w:val="24"/>
        </w:rPr>
        <w:t>g</w:t>
      </w:r>
      <w:r w:rsidRPr="007F66B0">
        <w:rPr>
          <w:szCs w:val="24"/>
        </w:rPr>
        <w:t>es proposed to improve the operation of the scheme, as proposed by the current consultation</w:t>
      </w:r>
      <w:r w:rsidRPr="007F66B0">
        <w:rPr>
          <w:vertAlign w:val="superscript"/>
        </w:rPr>
        <w:footnoteReference w:id="1"/>
      </w:r>
      <w:r w:rsidRPr="007F66B0">
        <w:rPr>
          <w:szCs w:val="24"/>
        </w:rPr>
        <w:t>, are warranted. But by focusing only on employee entitlements they miss a bigger, more general, problem (of which non-payment of employee entitlements is a subset), and alternative solutions.</w:t>
      </w:r>
    </w:p>
    <w:p w:rsidR="007F66B0" w:rsidRPr="007F66B0" w:rsidRDefault="007F66B0" w:rsidP="007F66B0">
      <w:pPr>
        <w:pStyle w:val="BodyText1"/>
        <w:rPr>
          <w:szCs w:val="24"/>
        </w:rPr>
      </w:pPr>
      <w:r w:rsidRPr="007F66B0">
        <w:rPr>
          <w:szCs w:val="24"/>
        </w:rPr>
        <w:t>That larger problem can be readily seen by noting that employee entitlements can be thought of as a form of trade credit provided by employees to their employer. Certain payments due are deferred (mostly involuntarily) with no explicit interest paid for provision of that credit. In this regard, employees are in the same situation as other trade creditors who receive deferred payment for supplies of goods and services and face the risk of non-payment. There are many instances where such creditors suffer loss from non-payment, threatening the viability of their businesses – and in turn their ability to make payments to their employees.</w:t>
      </w:r>
    </w:p>
    <w:p w:rsidR="007F66B0" w:rsidRPr="007F66B0" w:rsidRDefault="007F66B0" w:rsidP="007F66B0">
      <w:pPr>
        <w:pStyle w:val="BodyText1"/>
        <w:rPr>
          <w:szCs w:val="24"/>
        </w:rPr>
      </w:pPr>
      <w:r w:rsidRPr="007F66B0">
        <w:rPr>
          <w:szCs w:val="24"/>
        </w:rPr>
        <w:t>The question thus arises of why it is only these forms of “trade credit” for which a compensation scheme exists? The explanation is partly political, but also likely reflects the assumption that other trade creditors are better able to protect themselves against non</w:t>
      </w:r>
      <w:r w:rsidR="00A722AC">
        <w:rPr>
          <w:szCs w:val="24"/>
        </w:rPr>
        <w:noBreakHyphen/>
      </w:r>
      <w:r w:rsidRPr="007F66B0">
        <w:rPr>
          <w:szCs w:val="24"/>
        </w:rPr>
        <w:t>payment and suffer relatively less harm than employees (who also lose their current source of income from loss of employment).</w:t>
      </w:r>
    </w:p>
    <w:p w:rsidR="007F66B0" w:rsidRPr="007F66B0" w:rsidRDefault="007F66B0" w:rsidP="007F66B0">
      <w:pPr>
        <w:pStyle w:val="BodyText1"/>
        <w:rPr>
          <w:szCs w:val="24"/>
        </w:rPr>
      </w:pPr>
      <w:r w:rsidRPr="007F66B0">
        <w:rPr>
          <w:szCs w:val="24"/>
        </w:rPr>
        <w:t>Regardless of the validity of that assumption, it is worth considering whether a more general policy approach is warranted. This is particularly the case given a potential trend (facilitated by technological advances) towards labour to be engaged as individual independent contractors rather than employees. Contractors are excluded from coverage by the FEG scheme. As at August 2016 there were approximately 1 million Australians working as independent contractors (about 9</w:t>
      </w:r>
      <w:r w:rsidR="00A722AC">
        <w:rPr>
          <w:szCs w:val="24"/>
        </w:rPr>
        <w:t xml:space="preserve"> per cent</w:t>
      </w:r>
      <w:r w:rsidR="00A722AC" w:rsidRPr="007F66B0">
        <w:rPr>
          <w:szCs w:val="24"/>
        </w:rPr>
        <w:t xml:space="preserve"> </w:t>
      </w:r>
      <w:r w:rsidRPr="007F66B0">
        <w:rPr>
          <w:szCs w:val="24"/>
        </w:rPr>
        <w:t>of all employed persons).</w:t>
      </w:r>
      <w:r w:rsidRPr="007F66B0">
        <w:rPr>
          <w:vertAlign w:val="superscript"/>
        </w:rPr>
        <w:footnoteReference w:id="2"/>
      </w:r>
    </w:p>
    <w:p w:rsidR="007F66B0" w:rsidRPr="007F66B0" w:rsidRDefault="007F66B0" w:rsidP="007F66B0">
      <w:pPr>
        <w:pStyle w:val="BodyText1"/>
        <w:rPr>
          <w:szCs w:val="24"/>
        </w:rPr>
      </w:pPr>
      <w:r w:rsidRPr="007F66B0">
        <w:rPr>
          <w:szCs w:val="24"/>
        </w:rPr>
        <w:lastRenderedPageBreak/>
        <w:t>Another notable omission from coverage under the FEG scheme is coverage of unpaid superannuation contributions under the superannuation guarantee. While the amounts owing get higher priority (equal to employee entitlements) than other creditors in an insolvency situation, this provides no compensation when there is a shortfall of funds available. Personal liability of directors for meeting such shortfall</w:t>
      </w:r>
      <w:r w:rsidR="00A722AC">
        <w:rPr>
          <w:szCs w:val="24"/>
        </w:rPr>
        <w:t>s</w:t>
      </w:r>
      <w:r w:rsidRPr="007F66B0">
        <w:rPr>
          <w:szCs w:val="24"/>
        </w:rPr>
        <w:t xml:space="preserve"> should provide incentives for ensuring such payments are made, and create potential for receiving some compensation, but the extent to which these measures limit such unpaid obligations is unclear. There </w:t>
      </w:r>
      <w:r w:rsidR="00A722AC">
        <w:rPr>
          <w:szCs w:val="24"/>
        </w:rPr>
        <w:t>are</w:t>
      </w:r>
      <w:r w:rsidR="00A722AC" w:rsidRPr="007F66B0">
        <w:rPr>
          <w:szCs w:val="24"/>
        </w:rPr>
        <w:t xml:space="preserve"> </w:t>
      </w:r>
      <w:r w:rsidRPr="007F66B0">
        <w:rPr>
          <w:szCs w:val="24"/>
        </w:rPr>
        <w:t>no apparent public data available on the extent of unpaid super obligations by failed companies, although a 2010 estimate put the amounts owed by insolvent employers in unpaid superannuation guarantee payments at $600 million.</w:t>
      </w:r>
      <w:r w:rsidRPr="007F66B0">
        <w:rPr>
          <w:szCs w:val="24"/>
          <w:vertAlign w:val="superscript"/>
        </w:rPr>
        <w:footnoteReference w:id="3"/>
      </w:r>
    </w:p>
    <w:p w:rsidR="007F66B0" w:rsidRDefault="007F66B0" w:rsidP="007F66B0">
      <w:pPr>
        <w:pStyle w:val="BodyText1"/>
        <w:rPr>
          <w:szCs w:val="24"/>
        </w:rPr>
      </w:pPr>
      <w:r w:rsidRPr="007F66B0">
        <w:rPr>
          <w:szCs w:val="24"/>
        </w:rPr>
        <w:t>It would thus appear that there is at least some case for approaching the issues of unpaid employee entitlements from a more general perspective of protection of “trade creditors”, defined as suppliers of goods and services and labour, against insolvency. It may be that this leads to different approaches for employees versus contractors or suppliers of goods and services, or differential treatment of different types of payments outstanding, but it is not clear that case has been made. Moreover, it is not apparent that a compensation scheme, rather than some form of insurance scheme or other approach is optimal.</w:t>
      </w:r>
    </w:p>
    <w:p w:rsidR="007F66B0" w:rsidRPr="007F66B0" w:rsidRDefault="007F66B0" w:rsidP="007F66B0">
      <w:pPr>
        <w:pStyle w:val="BodyText1"/>
        <w:rPr>
          <w:szCs w:val="24"/>
        </w:rPr>
      </w:pPr>
      <w:r w:rsidRPr="007F66B0">
        <w:rPr>
          <w:szCs w:val="24"/>
        </w:rPr>
        <w:t>Among the issues which could be addressed are the following.</w:t>
      </w:r>
    </w:p>
    <w:p w:rsidR="00302E0B" w:rsidRPr="00302E0B" w:rsidRDefault="007F66B0" w:rsidP="009A2626">
      <w:pPr>
        <w:pStyle w:val="Heading2"/>
      </w:pPr>
      <w:r>
        <w:t>Priority of Entitlements</w:t>
      </w:r>
    </w:p>
    <w:p w:rsidR="007F66B0" w:rsidRDefault="007F66B0" w:rsidP="007F66B0">
      <w:pPr>
        <w:pStyle w:val="BodyText1"/>
        <w:rPr>
          <w:szCs w:val="24"/>
        </w:rPr>
      </w:pPr>
      <w:r w:rsidRPr="007F66B0">
        <w:rPr>
          <w:szCs w:val="24"/>
        </w:rPr>
        <w:t xml:space="preserve">In 2001 a </w:t>
      </w:r>
      <w:r w:rsidRPr="007F66B0">
        <w:rPr>
          <w:i/>
          <w:szCs w:val="24"/>
        </w:rPr>
        <w:t>Maximum Priority Proposal</w:t>
      </w:r>
      <w:r w:rsidRPr="007F66B0">
        <w:rPr>
          <w:szCs w:val="24"/>
        </w:rPr>
        <w:t xml:space="preserve"> for employee entitlements was announced in parliament, but subsequently rejected in 2004. This would have given employee</w:t>
      </w:r>
      <w:r w:rsidR="00A722AC">
        <w:rPr>
          <w:szCs w:val="24"/>
        </w:rPr>
        <w:t>s</w:t>
      </w:r>
      <w:r w:rsidRPr="007F66B0">
        <w:rPr>
          <w:szCs w:val="24"/>
        </w:rPr>
        <w:t xml:space="preserve"> entitlements over secured creditors as well as unsecured creditors. While the current consultation considers clarifying priority over “circulating security interest holders” (one group of secured creditors) it is not clear why this should not extend to all secured creditors. This was examined by Andersen and Davis (2009)</w:t>
      </w:r>
      <w:r w:rsidRPr="007F66B0">
        <w:rPr>
          <w:vertAlign w:val="superscript"/>
        </w:rPr>
        <w:footnoteReference w:id="4"/>
      </w:r>
      <w:r w:rsidRPr="007F66B0">
        <w:rPr>
          <w:szCs w:val="24"/>
        </w:rPr>
        <w:t xml:space="preserve"> who concluded that there were strong arguments for implementing such a maximum priority proposal.</w:t>
      </w:r>
    </w:p>
    <w:p w:rsidR="007F66B0" w:rsidRPr="007F66B0" w:rsidRDefault="007F66B0" w:rsidP="007F66B0">
      <w:pPr>
        <w:pStyle w:val="Heading2"/>
        <w:rPr>
          <w:szCs w:val="24"/>
        </w:rPr>
      </w:pPr>
      <w:r>
        <w:t>A Deferred Benefit Account Scheme</w:t>
      </w:r>
    </w:p>
    <w:p w:rsidR="00864248" w:rsidRDefault="007F66B0" w:rsidP="007F66B0">
      <w:pPr>
        <w:pStyle w:val="BodyText1"/>
        <w:rPr>
          <w:szCs w:val="24"/>
        </w:rPr>
      </w:pPr>
      <w:r w:rsidRPr="007F66B0">
        <w:rPr>
          <w:szCs w:val="24"/>
        </w:rPr>
        <w:t>Burrows and Davis (2002)</w:t>
      </w:r>
      <w:r w:rsidRPr="007F66B0">
        <w:rPr>
          <w:vertAlign w:val="superscript"/>
        </w:rPr>
        <w:footnoteReference w:id="5"/>
      </w:r>
      <w:r w:rsidRPr="007F66B0">
        <w:rPr>
          <w:szCs w:val="24"/>
        </w:rPr>
        <w:t xml:space="preserve"> reviewed a number of alternative ways of reinforcing an employee entitlements guarantee scheme to reduce the taxpayer cost and argued for a Defined Benefits (DB) Account Scheme. The DB scheme would require “employers to maintain balances at least equal to reasonable aggregate provisions for entitlements in designated DB accounts at financial institutions”. As proposed by them requiring monthly provisioning, the scheme would only effectively cover annual and long service leave, and not unpaid wages due to a sudden insolvency.</w:t>
      </w:r>
    </w:p>
    <w:p w:rsidR="00864248" w:rsidRPr="00864248" w:rsidRDefault="00864248" w:rsidP="00864248">
      <w:pPr>
        <w:pStyle w:val="BodyText1"/>
        <w:rPr>
          <w:szCs w:val="24"/>
        </w:rPr>
      </w:pPr>
      <w:r w:rsidRPr="00864248">
        <w:rPr>
          <w:szCs w:val="24"/>
        </w:rPr>
        <w:t>Davis (2009)</w:t>
      </w:r>
      <w:r w:rsidRPr="00864248">
        <w:rPr>
          <w:vertAlign w:val="superscript"/>
        </w:rPr>
        <w:footnoteReference w:id="6"/>
      </w:r>
      <w:r w:rsidRPr="00864248">
        <w:rPr>
          <w:szCs w:val="24"/>
        </w:rPr>
        <w:t xml:space="preserve"> </w:t>
      </w:r>
      <w:r w:rsidR="00A722AC" w:rsidRPr="00864248">
        <w:rPr>
          <w:szCs w:val="24"/>
        </w:rPr>
        <w:t>argue</w:t>
      </w:r>
      <w:r w:rsidR="00A722AC">
        <w:rPr>
          <w:szCs w:val="24"/>
        </w:rPr>
        <w:t>d</w:t>
      </w:r>
      <w:r w:rsidR="00A722AC" w:rsidRPr="00864248">
        <w:rPr>
          <w:szCs w:val="24"/>
        </w:rPr>
        <w:t xml:space="preserve"> </w:t>
      </w:r>
      <w:r w:rsidRPr="00864248">
        <w:rPr>
          <w:szCs w:val="24"/>
        </w:rPr>
        <w:t xml:space="preserve">that these approaches are not alternatives but could be part of a more general approach which aims to reduce moral hazard, provide increased managerial incentives and reduce taxpayer cost of an employee entitlement guarantee scheme. </w:t>
      </w:r>
    </w:p>
    <w:p w:rsidR="00864248" w:rsidRDefault="00864248" w:rsidP="00864248">
      <w:pPr>
        <w:pStyle w:val="Heading2"/>
      </w:pPr>
      <w:r>
        <w:t>An Insurance Scheme</w:t>
      </w:r>
    </w:p>
    <w:p w:rsidR="00864248" w:rsidRPr="00864248" w:rsidRDefault="00864248" w:rsidP="00864248">
      <w:pPr>
        <w:pStyle w:val="BodyText1"/>
        <w:rPr>
          <w:szCs w:val="24"/>
        </w:rPr>
      </w:pPr>
      <w:r w:rsidRPr="00864248">
        <w:rPr>
          <w:szCs w:val="24"/>
        </w:rPr>
        <w:t xml:space="preserve">Recognising that employees and contractors are involuntary creditors of employers points to the possibility of establishing a funded insurance scheme to cover such creditors, rather than simply having a tax-payer funded guarantee scheme as currently exists. By requiring regular (monthly) contributions by employers into such a fund which are based on assessed risk of future payouts from the fund, costs to taxpayers could be significantly reduced. Moreover, appropriate risk-based pricing could reduce moral hazard and provide appropriate employer incentives. Such risk based pricing could take into account risk mitigation techniques of the employer – such as establishment of a DB account scheme, or obtaining a bank guarantee or other form of private insurance over unpaid entitlements. </w:t>
      </w:r>
    </w:p>
    <w:p w:rsidR="00864248" w:rsidRPr="00864248" w:rsidRDefault="00864248" w:rsidP="00864248">
      <w:pPr>
        <w:pStyle w:val="BodyText1"/>
        <w:rPr>
          <w:szCs w:val="24"/>
        </w:rPr>
      </w:pPr>
      <w:r w:rsidRPr="00864248">
        <w:rPr>
          <w:szCs w:val="24"/>
        </w:rPr>
        <w:t>This would provide a complement to privately provided trade credit insurance paid by businesses supplying goods and services to insure their accounts receivable from other businesses. This is not generally available to employees who are also “trade creditors” with “accounts receivable” in the form of unpaid entitlements, reflecting issues of scale, information asymmetries, and employee understanding. Whether such schemes provide adequate risk management options for contractors and suppliers of goods and services to firms (or whether such creditors appropriately utilise such insurance) are unclear. Were an insurance scheme established, as outlined above, it could in principle also offer the facility for such trade creditors to separately apply, and pay, for insurance.</w:t>
      </w:r>
    </w:p>
    <w:p w:rsidR="0010700B" w:rsidRPr="00864248" w:rsidRDefault="0010700B" w:rsidP="00864248">
      <w:pPr>
        <w:pStyle w:val="Heading2"/>
        <w:rPr>
          <w:szCs w:val="24"/>
        </w:rPr>
      </w:pPr>
      <w:r>
        <w:t>Conclusions and Recommendations</w:t>
      </w:r>
    </w:p>
    <w:p w:rsidR="00864248" w:rsidRPr="00864248" w:rsidRDefault="00864248" w:rsidP="00864248">
      <w:pPr>
        <w:pStyle w:val="BodyText1"/>
        <w:rPr>
          <w:szCs w:val="24"/>
        </w:rPr>
      </w:pPr>
      <w:r w:rsidRPr="00864248">
        <w:rPr>
          <w:szCs w:val="24"/>
        </w:rPr>
        <w:t xml:space="preserve">The proposed changes to improve the operation of the </w:t>
      </w:r>
      <w:r w:rsidR="00A722AC" w:rsidRPr="00864248">
        <w:rPr>
          <w:szCs w:val="24"/>
        </w:rPr>
        <w:t>FE</w:t>
      </w:r>
      <w:r w:rsidR="00A722AC">
        <w:rPr>
          <w:szCs w:val="24"/>
        </w:rPr>
        <w:t>G</w:t>
      </w:r>
      <w:r w:rsidR="00A722AC" w:rsidRPr="00864248">
        <w:rPr>
          <w:szCs w:val="24"/>
        </w:rPr>
        <w:t xml:space="preserve"> </w:t>
      </w:r>
      <w:r w:rsidRPr="00864248">
        <w:rPr>
          <w:szCs w:val="24"/>
        </w:rPr>
        <w:t>scheme focus on modifications to legal arrangements to prevent abuses which exploit the “free” insurance provided and increase consequences for those who attempt to exploit the system. While of merit, such actions can be interpreted as attempting to deal with the symptoms of an unsatisfactory system rather than focusing on modifying that system. In particular, providing “free insurance” in the form of a government guarantee invites moral hazard and increases the cost to the taxpayer of such a scheme. Some of the suggestions advanced in this paper warrant consideration as part of a more thorough review of how to overhaul the system. These go beyond the purely legal issues considered in this consultation and to the economic and financial incentive structures involved in such a scheme. As part of any such review – but also relevant to this current consultation – serious consideration should be given as to why unpaid superannuation contributions and individuals employed as contractors should be excluded from the scheme.</w:t>
      </w:r>
    </w:p>
    <w:p w:rsidR="00864248" w:rsidRDefault="00864248" w:rsidP="0048356F">
      <w:pPr>
        <w:pStyle w:val="BodyText1"/>
        <w:rPr>
          <w:szCs w:val="24"/>
        </w:rPr>
      </w:pPr>
    </w:p>
    <w:p w:rsidR="006236B7" w:rsidRDefault="006B7A6C" w:rsidP="0048356F">
      <w:pPr>
        <w:pStyle w:val="BodyText1"/>
        <w:rPr>
          <w:i/>
        </w:rPr>
      </w:pPr>
      <w:r w:rsidRPr="006C5DD8">
        <w:rPr>
          <w:i/>
        </w:rPr>
        <w:t>This F</w:t>
      </w:r>
      <w:r>
        <w:rPr>
          <w:i/>
        </w:rPr>
        <w:t>inancial Policy Brief</w:t>
      </w:r>
      <w:r w:rsidRPr="006C5DD8">
        <w:rPr>
          <w:i/>
        </w:rPr>
        <w:t xml:space="preserve"> </w:t>
      </w:r>
      <w:r w:rsidR="0048356F" w:rsidRPr="006C5DD8">
        <w:rPr>
          <w:i/>
        </w:rPr>
        <w:t xml:space="preserve">was prepared by </w:t>
      </w:r>
      <w:r w:rsidR="0048356F" w:rsidRPr="007B60CD">
        <w:rPr>
          <w:i/>
        </w:rPr>
        <w:t>Professor Kevin Davis</w:t>
      </w:r>
      <w:r w:rsidR="0048356F" w:rsidRPr="006C5DD8">
        <w:rPr>
          <w:i/>
        </w:rPr>
        <w:t>, Research Director of the Australia</w:t>
      </w:r>
      <w:r w:rsidR="00864248">
        <w:rPr>
          <w:i/>
        </w:rPr>
        <w:t>n Centre for Financial Studies</w:t>
      </w:r>
    </w:p>
    <w:p w:rsidR="00864248" w:rsidRPr="00864248" w:rsidRDefault="00864248" w:rsidP="0048356F">
      <w:pPr>
        <w:pStyle w:val="BodyText1"/>
        <w:rPr>
          <w:i/>
        </w:rPr>
      </w:pPr>
    </w:p>
    <w:p w:rsidR="00A722AC" w:rsidRDefault="00A722AC">
      <w:pPr>
        <w:spacing w:after="200" w:line="276" w:lineRule="auto"/>
        <w:jc w:val="left"/>
        <w:rPr>
          <w:b/>
          <w:sz w:val="20"/>
        </w:rPr>
      </w:pPr>
      <w:r>
        <w:rPr>
          <w:b/>
          <w:sz w:val="20"/>
        </w:rPr>
        <w:br w:type="page"/>
      </w:r>
    </w:p>
    <w:p w:rsidR="007C330D" w:rsidRPr="00287FCF" w:rsidRDefault="007C330D" w:rsidP="00287FCF">
      <w:pPr>
        <w:spacing w:after="200" w:line="276" w:lineRule="auto"/>
        <w:jc w:val="left"/>
        <w:rPr>
          <w:rFonts w:ascii="Arial" w:eastAsia="Times New Roman" w:hAnsi="Arial" w:cs="Times New Roman"/>
          <w:b/>
          <w:sz w:val="20"/>
          <w:szCs w:val="20"/>
        </w:rPr>
      </w:pPr>
      <w:r w:rsidRPr="0012587D">
        <w:rPr>
          <w:b/>
          <w:sz w:val="20"/>
        </w:rPr>
        <w:t>About the Australian Centre for Financial Studies</w:t>
      </w:r>
    </w:p>
    <w:p w:rsidR="00C348B5" w:rsidRDefault="007C330D" w:rsidP="007C330D">
      <w:pPr>
        <w:pStyle w:val="BodyText1"/>
        <w:rPr>
          <w:sz w:val="20"/>
        </w:rPr>
      </w:pPr>
      <w:r w:rsidRPr="007E7D26">
        <w:rPr>
          <w:sz w:val="20"/>
        </w:rPr>
        <w:t xml:space="preserve">The Australian Centre for Financial Studies (ACFS) is a </w:t>
      </w:r>
      <w:r w:rsidR="00C348B5">
        <w:rPr>
          <w:sz w:val="20"/>
        </w:rPr>
        <w:t>public interest research centre within the Monash Business School</w:t>
      </w:r>
      <w:r w:rsidRPr="007E7D26">
        <w:rPr>
          <w:sz w:val="20"/>
        </w:rPr>
        <w:t xml:space="preserve">. </w:t>
      </w:r>
    </w:p>
    <w:p w:rsidR="00C348B5" w:rsidRDefault="007C330D" w:rsidP="007C330D">
      <w:pPr>
        <w:pStyle w:val="BodyText1"/>
        <w:rPr>
          <w:sz w:val="20"/>
        </w:rPr>
      </w:pPr>
      <w:r w:rsidRPr="007E7D26">
        <w:rPr>
          <w:sz w:val="20"/>
        </w:rPr>
        <w:t xml:space="preserve">It aims to facilitate industry-relevant, rigorous research and independent commentary, drawing on expertise from academia, industry and government to promote thought leadership in the financial sector. </w:t>
      </w:r>
    </w:p>
    <w:p w:rsidR="007C330D" w:rsidRDefault="007C330D" w:rsidP="007C330D">
      <w:pPr>
        <w:pStyle w:val="BodyText1"/>
        <w:rPr>
          <w:sz w:val="20"/>
        </w:rPr>
      </w:pPr>
      <w:r w:rsidRPr="007E7D26">
        <w:rPr>
          <w:sz w:val="20"/>
        </w:rPr>
        <w:t xml:space="preserve">Together, ACFS and Monash Business School aim to boost the global credentials of Australia’s finance industry, bridging the gap between research and industry and supporting Australia as an international centre for finance practice, research and education. </w:t>
      </w:r>
    </w:p>
    <w:p w:rsidR="0092786E" w:rsidRDefault="00C348B5" w:rsidP="00CB788B">
      <w:pPr>
        <w:pStyle w:val="BodyText1"/>
        <w:rPr>
          <w:rStyle w:val="Hyperlink"/>
          <w:sz w:val="20"/>
        </w:rPr>
      </w:pPr>
      <w:r w:rsidRPr="004B3D19">
        <w:rPr>
          <w:sz w:val="20"/>
        </w:rPr>
        <w:t>For further information see:</w:t>
      </w:r>
      <w:r>
        <w:t xml:space="preserve"> </w:t>
      </w:r>
      <w:hyperlink r:id="rId13" w:history="1">
        <w:r w:rsidR="007C330D" w:rsidRPr="008D404E">
          <w:rPr>
            <w:rStyle w:val="Hyperlink"/>
            <w:sz w:val="20"/>
          </w:rPr>
          <w:t>www.australiancentre.com.au</w:t>
        </w:r>
      </w:hyperlink>
      <w:r w:rsidR="007C330D" w:rsidRPr="0012587D">
        <w:rPr>
          <w:sz w:val="20"/>
        </w:rPr>
        <w:t xml:space="preserve"> </w:t>
      </w:r>
      <w:r w:rsidR="007C330D">
        <w:rPr>
          <w:sz w:val="20"/>
        </w:rPr>
        <w:t xml:space="preserve">| </w:t>
      </w:r>
      <w:hyperlink r:id="rId14" w:history="1">
        <w:r w:rsidR="007C330D" w:rsidRPr="008D404E">
          <w:rPr>
            <w:rStyle w:val="Hyperlink"/>
            <w:sz w:val="20"/>
          </w:rPr>
          <w:t>business.monash.edu</w:t>
        </w:r>
      </w:hyperlink>
      <w:bookmarkEnd w:id="1"/>
    </w:p>
    <w:p w:rsidR="00621BE8" w:rsidRDefault="00621BE8" w:rsidP="005D3C5E">
      <w:pPr>
        <w:pStyle w:val="BodyText1"/>
        <w:rPr>
          <w:b/>
          <w:sz w:val="20"/>
        </w:rPr>
      </w:pPr>
    </w:p>
    <w:p w:rsidR="005D3C5E" w:rsidRDefault="005D3C5E" w:rsidP="005D3C5E">
      <w:pPr>
        <w:pStyle w:val="BodyText1"/>
        <w:rPr>
          <w:b/>
          <w:sz w:val="20"/>
        </w:rPr>
      </w:pPr>
      <w:r w:rsidRPr="0012587D">
        <w:rPr>
          <w:b/>
          <w:sz w:val="20"/>
        </w:rPr>
        <w:t>About the Australian Centre for Financial Studies</w:t>
      </w:r>
      <w:r>
        <w:rPr>
          <w:b/>
          <w:sz w:val="20"/>
        </w:rPr>
        <w:t xml:space="preserve"> Policy Briefs</w:t>
      </w:r>
    </w:p>
    <w:p w:rsidR="005D3C5E" w:rsidRPr="005D3C5E" w:rsidRDefault="005D3C5E" w:rsidP="005D3C5E">
      <w:pPr>
        <w:pStyle w:val="BodyText1"/>
        <w:rPr>
          <w:sz w:val="20"/>
        </w:rPr>
      </w:pPr>
      <w:r w:rsidRPr="005D3C5E">
        <w:rPr>
          <w:sz w:val="20"/>
        </w:rPr>
        <w:t>ACFS Financial Policy Briefs (previously called Financial Regulation Discussion Papers) provide independent analysis and commentary on current issues in financial regulation with the objective of promoting constructive dialogue among academics, industry practitioners, policymakers and regulators and contributing to excellence in Australian financial system regulation.</w:t>
      </w:r>
    </w:p>
    <w:p w:rsidR="00235C03" w:rsidRPr="006C5DD8" w:rsidRDefault="00235C03" w:rsidP="00235C03">
      <w:pPr>
        <w:pStyle w:val="BodyText1"/>
      </w:pPr>
      <w:r w:rsidRPr="00235C03">
        <w:rPr>
          <w:sz w:val="20"/>
        </w:rPr>
        <w:t>For more in this series, visit:</w:t>
      </w:r>
      <w:r w:rsidRPr="008D404E">
        <w:rPr>
          <w:color w:val="006EB7" w:themeColor="accent1"/>
        </w:rPr>
        <w:t xml:space="preserve"> </w:t>
      </w:r>
      <w:hyperlink r:id="rId15" w:history="1">
        <w:r w:rsidR="005D3C5E">
          <w:rPr>
            <w:rStyle w:val="Hyperlink"/>
            <w:sz w:val="20"/>
          </w:rPr>
          <w:t>http://australiancentre.com.au/publications/policy-briefs/</w:t>
        </w:r>
      </w:hyperlink>
    </w:p>
    <w:p w:rsidR="00C348B5" w:rsidRPr="00CB788B" w:rsidRDefault="00C348B5" w:rsidP="00CB788B">
      <w:pPr>
        <w:pStyle w:val="BodyText1"/>
        <w:rPr>
          <w:sz w:val="20"/>
        </w:rPr>
      </w:pPr>
    </w:p>
    <w:sectPr w:rsidR="00C348B5" w:rsidRPr="00CB788B" w:rsidSect="00621BE8">
      <w:headerReference w:type="default" r:id="rId16"/>
      <w:footerReference w:type="even" r:id="rId17"/>
      <w:footerReference w:type="default" r:id="rId18"/>
      <w:type w:val="continuous"/>
      <w:pgSz w:w="11906" w:h="16838" w:code="9"/>
      <w:pgMar w:top="1440" w:right="1440" w:bottom="1440" w:left="1440" w:header="720" w:footer="255" w:gutter="0"/>
      <w:paperSrc w:first="4" w:other="4"/>
      <w:pgNumType w:start="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6B0" w:rsidRDefault="007F66B0" w:rsidP="00981CBD">
      <w:pPr>
        <w:spacing w:line="240" w:lineRule="auto"/>
      </w:pPr>
      <w:r>
        <w:separator/>
      </w:r>
    </w:p>
  </w:endnote>
  <w:endnote w:type="continuationSeparator" w:id="0">
    <w:p w:rsidR="007F66B0" w:rsidRDefault="007F66B0" w:rsidP="0098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Kokila">
    <w:charset w:val="00"/>
    <w:family w:val="swiss"/>
    <w:pitch w:val="variable"/>
    <w:sig w:usb0="00008003" w:usb1="00000000" w:usb2="00000000" w:usb3="00000000" w:csb0="00000001" w:csb1="00000000"/>
  </w:font>
  <w:font w:name="HelveticaNeueLT Pro 67 MdCn">
    <w:charset w:val="00"/>
    <w:family w:val="swiss"/>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Neue">
    <w:charset w:val="00"/>
    <w:family w:val="auto"/>
    <w:pitch w:val="variable"/>
    <w:sig w:usb0="80000067" w:usb1="00000000" w:usb2="00000000" w:usb3="00000000" w:csb0="00000001" w:csb1="00000000"/>
  </w:font>
  <w:font w:name="AYEKXG+SabonLTStd-Roman">
    <w:altName w:val="Sabon LT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AF1357" w:rsidRDefault="007F66B0" w:rsidP="00E2132B">
    <w:pPr>
      <w:pStyle w:val="Footer1"/>
    </w:pPr>
    <w:r w:rsidRPr="00AF1357">
      <w:t xml:space="preserve">                                                       </w:t>
    </w:r>
    <w:r w:rsidRPr="00AF1357">
      <w:tab/>
    </w:r>
  </w:p>
  <w:p w:rsidR="007F66B0" w:rsidRPr="00DB30BD" w:rsidRDefault="007F66B0" w:rsidP="00E2132B">
    <w:pPr>
      <w:pStyle w:val="Footer"/>
    </w:pPr>
  </w:p>
  <w:p w:rsidR="007F66B0" w:rsidRPr="00AF1357" w:rsidRDefault="007F66B0" w:rsidP="00E2132B">
    <w:pPr>
      <w:pStyle w:val="Footer1"/>
    </w:pPr>
    <w:r>
      <w:tab/>
    </w:r>
    <w:r w:rsidRPr="00AF1357">
      <w:t xml:space="preserve">                                                       </w:t>
    </w:r>
    <w:r w:rsidRPr="00AF1357">
      <w:tab/>
    </w:r>
  </w:p>
  <w:p w:rsidR="007F66B0" w:rsidRPr="00DB30BD" w:rsidRDefault="007F66B0" w:rsidP="00824014">
    <w:pPr>
      <w:pStyle w:val="Footer"/>
    </w:pPr>
  </w:p>
  <w:p w:rsidR="007F66B0" w:rsidRDefault="007F66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AF1357" w:rsidRDefault="007F66B0" w:rsidP="00621BE8">
    <w:pPr>
      <w:pStyle w:val="Footer1"/>
    </w:pPr>
    <w:r w:rsidRPr="00AF1357">
      <w:t xml:space="preserve">                                                       </w:t>
    </w:r>
    <w:r w:rsidRPr="00AF1357">
      <w:tab/>
    </w:r>
  </w:p>
  <w:p w:rsidR="007F66B0" w:rsidRPr="00DB30BD" w:rsidRDefault="007F66B0" w:rsidP="00D16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Default="007F66B0" w:rsidP="00D16110">
    <w:pP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AF1357" w:rsidRDefault="007F66B0" w:rsidP="00E2132B">
    <w:pPr>
      <w:pStyle w:val="Footer1"/>
      <w:ind w:left="0"/>
      <w:jc w:val="both"/>
    </w:pPr>
    <w:r>
      <w:rPr>
        <w:noProof/>
      </w:rPr>
      <mc:AlternateContent>
        <mc:Choice Requires="wps">
          <w:drawing>
            <wp:anchor distT="45720" distB="45720" distL="114300" distR="114300" simplePos="0" relativeHeight="251670528" behindDoc="0" locked="0" layoutInCell="1" allowOverlap="1" wp14:anchorId="4E1E384C" wp14:editId="7862ACE6">
              <wp:simplePos x="0" y="0"/>
              <wp:positionH relativeFrom="column">
                <wp:posOffset>-85725</wp:posOffset>
              </wp:positionH>
              <wp:positionV relativeFrom="paragraph">
                <wp:posOffset>201295</wp:posOffset>
              </wp:positionV>
              <wp:extent cx="2924175" cy="1404620"/>
              <wp:effectExtent l="0" t="0" r="9525" b="698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rsidR="007F66B0" w:rsidRPr="00D37FB4" w:rsidRDefault="007F66B0" w:rsidP="00E2132B">
                          <w:pPr>
                            <w:rPr>
                              <w:rFonts w:ascii="Arial Narrow" w:hAnsi="Arial Narrow"/>
                              <w:sz w:val="20"/>
                              <w:szCs w:val="20"/>
                            </w:rPr>
                          </w:pPr>
                          <w:r w:rsidRPr="00D37FB4">
                            <w:rPr>
                              <w:rFonts w:ascii="Arial Narrow" w:hAnsi="Arial Narrow"/>
                              <w:sz w:val="20"/>
                              <w:szCs w:val="20"/>
                            </w:rPr>
                            <w:t>Australian Centre for Financial Studies</w:t>
                          </w:r>
                        </w:p>
                        <w:p w:rsidR="007F66B0" w:rsidRPr="00D37FB4" w:rsidRDefault="007F66B0" w:rsidP="00E2132B">
                          <w:pPr>
                            <w:rPr>
                              <w:rFonts w:ascii="Arial Narrow" w:hAnsi="Arial Narrow"/>
                              <w:sz w:val="20"/>
                              <w:szCs w:val="20"/>
                            </w:rPr>
                          </w:pPr>
                          <w:r w:rsidRPr="00D37FB4">
                            <w:rPr>
                              <w:rFonts w:ascii="Arial Narrow" w:hAnsi="Arial Narrow"/>
                              <w:sz w:val="20"/>
                              <w:szCs w:val="20"/>
                            </w:rPr>
                            <w:t xml:space="preserve">+61 3 9666 1050 | </w:t>
                          </w:r>
                          <w:hyperlink r:id="rId1" w:history="1">
                            <w:r w:rsidRPr="008D404E">
                              <w:rPr>
                                <w:rStyle w:val="Hyperlink"/>
                                <w:rFonts w:ascii="Arial Narrow" w:hAnsi="Arial Narrow"/>
                                <w:sz w:val="20"/>
                                <w:szCs w:val="20"/>
                              </w:rPr>
                              <w:t>australiancentre.com.au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E384C" id="_x0000_t202" coordsize="21600,21600" o:spt="202" path="m,l,21600r21600,l21600,xe">
              <v:stroke joinstyle="miter"/>
              <v:path gradientshapeok="t" o:connecttype="rect"/>
            </v:shapetype>
            <v:shape id="Text Box 2" o:spid="_x0000_s1028" type="#_x0000_t202" style="position:absolute;left:0;text-align:left;margin-left:-6.75pt;margin-top:15.85pt;width:230.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4eUHwIAAB0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" stroked="f">
              <v:textbox style="mso-fit-shape-to-text:t">
                <w:txbxContent>
                  <w:p w:rsidR="007F66B0" w:rsidRPr="00D37FB4" w:rsidRDefault="007F66B0" w:rsidP="00E2132B">
                    <w:pPr>
                      <w:rPr>
                        <w:rFonts w:ascii="Arial Narrow" w:hAnsi="Arial Narrow"/>
                        <w:sz w:val="20"/>
                        <w:szCs w:val="20"/>
                      </w:rPr>
                    </w:pPr>
                    <w:r w:rsidRPr="00D37FB4">
                      <w:rPr>
                        <w:rFonts w:ascii="Arial Narrow" w:hAnsi="Arial Narrow"/>
                        <w:sz w:val="20"/>
                        <w:szCs w:val="20"/>
                      </w:rPr>
                      <w:t>Australian Centre for Financial Studies</w:t>
                    </w:r>
                  </w:p>
                  <w:p w:rsidR="007F66B0" w:rsidRPr="00D37FB4" w:rsidRDefault="007F66B0" w:rsidP="00E2132B">
                    <w:pPr>
                      <w:rPr>
                        <w:rFonts w:ascii="Arial Narrow" w:hAnsi="Arial Narrow"/>
                        <w:sz w:val="20"/>
                        <w:szCs w:val="20"/>
                      </w:rPr>
                    </w:pPr>
                    <w:r w:rsidRPr="00D37FB4">
                      <w:rPr>
                        <w:rFonts w:ascii="Arial Narrow" w:hAnsi="Arial Narrow"/>
                        <w:sz w:val="20"/>
                        <w:szCs w:val="20"/>
                      </w:rPr>
                      <w:t xml:space="preserve">+61 3 9666 1050 | </w:t>
                    </w:r>
                    <w:hyperlink r:id="rId2" w:history="1">
                      <w:r w:rsidRPr="008D404E">
                        <w:rPr>
                          <w:rStyle w:val="Hyperlink"/>
                          <w:rFonts w:ascii="Arial Narrow" w:hAnsi="Arial Narrow"/>
                          <w:sz w:val="20"/>
                          <w:szCs w:val="20"/>
                        </w:rPr>
                        <w:t>australiancentre.com.au</w:t>
                      </w:r>
                    </w:hyperlink>
                  </w:p>
                </w:txbxContent>
              </v:textbox>
              <w10:wrap type="square"/>
            </v:shape>
          </w:pict>
        </mc:Fallback>
      </mc:AlternateContent>
    </w:r>
    <w:r>
      <w:tab/>
    </w:r>
    <w:r>
      <w:tab/>
    </w:r>
    <w:r>
      <w:tab/>
    </w:r>
    <w:r>
      <w:tab/>
    </w:r>
    <w:r w:rsidRPr="00AF1357">
      <w:tab/>
    </w:r>
    <w:r w:rsidRPr="00AF1357">
      <w:tab/>
    </w:r>
    <w:r w:rsidRPr="00AF1357">
      <w:tab/>
    </w:r>
    <w:r w:rsidRPr="00AF1357">
      <w:tab/>
    </w:r>
    <w:r w:rsidRPr="00AF1357">
      <w:tab/>
    </w:r>
    <w:r w:rsidRPr="00AF1357">
      <w:tab/>
    </w:r>
    <w:r w:rsidRPr="00AF1357">
      <w:tab/>
    </w:r>
  </w:p>
  <w:p w:rsidR="007F66B0" w:rsidRDefault="007F66B0" w:rsidP="00E2132B">
    <w:pPr>
      <w:pStyle w:val="Footer1"/>
    </w:pPr>
  </w:p>
  <w:p w:rsidR="007F66B0" w:rsidRDefault="007F66B0" w:rsidP="00E2132B">
    <w:pPr>
      <w:pStyle w:val="Footer1"/>
    </w:pPr>
    <w:r w:rsidRPr="00AF1357">
      <w:t xml:space="preserve">Page </w:t>
    </w:r>
    <w:r w:rsidRPr="00AF1357">
      <w:fldChar w:fldCharType="begin"/>
    </w:r>
    <w:r w:rsidRPr="00AF1357">
      <w:instrText xml:space="preserve"> PAGE </w:instrText>
    </w:r>
    <w:r w:rsidRPr="00AF1357">
      <w:fldChar w:fldCharType="separate"/>
    </w:r>
    <w:r w:rsidR="00FD1DC8">
      <w:rPr>
        <w:noProof/>
      </w:rPr>
      <w:t>4</w:t>
    </w:r>
    <w:r w:rsidRPr="00AF1357">
      <w:fldChar w:fldCharType="end"/>
    </w:r>
    <w:r w:rsidRPr="00AF1357">
      <w:tab/>
    </w:r>
  </w:p>
  <w:p w:rsidR="007F66B0" w:rsidRPr="00DB30BD" w:rsidRDefault="007F66B0" w:rsidP="00E2132B">
    <w:pPr>
      <w:pStyle w:val="Footer1"/>
    </w:pPr>
    <w:r w:rsidRPr="00AF1357">
      <w:t xml:space="preserve">                         </w:t>
    </w:r>
    <w:r>
      <w:t xml:space="preserve">                              </w:t>
    </w:r>
    <w:r>
      <w:tab/>
    </w:r>
  </w:p>
  <w:p w:rsidR="007F66B0" w:rsidRPr="00AF1357" w:rsidRDefault="007F66B0" w:rsidP="00E2132B">
    <w:pPr>
      <w:pStyle w:val="Footer1"/>
    </w:pPr>
    <w:r>
      <w:tab/>
    </w:r>
    <w:r w:rsidRPr="00AF1357">
      <w:t xml:space="preserve">                                                       </w:t>
    </w:r>
    <w:r w:rsidRPr="00AF1357">
      <w:tab/>
    </w:r>
  </w:p>
  <w:p w:rsidR="007F66B0" w:rsidRPr="00DB30BD" w:rsidRDefault="007F66B0" w:rsidP="00824014">
    <w:pPr>
      <w:pStyle w:val="Footer"/>
    </w:pPr>
  </w:p>
  <w:p w:rsidR="007F66B0" w:rsidRDefault="007F66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AF1357" w:rsidRDefault="007F66B0" w:rsidP="00E2132B">
    <w:pPr>
      <w:pStyle w:val="Footer1"/>
    </w:pPr>
    <w:r>
      <w:rPr>
        <w:noProof/>
      </w:rPr>
      <mc:AlternateContent>
        <mc:Choice Requires="wps">
          <w:drawing>
            <wp:anchor distT="45720" distB="45720" distL="114300" distR="114300" simplePos="0" relativeHeight="251665408" behindDoc="0" locked="0" layoutInCell="1" allowOverlap="1" wp14:anchorId="4CB379C7" wp14:editId="1C53A960">
              <wp:simplePos x="0" y="0"/>
              <wp:positionH relativeFrom="column">
                <wp:posOffset>-85725</wp:posOffset>
              </wp:positionH>
              <wp:positionV relativeFrom="paragraph">
                <wp:posOffset>48895</wp:posOffset>
              </wp:positionV>
              <wp:extent cx="2924175" cy="1404620"/>
              <wp:effectExtent l="0" t="0" r="9525" b="698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rgbClr val="FFFFFF"/>
                      </a:solidFill>
                      <a:ln w="9525">
                        <a:noFill/>
                        <a:miter lim="800000"/>
                        <a:headEnd/>
                        <a:tailEnd/>
                      </a:ln>
                    </wps:spPr>
                    <wps:txbx>
                      <w:txbxContent>
                        <w:p w:rsidR="007F66B0" w:rsidRPr="00D37FB4" w:rsidRDefault="007F66B0" w:rsidP="00FB2923">
                          <w:pPr>
                            <w:rPr>
                              <w:rFonts w:ascii="Arial Narrow" w:hAnsi="Arial Narrow"/>
                              <w:sz w:val="20"/>
                              <w:szCs w:val="20"/>
                            </w:rPr>
                          </w:pPr>
                          <w:r w:rsidRPr="00D37FB4">
                            <w:rPr>
                              <w:rFonts w:ascii="Arial Narrow" w:hAnsi="Arial Narrow"/>
                              <w:sz w:val="20"/>
                              <w:szCs w:val="20"/>
                            </w:rPr>
                            <w:t>Australian Centre for Financial Studies</w:t>
                          </w:r>
                        </w:p>
                        <w:p w:rsidR="007F66B0" w:rsidRPr="00D37FB4" w:rsidRDefault="007F66B0" w:rsidP="00FB2923">
                          <w:pPr>
                            <w:rPr>
                              <w:rFonts w:ascii="Arial Narrow" w:hAnsi="Arial Narrow"/>
                              <w:sz w:val="20"/>
                              <w:szCs w:val="20"/>
                            </w:rPr>
                          </w:pPr>
                          <w:r w:rsidRPr="00D37FB4">
                            <w:rPr>
                              <w:rFonts w:ascii="Arial Narrow" w:hAnsi="Arial Narrow"/>
                              <w:sz w:val="20"/>
                              <w:szCs w:val="20"/>
                            </w:rPr>
                            <w:t xml:space="preserve">+61 3 9666 1050 | </w:t>
                          </w:r>
                          <w:hyperlink r:id="rId1" w:history="1">
                            <w:r w:rsidRPr="008D404E">
                              <w:rPr>
                                <w:rStyle w:val="Hyperlink"/>
                                <w:rFonts w:ascii="Arial Narrow" w:hAnsi="Arial Narrow"/>
                                <w:sz w:val="20"/>
                                <w:szCs w:val="20"/>
                              </w:rPr>
                              <w:t>australiancentre.com.au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379C7" id="_x0000_t202" coordsize="21600,21600" o:spt="202" path="m,l,21600r21600,l21600,xe">
              <v:stroke joinstyle="miter"/>
              <v:path gradientshapeok="t" o:connecttype="rect"/>
            </v:shapetype>
            <v:shape id="_x0000_s1029" type="#_x0000_t202" style="position:absolute;left:0;text-align:left;margin-left:-6.75pt;margin-top:3.85pt;width:230.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htIgIAACM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" stroked="f">
              <v:textbox style="mso-fit-shape-to-text:t">
                <w:txbxContent>
                  <w:p w:rsidR="007F66B0" w:rsidRPr="00D37FB4" w:rsidRDefault="007F66B0" w:rsidP="00FB2923">
                    <w:pPr>
                      <w:rPr>
                        <w:rFonts w:ascii="Arial Narrow" w:hAnsi="Arial Narrow"/>
                        <w:sz w:val="20"/>
                        <w:szCs w:val="20"/>
                      </w:rPr>
                    </w:pPr>
                    <w:r w:rsidRPr="00D37FB4">
                      <w:rPr>
                        <w:rFonts w:ascii="Arial Narrow" w:hAnsi="Arial Narrow"/>
                        <w:sz w:val="20"/>
                        <w:szCs w:val="20"/>
                      </w:rPr>
                      <w:t>Australian Centre for Financial Studies</w:t>
                    </w:r>
                  </w:p>
                  <w:p w:rsidR="007F66B0" w:rsidRPr="00D37FB4" w:rsidRDefault="007F66B0" w:rsidP="00FB2923">
                    <w:pPr>
                      <w:rPr>
                        <w:rFonts w:ascii="Arial Narrow" w:hAnsi="Arial Narrow"/>
                        <w:sz w:val="20"/>
                        <w:szCs w:val="20"/>
                      </w:rPr>
                    </w:pPr>
                    <w:r w:rsidRPr="00D37FB4">
                      <w:rPr>
                        <w:rFonts w:ascii="Arial Narrow" w:hAnsi="Arial Narrow"/>
                        <w:sz w:val="20"/>
                        <w:szCs w:val="20"/>
                      </w:rPr>
                      <w:t xml:space="preserve">+61 3 9666 1050 | </w:t>
                    </w:r>
                    <w:hyperlink r:id="rId2" w:history="1">
                      <w:r w:rsidRPr="008D404E">
                        <w:rPr>
                          <w:rStyle w:val="Hyperlink"/>
                          <w:rFonts w:ascii="Arial Narrow" w:hAnsi="Arial Narrow"/>
                          <w:sz w:val="20"/>
                          <w:szCs w:val="20"/>
                        </w:rPr>
                        <w:t>australiancentre.com.au</w:t>
                      </w:r>
                    </w:hyperlink>
                  </w:p>
                </w:txbxContent>
              </v:textbox>
              <w10:wrap type="square"/>
            </v:shape>
          </w:pict>
        </mc:Fallback>
      </mc:AlternateContent>
    </w:r>
    <w:r>
      <w:tab/>
    </w:r>
    <w:r>
      <w:tab/>
    </w:r>
    <w:r>
      <w:tab/>
    </w:r>
    <w:r w:rsidRPr="00AF1357">
      <w:tab/>
    </w:r>
    <w:r w:rsidRPr="00AF1357">
      <w:tab/>
    </w:r>
    <w:r w:rsidRPr="00AF1357">
      <w:tab/>
    </w:r>
    <w:r w:rsidRPr="00AF1357">
      <w:tab/>
    </w:r>
    <w:r w:rsidRPr="00AF1357">
      <w:tab/>
    </w:r>
    <w:r w:rsidRPr="00AF1357">
      <w:tab/>
    </w:r>
    <w:r w:rsidRPr="00AF1357">
      <w:tab/>
    </w:r>
  </w:p>
  <w:p w:rsidR="007F66B0" w:rsidRDefault="007F66B0" w:rsidP="00E2132B">
    <w:pPr>
      <w:pStyle w:val="Footer1"/>
    </w:pPr>
    <w:r w:rsidRPr="00AF1357">
      <w:t xml:space="preserve">Page </w:t>
    </w:r>
    <w:r w:rsidRPr="00AF1357">
      <w:fldChar w:fldCharType="begin"/>
    </w:r>
    <w:r w:rsidRPr="00AF1357">
      <w:instrText xml:space="preserve"> PAGE </w:instrText>
    </w:r>
    <w:r w:rsidRPr="00AF1357">
      <w:fldChar w:fldCharType="separate"/>
    </w:r>
    <w:r w:rsidR="00FD1DC8">
      <w:rPr>
        <w:noProof/>
      </w:rPr>
      <w:t>1</w:t>
    </w:r>
    <w:r w:rsidRPr="00AF1357">
      <w:fldChar w:fldCharType="end"/>
    </w:r>
    <w:r w:rsidRPr="00AF1357">
      <w:tab/>
    </w:r>
  </w:p>
  <w:p w:rsidR="007F66B0" w:rsidRPr="00AF1357" w:rsidRDefault="007F66B0" w:rsidP="00E2132B">
    <w:pPr>
      <w:pStyle w:val="Footer1"/>
    </w:pPr>
    <w:r w:rsidRPr="00AF1357">
      <w:t xml:space="preserve">                                                       </w:t>
    </w:r>
    <w:r w:rsidRPr="00AF1357">
      <w:tab/>
    </w:r>
  </w:p>
  <w:p w:rsidR="007F66B0" w:rsidRPr="00DB30BD" w:rsidRDefault="007F66B0" w:rsidP="00D16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6B0" w:rsidRDefault="007F66B0" w:rsidP="00981CBD">
      <w:pPr>
        <w:spacing w:line="240" w:lineRule="auto"/>
      </w:pPr>
      <w:r>
        <w:separator/>
      </w:r>
    </w:p>
  </w:footnote>
  <w:footnote w:type="continuationSeparator" w:id="0">
    <w:p w:rsidR="007F66B0" w:rsidRDefault="007F66B0" w:rsidP="00981CBD">
      <w:pPr>
        <w:spacing w:line="240" w:lineRule="auto"/>
      </w:pPr>
      <w:r>
        <w:continuationSeparator/>
      </w:r>
    </w:p>
  </w:footnote>
  <w:footnote w:id="1">
    <w:p w:rsidR="007F66B0" w:rsidRDefault="007F66B0" w:rsidP="007F66B0">
      <w:pPr>
        <w:pStyle w:val="FootnoteText"/>
        <w:jc w:val="left"/>
      </w:pPr>
      <w:r>
        <w:rPr>
          <w:rStyle w:val="FootnoteReference"/>
        </w:rPr>
        <w:footnoteRef/>
      </w:r>
      <w:r>
        <w:t xml:space="preserve"> Australian Government </w:t>
      </w:r>
      <w:r w:rsidRPr="00CC1104">
        <w:rPr>
          <w:i/>
        </w:rPr>
        <w:t>Reforms to address corporate misuse of the Fair Entitlements Guarantee scheme</w:t>
      </w:r>
    </w:p>
    <w:p w:rsidR="007F66B0" w:rsidRDefault="007F66B0" w:rsidP="007F66B0">
      <w:pPr>
        <w:pStyle w:val="FootnoteText"/>
        <w:jc w:val="left"/>
      </w:pPr>
      <w:r>
        <w:t xml:space="preserve">Consultation paper May 2017 </w:t>
      </w:r>
      <w:hyperlink r:id="rId1" w:history="1">
        <w:r w:rsidRPr="00481EF9">
          <w:rPr>
            <w:rStyle w:val="Hyperlink"/>
          </w:rPr>
          <w:t>https://docs.employment.gov.au/system/files/doc/other/consultation_paper_-_reforms_to_address_corporate_misuse_of_the_feg_scheme.pdf</w:t>
        </w:r>
      </w:hyperlink>
      <w:r>
        <w:t xml:space="preserve"> </w:t>
      </w:r>
    </w:p>
  </w:footnote>
  <w:footnote w:id="2">
    <w:p w:rsidR="007F66B0" w:rsidRDefault="007F66B0" w:rsidP="007F66B0">
      <w:pPr>
        <w:pStyle w:val="FootnoteText"/>
        <w:jc w:val="left"/>
      </w:pPr>
      <w:r>
        <w:rPr>
          <w:rStyle w:val="FootnoteReference"/>
        </w:rPr>
        <w:footnoteRef/>
      </w:r>
      <w:r>
        <w:t xml:space="preserve"> Australian Bureau of Statistics </w:t>
      </w:r>
      <w:r w:rsidRPr="0047335C">
        <w:t>Characteristics of Employment, Australia, August 2016</w:t>
      </w:r>
      <w:r>
        <w:t xml:space="preserve"> (Cat No 6333.0)</w:t>
      </w:r>
    </w:p>
  </w:footnote>
  <w:footnote w:id="3">
    <w:p w:rsidR="007F66B0" w:rsidRDefault="007F66B0" w:rsidP="007F66B0">
      <w:pPr>
        <w:pStyle w:val="FootnoteText"/>
        <w:jc w:val="left"/>
      </w:pPr>
      <w:r>
        <w:rPr>
          <w:rStyle w:val="FootnoteReference"/>
        </w:rPr>
        <w:footnoteRef/>
      </w:r>
      <w:r>
        <w:t xml:space="preserve"> Arthur Athanasiou and Mark Gioskos “Ashes to ashes ... the Phoenix no longer rises” </w:t>
      </w:r>
      <w:r>
        <w:rPr>
          <w:i/>
        </w:rPr>
        <w:t xml:space="preserve">Taxation in Australia, </w:t>
      </w:r>
      <w:r>
        <w:t>September 2012.</w:t>
      </w:r>
    </w:p>
  </w:footnote>
  <w:footnote w:id="4">
    <w:p w:rsidR="007F66B0" w:rsidRPr="00F86BEC" w:rsidRDefault="007F66B0" w:rsidP="007F66B0">
      <w:pPr>
        <w:spacing w:line="240" w:lineRule="auto"/>
        <w:jc w:val="left"/>
        <w:rPr>
          <w:rFonts w:ascii="Times New Roman" w:eastAsia="Times New Roman" w:hAnsi="Times New Roman" w:cs="Times New Roman"/>
          <w:lang w:eastAsia="en-AU"/>
        </w:rPr>
      </w:pPr>
      <w:r>
        <w:rPr>
          <w:rStyle w:val="FootnoteReference"/>
        </w:rPr>
        <w:footnoteRef/>
      </w:r>
      <w:r>
        <w:t xml:space="preserve"> </w:t>
      </w:r>
      <w:r w:rsidRPr="00F86BEC">
        <w:rPr>
          <w:rFonts w:eastAsia="Times New Roman" w:cs="Times New Roman"/>
          <w:sz w:val="20"/>
          <w:szCs w:val="20"/>
          <w:lang w:eastAsia="en-AU"/>
        </w:rPr>
        <w:t>Jeanette Anderson and Kevin Davis "</w:t>
      </w:r>
      <w:hyperlink r:id="rId2" w:tgtFrame="_blank" w:history="1">
        <w:r w:rsidRPr="007F66B0">
          <w:rPr>
            <w:rStyle w:val="Hyperlink"/>
            <w:rFonts w:eastAsia="Times New Roman" w:cs="Times New Roman"/>
            <w:sz w:val="20"/>
            <w:szCs w:val="20"/>
          </w:rPr>
          <w:t>Employee Entitlements and Secured Creditors: Assessing the Effects of the Maximum Priority Proposa</w:t>
        </w:r>
        <w:r w:rsidRPr="007F66B0">
          <w:rPr>
            <w:rStyle w:val="Hyperlink"/>
            <w:rFonts w:eastAsia="Times New Roman" w:cs="Times New Roman"/>
          </w:rPr>
          <w:t>l</w:t>
        </w:r>
      </w:hyperlink>
      <w:r w:rsidRPr="00F86BEC">
        <w:rPr>
          <w:rFonts w:eastAsia="Times New Roman" w:cs="Times New Roman"/>
          <w:sz w:val="20"/>
          <w:szCs w:val="20"/>
          <w:lang w:eastAsia="en-AU"/>
        </w:rPr>
        <w:t xml:space="preserve">" </w:t>
      </w:r>
      <w:r w:rsidRPr="00F86BEC">
        <w:rPr>
          <w:rFonts w:eastAsia="Times New Roman" w:cs="Times New Roman"/>
          <w:i/>
          <w:iCs/>
          <w:sz w:val="20"/>
          <w:szCs w:val="20"/>
          <w:lang w:eastAsia="en-AU"/>
        </w:rPr>
        <w:t>Australian Journal of Management</w:t>
      </w:r>
      <w:r w:rsidRPr="00F86BEC">
        <w:rPr>
          <w:rFonts w:eastAsia="Times New Roman" w:cs="Times New Roman"/>
          <w:sz w:val="20"/>
          <w:szCs w:val="20"/>
          <w:lang w:eastAsia="en-AU"/>
        </w:rPr>
        <w:t>, 34, 1, June 2009, 51-72</w:t>
      </w:r>
      <w:r>
        <w:rPr>
          <w:rFonts w:eastAsia="Times New Roman" w:cs="Times New Roman"/>
          <w:sz w:val="20"/>
          <w:szCs w:val="20"/>
          <w:lang w:eastAsia="en-AU"/>
        </w:rPr>
        <w:t>.</w:t>
      </w:r>
    </w:p>
  </w:footnote>
  <w:footnote w:id="5">
    <w:p w:rsidR="007F66B0" w:rsidRDefault="007F66B0" w:rsidP="00864248">
      <w:pPr>
        <w:pStyle w:val="FootnoteText"/>
        <w:jc w:val="left"/>
      </w:pPr>
      <w:r>
        <w:rPr>
          <w:rStyle w:val="FootnoteReference"/>
        </w:rPr>
        <w:footnoteRef/>
      </w:r>
      <w:r>
        <w:t xml:space="preserve"> Geoffrey Burrows and Kevin Davis </w:t>
      </w:r>
      <w:hyperlink r:id="rId3" w:tgtFrame="_blank" w:history="1">
        <w:r>
          <w:rPr>
            <w:rStyle w:val="Hyperlink"/>
          </w:rPr>
          <w:t>Protecting Employee Entitlements</w:t>
        </w:r>
      </w:hyperlink>
      <w:r>
        <w:t xml:space="preserve"> </w:t>
      </w:r>
      <w:r w:rsidRPr="003D4F15">
        <w:rPr>
          <w:rStyle w:val="footerChar"/>
          <w:rFonts w:eastAsiaTheme="minorHAnsi"/>
          <w:i/>
        </w:rPr>
        <w:t>Australian Economic Review</w:t>
      </w:r>
      <w:r>
        <w:t>, 2003, 2</w:t>
      </w:r>
    </w:p>
  </w:footnote>
  <w:footnote w:id="6">
    <w:p w:rsidR="00864248" w:rsidRDefault="00864248" w:rsidP="00864248">
      <w:pPr>
        <w:pStyle w:val="FootnoteText"/>
        <w:jc w:val="left"/>
      </w:pPr>
      <w:r>
        <w:rPr>
          <w:rStyle w:val="FootnoteReference"/>
        </w:rPr>
        <w:footnoteRef/>
      </w:r>
      <w:r>
        <w:t xml:space="preserve"> Kevin Davis </w:t>
      </w:r>
      <w:hyperlink r:id="rId4" w:tgtFrame="_blank" w:history="1">
        <w:r w:rsidRPr="00980851">
          <w:rPr>
            <w:rStyle w:val="Hyperlink"/>
          </w:rPr>
          <w:t>Employees as Creditors: Protecting their Claims</w:t>
        </w:r>
      </w:hyperlink>
      <w:r w:rsidRPr="00980851">
        <w:t xml:space="preserve">  </w:t>
      </w:r>
      <w:r w:rsidRPr="00980851">
        <w:rPr>
          <w:i/>
          <w:iCs/>
        </w:rPr>
        <w:t>Flinders Essays in Economics and Economic History: A Tribute to Keith Jackson Hancock, Metody Polasek and Robert Henry Wallace</w:t>
      </w:r>
      <w:r w:rsidRPr="00980851">
        <w:t xml:space="preserve"> (ed R Schlomovitz), 2009, Wakefield Press, KentTown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6236B7" w:rsidRDefault="007F66B0">
    <w:pPr>
      <w:pStyle w:val="Header"/>
      <w:rPr>
        <w:lang w:val="en-US"/>
      </w:rPr>
    </w:pPr>
    <w:r>
      <w:rPr>
        <w:lang w:val="en-US"/>
      </w:rPr>
      <w:t>FPB 2017-0</w:t>
    </w:r>
    <w:r w:rsidR="00A722AC">
      <w:rPr>
        <w:lang w:val="en-US"/>
      </w:rPr>
      <w:t>6: 19</w:t>
    </w:r>
    <w:r>
      <w:rPr>
        <w:lang w:val="en-US"/>
      </w:rPr>
      <w:t xml:space="preserve"> May 2017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B0" w:rsidRPr="005D3C5E" w:rsidRDefault="00A722AC" w:rsidP="005D3C5E">
    <w:pPr>
      <w:pStyle w:val="Header"/>
      <w:rPr>
        <w:lang w:val="en-US"/>
      </w:rPr>
    </w:pPr>
    <w:r>
      <w:t>Reforming the Fair Entitlements Guarantee (FEG) scheme</w:t>
    </w:r>
    <w:r w:rsidR="007F66B0">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189D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95727C"/>
    <w:multiLevelType w:val="hybridMultilevel"/>
    <w:tmpl w:val="C4A45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81E06"/>
    <w:multiLevelType w:val="hybridMultilevel"/>
    <w:tmpl w:val="201C51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04E0445"/>
    <w:multiLevelType w:val="hybridMultilevel"/>
    <w:tmpl w:val="55CE173A"/>
    <w:lvl w:ilvl="0" w:tplc="67B4E1A4">
      <w:start w:val="1"/>
      <w:numFmt w:val="bullet"/>
      <w:pStyle w:val="tablebullet"/>
      <w:lvlText w:val=""/>
      <w:lvlJc w:val="left"/>
      <w:pPr>
        <w:ind w:left="720" w:hanging="360"/>
      </w:pPr>
      <w:rPr>
        <w:rFonts w:ascii="Symbol" w:hAnsi="Symbol" w:hint="default"/>
      </w:rPr>
    </w:lvl>
    <w:lvl w:ilvl="1" w:tplc="47C4AB64">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807E65"/>
    <w:multiLevelType w:val="hybridMultilevel"/>
    <w:tmpl w:val="B1C8BFB4"/>
    <w:lvl w:ilvl="0" w:tplc="94B800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CA389B"/>
    <w:multiLevelType w:val="multilevel"/>
    <w:tmpl w:val="B1DE20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4B5FC2"/>
    <w:multiLevelType w:val="hybridMultilevel"/>
    <w:tmpl w:val="8DB4C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A525DA"/>
    <w:multiLevelType w:val="hybridMultilevel"/>
    <w:tmpl w:val="BB8433B8"/>
    <w:lvl w:ilvl="0" w:tplc="6E50742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273D8B"/>
    <w:multiLevelType w:val="hybridMultilevel"/>
    <w:tmpl w:val="98B6FCFA"/>
    <w:lvl w:ilvl="0" w:tplc="94B800A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7F5043"/>
    <w:multiLevelType w:val="hybridMultilevel"/>
    <w:tmpl w:val="D17E441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A6E306B"/>
    <w:multiLevelType w:val="hybridMultilevel"/>
    <w:tmpl w:val="822A1688"/>
    <w:lvl w:ilvl="0" w:tplc="0C090001">
      <w:start w:val="1"/>
      <w:numFmt w:val="bullet"/>
      <w:pStyle w:val="Heading41"/>
      <w:lvlText w:val=""/>
      <w:lvlJc w:val="left"/>
      <w:pPr>
        <w:ind w:left="720" w:hanging="360"/>
      </w:pPr>
      <w:rPr>
        <w:rFonts w:ascii="Symbol" w:hAnsi="Symbol" w:hint="default"/>
      </w:rPr>
    </w:lvl>
    <w:lvl w:ilvl="1" w:tplc="0C090003">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EE84D1B"/>
    <w:multiLevelType w:val="hybridMultilevel"/>
    <w:tmpl w:val="9244C4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7C616F8"/>
    <w:multiLevelType w:val="hybridMultilevel"/>
    <w:tmpl w:val="1D0E2426"/>
    <w:lvl w:ilvl="0" w:tplc="6E5074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591CF7"/>
    <w:multiLevelType w:val="hybridMultilevel"/>
    <w:tmpl w:val="2FBA4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2C2EC5"/>
    <w:multiLevelType w:val="hybridMultilevel"/>
    <w:tmpl w:val="D9763A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245CAD"/>
    <w:multiLevelType w:val="hybridMultilevel"/>
    <w:tmpl w:val="32DC7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0"/>
  </w:num>
  <w:num w:numId="4">
    <w:abstractNumId w:val="0"/>
  </w:num>
  <w:num w:numId="5">
    <w:abstractNumId w:val="5"/>
  </w:num>
  <w:num w:numId="6">
    <w:abstractNumId w:val="4"/>
  </w:num>
  <w:num w:numId="7">
    <w:abstractNumId w:val="8"/>
  </w:num>
  <w:num w:numId="8">
    <w:abstractNumId w:val="9"/>
  </w:num>
  <w:num w:numId="9">
    <w:abstractNumId w:val="15"/>
  </w:num>
  <w:num w:numId="10">
    <w:abstractNumId w:val="12"/>
  </w:num>
  <w:num w:numId="11">
    <w:abstractNumId w:val="7"/>
  </w:num>
  <w:num w:numId="12">
    <w:abstractNumId w:val="13"/>
  </w:num>
  <w:num w:numId="13">
    <w:abstractNumId w:val="1"/>
  </w:num>
  <w:num w:numId="14">
    <w:abstractNumId w:val="2"/>
  </w:num>
  <w:num w:numId="15">
    <w:abstractNumId w:val="6"/>
  </w:num>
  <w:num w:numId="16">
    <w:abstractNumId w:val="14"/>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0A"/>
    <w:rsid w:val="00003295"/>
    <w:rsid w:val="000063AB"/>
    <w:rsid w:val="000065A6"/>
    <w:rsid w:val="0001149D"/>
    <w:rsid w:val="00013335"/>
    <w:rsid w:val="0001580A"/>
    <w:rsid w:val="0001745E"/>
    <w:rsid w:val="000179AF"/>
    <w:rsid w:val="0002634C"/>
    <w:rsid w:val="000264F1"/>
    <w:rsid w:val="00031684"/>
    <w:rsid w:val="000328BE"/>
    <w:rsid w:val="00035A12"/>
    <w:rsid w:val="00046835"/>
    <w:rsid w:val="000515DE"/>
    <w:rsid w:val="000551EF"/>
    <w:rsid w:val="00062D91"/>
    <w:rsid w:val="00063214"/>
    <w:rsid w:val="00063D43"/>
    <w:rsid w:val="00064C9D"/>
    <w:rsid w:val="00067F07"/>
    <w:rsid w:val="000770CB"/>
    <w:rsid w:val="00080F46"/>
    <w:rsid w:val="00082EF9"/>
    <w:rsid w:val="00084317"/>
    <w:rsid w:val="000853F3"/>
    <w:rsid w:val="00090323"/>
    <w:rsid w:val="000913DF"/>
    <w:rsid w:val="00096A48"/>
    <w:rsid w:val="000A5B49"/>
    <w:rsid w:val="000A5DE1"/>
    <w:rsid w:val="000A7144"/>
    <w:rsid w:val="000B1498"/>
    <w:rsid w:val="000B2946"/>
    <w:rsid w:val="000B2E14"/>
    <w:rsid w:val="000B413F"/>
    <w:rsid w:val="000C23AA"/>
    <w:rsid w:val="000C240F"/>
    <w:rsid w:val="000C4FDA"/>
    <w:rsid w:val="000C721D"/>
    <w:rsid w:val="000D4C09"/>
    <w:rsid w:val="000E3985"/>
    <w:rsid w:val="000E566B"/>
    <w:rsid w:val="00100C00"/>
    <w:rsid w:val="00102D10"/>
    <w:rsid w:val="00104340"/>
    <w:rsid w:val="0010700B"/>
    <w:rsid w:val="00114493"/>
    <w:rsid w:val="00116BB5"/>
    <w:rsid w:val="00116BCF"/>
    <w:rsid w:val="00120250"/>
    <w:rsid w:val="0012331D"/>
    <w:rsid w:val="001234AC"/>
    <w:rsid w:val="001268FA"/>
    <w:rsid w:val="001331EB"/>
    <w:rsid w:val="00140899"/>
    <w:rsid w:val="00142C78"/>
    <w:rsid w:val="00147A60"/>
    <w:rsid w:val="00155BCE"/>
    <w:rsid w:val="00156044"/>
    <w:rsid w:val="00156722"/>
    <w:rsid w:val="001617C5"/>
    <w:rsid w:val="00164176"/>
    <w:rsid w:val="001703FC"/>
    <w:rsid w:val="001715D5"/>
    <w:rsid w:val="001723FF"/>
    <w:rsid w:val="00175709"/>
    <w:rsid w:val="0018157B"/>
    <w:rsid w:val="00181A76"/>
    <w:rsid w:val="0018271C"/>
    <w:rsid w:val="00183A78"/>
    <w:rsid w:val="001860C1"/>
    <w:rsid w:val="0019062F"/>
    <w:rsid w:val="0019321C"/>
    <w:rsid w:val="00195362"/>
    <w:rsid w:val="001A28F4"/>
    <w:rsid w:val="001A528C"/>
    <w:rsid w:val="001A551E"/>
    <w:rsid w:val="001B3589"/>
    <w:rsid w:val="001B5069"/>
    <w:rsid w:val="001B5E26"/>
    <w:rsid w:val="001C0A1D"/>
    <w:rsid w:val="001C3E7F"/>
    <w:rsid w:val="001C4345"/>
    <w:rsid w:val="001C7681"/>
    <w:rsid w:val="001D035F"/>
    <w:rsid w:val="001E1BD0"/>
    <w:rsid w:val="001E4B6F"/>
    <w:rsid w:val="001E5DA7"/>
    <w:rsid w:val="001F5BF4"/>
    <w:rsid w:val="001F7545"/>
    <w:rsid w:val="00200C11"/>
    <w:rsid w:val="00203FE9"/>
    <w:rsid w:val="00204401"/>
    <w:rsid w:val="00213A27"/>
    <w:rsid w:val="002141BE"/>
    <w:rsid w:val="0022109F"/>
    <w:rsid w:val="00221C2E"/>
    <w:rsid w:val="002274FD"/>
    <w:rsid w:val="00227EC5"/>
    <w:rsid w:val="00235C03"/>
    <w:rsid w:val="00236E11"/>
    <w:rsid w:val="0024245C"/>
    <w:rsid w:val="00242FA3"/>
    <w:rsid w:val="00254788"/>
    <w:rsid w:val="002554B1"/>
    <w:rsid w:val="002566D6"/>
    <w:rsid w:val="002626F0"/>
    <w:rsid w:val="00264428"/>
    <w:rsid w:val="00270EB8"/>
    <w:rsid w:val="0027262D"/>
    <w:rsid w:val="00273470"/>
    <w:rsid w:val="00276DFD"/>
    <w:rsid w:val="002777D0"/>
    <w:rsid w:val="002816FC"/>
    <w:rsid w:val="002821D1"/>
    <w:rsid w:val="00283D35"/>
    <w:rsid w:val="00283F96"/>
    <w:rsid w:val="00284FA6"/>
    <w:rsid w:val="00287FCF"/>
    <w:rsid w:val="0029046E"/>
    <w:rsid w:val="0029496F"/>
    <w:rsid w:val="002954C0"/>
    <w:rsid w:val="002A28BB"/>
    <w:rsid w:val="002A42EA"/>
    <w:rsid w:val="002A52C6"/>
    <w:rsid w:val="002A6412"/>
    <w:rsid w:val="002A6906"/>
    <w:rsid w:val="002A6B41"/>
    <w:rsid w:val="002A6BC0"/>
    <w:rsid w:val="002A7803"/>
    <w:rsid w:val="002C7585"/>
    <w:rsid w:val="002D2E80"/>
    <w:rsid w:val="002D39BA"/>
    <w:rsid w:val="002D3C94"/>
    <w:rsid w:val="002E0BD1"/>
    <w:rsid w:val="002E6AE4"/>
    <w:rsid w:val="002F00C0"/>
    <w:rsid w:val="00301FCA"/>
    <w:rsid w:val="00302E0B"/>
    <w:rsid w:val="0031013C"/>
    <w:rsid w:val="00312BD7"/>
    <w:rsid w:val="003155BC"/>
    <w:rsid w:val="00316207"/>
    <w:rsid w:val="00320CF1"/>
    <w:rsid w:val="00323087"/>
    <w:rsid w:val="00333451"/>
    <w:rsid w:val="00334EF8"/>
    <w:rsid w:val="003419A2"/>
    <w:rsid w:val="0034252F"/>
    <w:rsid w:val="00342EB3"/>
    <w:rsid w:val="00347635"/>
    <w:rsid w:val="003504F4"/>
    <w:rsid w:val="003534F2"/>
    <w:rsid w:val="00353B1D"/>
    <w:rsid w:val="003644E1"/>
    <w:rsid w:val="00364EBA"/>
    <w:rsid w:val="00364FFD"/>
    <w:rsid w:val="003656E7"/>
    <w:rsid w:val="003710DB"/>
    <w:rsid w:val="003718BA"/>
    <w:rsid w:val="00371FC5"/>
    <w:rsid w:val="0037675B"/>
    <w:rsid w:val="0038139F"/>
    <w:rsid w:val="0038146F"/>
    <w:rsid w:val="00382098"/>
    <w:rsid w:val="00382243"/>
    <w:rsid w:val="0039367C"/>
    <w:rsid w:val="0039637D"/>
    <w:rsid w:val="00397ADF"/>
    <w:rsid w:val="003A1BFC"/>
    <w:rsid w:val="003A3EFA"/>
    <w:rsid w:val="003A4EE5"/>
    <w:rsid w:val="003A77B4"/>
    <w:rsid w:val="003C028D"/>
    <w:rsid w:val="003C1319"/>
    <w:rsid w:val="003C1B6D"/>
    <w:rsid w:val="003C3101"/>
    <w:rsid w:val="003C701D"/>
    <w:rsid w:val="003D2664"/>
    <w:rsid w:val="003D4D47"/>
    <w:rsid w:val="003D4F15"/>
    <w:rsid w:val="003D5B6C"/>
    <w:rsid w:val="003E1094"/>
    <w:rsid w:val="003E39CA"/>
    <w:rsid w:val="003E6704"/>
    <w:rsid w:val="003E6899"/>
    <w:rsid w:val="003F23D8"/>
    <w:rsid w:val="003F3FC4"/>
    <w:rsid w:val="003F4195"/>
    <w:rsid w:val="003F7A10"/>
    <w:rsid w:val="00401680"/>
    <w:rsid w:val="004031B1"/>
    <w:rsid w:val="00403FDE"/>
    <w:rsid w:val="00411605"/>
    <w:rsid w:val="00412A1E"/>
    <w:rsid w:val="00413E01"/>
    <w:rsid w:val="004153A7"/>
    <w:rsid w:val="0041618D"/>
    <w:rsid w:val="0041653B"/>
    <w:rsid w:val="00421A7D"/>
    <w:rsid w:val="00433BFD"/>
    <w:rsid w:val="00440CB1"/>
    <w:rsid w:val="0044137D"/>
    <w:rsid w:val="004441F3"/>
    <w:rsid w:val="0045180E"/>
    <w:rsid w:val="00454B3A"/>
    <w:rsid w:val="004551D1"/>
    <w:rsid w:val="00463162"/>
    <w:rsid w:val="0046327C"/>
    <w:rsid w:val="0046472C"/>
    <w:rsid w:val="00465FEE"/>
    <w:rsid w:val="0047142C"/>
    <w:rsid w:val="00472768"/>
    <w:rsid w:val="00472D18"/>
    <w:rsid w:val="0047402D"/>
    <w:rsid w:val="00474B47"/>
    <w:rsid w:val="00475F9A"/>
    <w:rsid w:val="004762EB"/>
    <w:rsid w:val="004817F6"/>
    <w:rsid w:val="0048356F"/>
    <w:rsid w:val="00484746"/>
    <w:rsid w:val="004912A1"/>
    <w:rsid w:val="004931D3"/>
    <w:rsid w:val="004962CB"/>
    <w:rsid w:val="00496FB8"/>
    <w:rsid w:val="00497065"/>
    <w:rsid w:val="004A296F"/>
    <w:rsid w:val="004A4C24"/>
    <w:rsid w:val="004A4E3F"/>
    <w:rsid w:val="004B185A"/>
    <w:rsid w:val="004B39FB"/>
    <w:rsid w:val="004B3D19"/>
    <w:rsid w:val="004B429D"/>
    <w:rsid w:val="004C0E3D"/>
    <w:rsid w:val="004C22BC"/>
    <w:rsid w:val="004C706C"/>
    <w:rsid w:val="004C78DB"/>
    <w:rsid w:val="004D28E4"/>
    <w:rsid w:val="004E14C7"/>
    <w:rsid w:val="004E3B18"/>
    <w:rsid w:val="004E4AD9"/>
    <w:rsid w:val="004F3147"/>
    <w:rsid w:val="004F5885"/>
    <w:rsid w:val="0050387D"/>
    <w:rsid w:val="005052E0"/>
    <w:rsid w:val="005061C1"/>
    <w:rsid w:val="00510A98"/>
    <w:rsid w:val="00510C91"/>
    <w:rsid w:val="005114FA"/>
    <w:rsid w:val="00513BD9"/>
    <w:rsid w:val="005163CE"/>
    <w:rsid w:val="0052596A"/>
    <w:rsid w:val="0053044B"/>
    <w:rsid w:val="00530662"/>
    <w:rsid w:val="005315FE"/>
    <w:rsid w:val="00536237"/>
    <w:rsid w:val="00537A51"/>
    <w:rsid w:val="00543D79"/>
    <w:rsid w:val="00543F4F"/>
    <w:rsid w:val="00546CD1"/>
    <w:rsid w:val="00550BAA"/>
    <w:rsid w:val="00551184"/>
    <w:rsid w:val="0055244F"/>
    <w:rsid w:val="00554FF6"/>
    <w:rsid w:val="00556392"/>
    <w:rsid w:val="005618B6"/>
    <w:rsid w:val="005651D3"/>
    <w:rsid w:val="0056626C"/>
    <w:rsid w:val="005755D5"/>
    <w:rsid w:val="005826EF"/>
    <w:rsid w:val="00583B0E"/>
    <w:rsid w:val="00584261"/>
    <w:rsid w:val="00584814"/>
    <w:rsid w:val="00585614"/>
    <w:rsid w:val="00591F69"/>
    <w:rsid w:val="0059233D"/>
    <w:rsid w:val="00595347"/>
    <w:rsid w:val="00595495"/>
    <w:rsid w:val="0059585E"/>
    <w:rsid w:val="005975B1"/>
    <w:rsid w:val="00597B2C"/>
    <w:rsid w:val="005A4B3D"/>
    <w:rsid w:val="005A6B45"/>
    <w:rsid w:val="005A7E93"/>
    <w:rsid w:val="005B05CE"/>
    <w:rsid w:val="005B0B55"/>
    <w:rsid w:val="005B0D2B"/>
    <w:rsid w:val="005B3D87"/>
    <w:rsid w:val="005B58E9"/>
    <w:rsid w:val="005C0014"/>
    <w:rsid w:val="005C2E9D"/>
    <w:rsid w:val="005C3967"/>
    <w:rsid w:val="005C5F90"/>
    <w:rsid w:val="005C76B3"/>
    <w:rsid w:val="005D021C"/>
    <w:rsid w:val="005D0B03"/>
    <w:rsid w:val="005D1974"/>
    <w:rsid w:val="005D37D9"/>
    <w:rsid w:val="005D3C5E"/>
    <w:rsid w:val="005D6B1E"/>
    <w:rsid w:val="005E51C8"/>
    <w:rsid w:val="005F1918"/>
    <w:rsid w:val="005F3486"/>
    <w:rsid w:val="005F570E"/>
    <w:rsid w:val="0060571D"/>
    <w:rsid w:val="0061396A"/>
    <w:rsid w:val="00621BE8"/>
    <w:rsid w:val="006236B7"/>
    <w:rsid w:val="006239D3"/>
    <w:rsid w:val="00624072"/>
    <w:rsid w:val="00630378"/>
    <w:rsid w:val="0063409D"/>
    <w:rsid w:val="00635153"/>
    <w:rsid w:val="006427FD"/>
    <w:rsid w:val="006444C1"/>
    <w:rsid w:val="00647FC4"/>
    <w:rsid w:val="0065500A"/>
    <w:rsid w:val="0065738E"/>
    <w:rsid w:val="006664A8"/>
    <w:rsid w:val="00666FBE"/>
    <w:rsid w:val="00670C46"/>
    <w:rsid w:val="00673A25"/>
    <w:rsid w:val="006762E8"/>
    <w:rsid w:val="00676797"/>
    <w:rsid w:val="006776C1"/>
    <w:rsid w:val="0068766E"/>
    <w:rsid w:val="006919D7"/>
    <w:rsid w:val="00696E82"/>
    <w:rsid w:val="006A0537"/>
    <w:rsid w:val="006A1C94"/>
    <w:rsid w:val="006A7432"/>
    <w:rsid w:val="006B43A4"/>
    <w:rsid w:val="006B49C3"/>
    <w:rsid w:val="006B5B44"/>
    <w:rsid w:val="006B6C8A"/>
    <w:rsid w:val="006B7A6C"/>
    <w:rsid w:val="006C06A5"/>
    <w:rsid w:val="006C7F27"/>
    <w:rsid w:val="006D229E"/>
    <w:rsid w:val="006D5ECC"/>
    <w:rsid w:val="006D6065"/>
    <w:rsid w:val="006D78BD"/>
    <w:rsid w:val="006E0C5A"/>
    <w:rsid w:val="006E274C"/>
    <w:rsid w:val="006E5FBC"/>
    <w:rsid w:val="006F1BF4"/>
    <w:rsid w:val="0070451C"/>
    <w:rsid w:val="0071079A"/>
    <w:rsid w:val="0071138D"/>
    <w:rsid w:val="00714CBD"/>
    <w:rsid w:val="00715D8B"/>
    <w:rsid w:val="00722569"/>
    <w:rsid w:val="00732338"/>
    <w:rsid w:val="007324EA"/>
    <w:rsid w:val="00734123"/>
    <w:rsid w:val="00737D40"/>
    <w:rsid w:val="00740201"/>
    <w:rsid w:val="00742F46"/>
    <w:rsid w:val="00743167"/>
    <w:rsid w:val="00744D26"/>
    <w:rsid w:val="00750AC4"/>
    <w:rsid w:val="00751335"/>
    <w:rsid w:val="00767F92"/>
    <w:rsid w:val="00770125"/>
    <w:rsid w:val="007703A1"/>
    <w:rsid w:val="00771546"/>
    <w:rsid w:val="00771733"/>
    <w:rsid w:val="00771ECB"/>
    <w:rsid w:val="00774D88"/>
    <w:rsid w:val="00775CEB"/>
    <w:rsid w:val="007807F4"/>
    <w:rsid w:val="0078134E"/>
    <w:rsid w:val="00783EA6"/>
    <w:rsid w:val="00784035"/>
    <w:rsid w:val="00784EF4"/>
    <w:rsid w:val="007876FE"/>
    <w:rsid w:val="00791972"/>
    <w:rsid w:val="007966F6"/>
    <w:rsid w:val="007A0F62"/>
    <w:rsid w:val="007A1FA3"/>
    <w:rsid w:val="007A5A68"/>
    <w:rsid w:val="007A5C3A"/>
    <w:rsid w:val="007A7C1A"/>
    <w:rsid w:val="007B60CD"/>
    <w:rsid w:val="007C330D"/>
    <w:rsid w:val="007D1C1C"/>
    <w:rsid w:val="007E3362"/>
    <w:rsid w:val="007F0291"/>
    <w:rsid w:val="007F0683"/>
    <w:rsid w:val="007F48EE"/>
    <w:rsid w:val="007F5F66"/>
    <w:rsid w:val="007F66B0"/>
    <w:rsid w:val="007F6FAC"/>
    <w:rsid w:val="008032A8"/>
    <w:rsid w:val="008053E3"/>
    <w:rsid w:val="00805793"/>
    <w:rsid w:val="008164E4"/>
    <w:rsid w:val="00816570"/>
    <w:rsid w:val="00820B23"/>
    <w:rsid w:val="00824014"/>
    <w:rsid w:val="00824235"/>
    <w:rsid w:val="008337B9"/>
    <w:rsid w:val="008343CB"/>
    <w:rsid w:val="00834842"/>
    <w:rsid w:val="0084042F"/>
    <w:rsid w:val="00840B2B"/>
    <w:rsid w:val="0084483E"/>
    <w:rsid w:val="00845CFC"/>
    <w:rsid w:val="00847287"/>
    <w:rsid w:val="008504C2"/>
    <w:rsid w:val="008519F9"/>
    <w:rsid w:val="00851FD1"/>
    <w:rsid w:val="00857989"/>
    <w:rsid w:val="00864248"/>
    <w:rsid w:val="008668F7"/>
    <w:rsid w:val="008715E1"/>
    <w:rsid w:val="0087721C"/>
    <w:rsid w:val="00880EA0"/>
    <w:rsid w:val="00882767"/>
    <w:rsid w:val="00882ED0"/>
    <w:rsid w:val="00884897"/>
    <w:rsid w:val="008856EB"/>
    <w:rsid w:val="0088717B"/>
    <w:rsid w:val="0089384A"/>
    <w:rsid w:val="00894EAA"/>
    <w:rsid w:val="00896BD7"/>
    <w:rsid w:val="00897B25"/>
    <w:rsid w:val="008A385E"/>
    <w:rsid w:val="008A6BF4"/>
    <w:rsid w:val="008B075C"/>
    <w:rsid w:val="008B7545"/>
    <w:rsid w:val="008B77A4"/>
    <w:rsid w:val="008C42FA"/>
    <w:rsid w:val="008D404E"/>
    <w:rsid w:val="008D50AD"/>
    <w:rsid w:val="008D7B10"/>
    <w:rsid w:val="008E1F06"/>
    <w:rsid w:val="008E21DD"/>
    <w:rsid w:val="008E2402"/>
    <w:rsid w:val="008E4D83"/>
    <w:rsid w:val="008E525F"/>
    <w:rsid w:val="008E5507"/>
    <w:rsid w:val="008E5B17"/>
    <w:rsid w:val="008F0F30"/>
    <w:rsid w:val="008F1E65"/>
    <w:rsid w:val="008F4549"/>
    <w:rsid w:val="008F4C8A"/>
    <w:rsid w:val="008F5030"/>
    <w:rsid w:val="00900290"/>
    <w:rsid w:val="00901C5D"/>
    <w:rsid w:val="009065A2"/>
    <w:rsid w:val="0090722E"/>
    <w:rsid w:val="00907E81"/>
    <w:rsid w:val="009106A7"/>
    <w:rsid w:val="00911D91"/>
    <w:rsid w:val="009154E4"/>
    <w:rsid w:val="0091597E"/>
    <w:rsid w:val="00916734"/>
    <w:rsid w:val="00917203"/>
    <w:rsid w:val="009248DA"/>
    <w:rsid w:val="0092616B"/>
    <w:rsid w:val="0092737B"/>
    <w:rsid w:val="0092786E"/>
    <w:rsid w:val="0093136D"/>
    <w:rsid w:val="009336A5"/>
    <w:rsid w:val="00933E7A"/>
    <w:rsid w:val="0094184B"/>
    <w:rsid w:val="00941F93"/>
    <w:rsid w:val="00943326"/>
    <w:rsid w:val="0095111A"/>
    <w:rsid w:val="00953978"/>
    <w:rsid w:val="00953DCC"/>
    <w:rsid w:val="00955482"/>
    <w:rsid w:val="009570B7"/>
    <w:rsid w:val="00961283"/>
    <w:rsid w:val="00961691"/>
    <w:rsid w:val="009617E4"/>
    <w:rsid w:val="00966A96"/>
    <w:rsid w:val="0097290B"/>
    <w:rsid w:val="00981CBD"/>
    <w:rsid w:val="009833B8"/>
    <w:rsid w:val="00984FB7"/>
    <w:rsid w:val="00991C8E"/>
    <w:rsid w:val="0099543E"/>
    <w:rsid w:val="009A2626"/>
    <w:rsid w:val="009A658D"/>
    <w:rsid w:val="009B129D"/>
    <w:rsid w:val="009B7AA8"/>
    <w:rsid w:val="009C0864"/>
    <w:rsid w:val="009C1AFD"/>
    <w:rsid w:val="009C2DD4"/>
    <w:rsid w:val="009C329D"/>
    <w:rsid w:val="009C3D52"/>
    <w:rsid w:val="009C556A"/>
    <w:rsid w:val="009C5A1C"/>
    <w:rsid w:val="009C7917"/>
    <w:rsid w:val="009D16F1"/>
    <w:rsid w:val="009D1CDC"/>
    <w:rsid w:val="009D7C91"/>
    <w:rsid w:val="009E357B"/>
    <w:rsid w:val="009E3610"/>
    <w:rsid w:val="009E581C"/>
    <w:rsid w:val="009E7375"/>
    <w:rsid w:val="009E79F8"/>
    <w:rsid w:val="009E7ABC"/>
    <w:rsid w:val="009F57F4"/>
    <w:rsid w:val="00A011AA"/>
    <w:rsid w:val="00A1107A"/>
    <w:rsid w:val="00A13B62"/>
    <w:rsid w:val="00A15975"/>
    <w:rsid w:val="00A164FF"/>
    <w:rsid w:val="00A16D0A"/>
    <w:rsid w:val="00A20506"/>
    <w:rsid w:val="00A2301D"/>
    <w:rsid w:val="00A238C6"/>
    <w:rsid w:val="00A27601"/>
    <w:rsid w:val="00A276A2"/>
    <w:rsid w:val="00A30560"/>
    <w:rsid w:val="00A31EDB"/>
    <w:rsid w:val="00A35821"/>
    <w:rsid w:val="00A365C2"/>
    <w:rsid w:val="00A37D11"/>
    <w:rsid w:val="00A4564D"/>
    <w:rsid w:val="00A47073"/>
    <w:rsid w:val="00A472D5"/>
    <w:rsid w:val="00A56021"/>
    <w:rsid w:val="00A57D04"/>
    <w:rsid w:val="00A60C3E"/>
    <w:rsid w:val="00A632E5"/>
    <w:rsid w:val="00A722AC"/>
    <w:rsid w:val="00A746AE"/>
    <w:rsid w:val="00A74ED3"/>
    <w:rsid w:val="00A74FE7"/>
    <w:rsid w:val="00A75B1C"/>
    <w:rsid w:val="00A8042E"/>
    <w:rsid w:val="00A82405"/>
    <w:rsid w:val="00A82654"/>
    <w:rsid w:val="00A82C91"/>
    <w:rsid w:val="00A83ADB"/>
    <w:rsid w:val="00A85844"/>
    <w:rsid w:val="00AA0856"/>
    <w:rsid w:val="00AA54B8"/>
    <w:rsid w:val="00AA5889"/>
    <w:rsid w:val="00AC03B2"/>
    <w:rsid w:val="00AC10D3"/>
    <w:rsid w:val="00AC4A24"/>
    <w:rsid w:val="00AC5EBC"/>
    <w:rsid w:val="00AC7120"/>
    <w:rsid w:val="00AD17B1"/>
    <w:rsid w:val="00AD3F8E"/>
    <w:rsid w:val="00AD6BB3"/>
    <w:rsid w:val="00AD6C14"/>
    <w:rsid w:val="00AD79E7"/>
    <w:rsid w:val="00AE4331"/>
    <w:rsid w:val="00AF1357"/>
    <w:rsid w:val="00AF2905"/>
    <w:rsid w:val="00AF75D8"/>
    <w:rsid w:val="00B00233"/>
    <w:rsid w:val="00B0086F"/>
    <w:rsid w:val="00B01FC8"/>
    <w:rsid w:val="00B04F64"/>
    <w:rsid w:val="00B1234B"/>
    <w:rsid w:val="00B13829"/>
    <w:rsid w:val="00B16E53"/>
    <w:rsid w:val="00B17629"/>
    <w:rsid w:val="00B223AA"/>
    <w:rsid w:val="00B2620E"/>
    <w:rsid w:val="00B26DEC"/>
    <w:rsid w:val="00B319A6"/>
    <w:rsid w:val="00B34101"/>
    <w:rsid w:val="00B344DC"/>
    <w:rsid w:val="00B3488F"/>
    <w:rsid w:val="00B40B38"/>
    <w:rsid w:val="00B414BF"/>
    <w:rsid w:val="00B422EA"/>
    <w:rsid w:val="00B42F26"/>
    <w:rsid w:val="00B4579B"/>
    <w:rsid w:val="00B51327"/>
    <w:rsid w:val="00B541A4"/>
    <w:rsid w:val="00B55749"/>
    <w:rsid w:val="00B56ADC"/>
    <w:rsid w:val="00B61FBC"/>
    <w:rsid w:val="00B62A8B"/>
    <w:rsid w:val="00B67195"/>
    <w:rsid w:val="00B718A5"/>
    <w:rsid w:val="00B74133"/>
    <w:rsid w:val="00B767B1"/>
    <w:rsid w:val="00B773A0"/>
    <w:rsid w:val="00B8080C"/>
    <w:rsid w:val="00B83D51"/>
    <w:rsid w:val="00B842B9"/>
    <w:rsid w:val="00B855FD"/>
    <w:rsid w:val="00B86370"/>
    <w:rsid w:val="00B86901"/>
    <w:rsid w:val="00B90B76"/>
    <w:rsid w:val="00B91BF7"/>
    <w:rsid w:val="00BA060D"/>
    <w:rsid w:val="00BA115C"/>
    <w:rsid w:val="00BA1810"/>
    <w:rsid w:val="00BA4E54"/>
    <w:rsid w:val="00BA4F65"/>
    <w:rsid w:val="00BA57A6"/>
    <w:rsid w:val="00BB2EAB"/>
    <w:rsid w:val="00BB2EE8"/>
    <w:rsid w:val="00BC0280"/>
    <w:rsid w:val="00BC25C7"/>
    <w:rsid w:val="00BC43FF"/>
    <w:rsid w:val="00BE0D4A"/>
    <w:rsid w:val="00BF137C"/>
    <w:rsid w:val="00BF7BA9"/>
    <w:rsid w:val="00C000B5"/>
    <w:rsid w:val="00C049CE"/>
    <w:rsid w:val="00C05464"/>
    <w:rsid w:val="00C07D90"/>
    <w:rsid w:val="00C11EDC"/>
    <w:rsid w:val="00C13448"/>
    <w:rsid w:val="00C15138"/>
    <w:rsid w:val="00C176E2"/>
    <w:rsid w:val="00C17DF9"/>
    <w:rsid w:val="00C2424C"/>
    <w:rsid w:val="00C27D24"/>
    <w:rsid w:val="00C30245"/>
    <w:rsid w:val="00C323B4"/>
    <w:rsid w:val="00C3303E"/>
    <w:rsid w:val="00C348B5"/>
    <w:rsid w:val="00C34B1F"/>
    <w:rsid w:val="00C34E86"/>
    <w:rsid w:val="00C3722A"/>
    <w:rsid w:val="00C40011"/>
    <w:rsid w:val="00C42A9C"/>
    <w:rsid w:val="00C46EC2"/>
    <w:rsid w:val="00C55BC8"/>
    <w:rsid w:val="00C60EC7"/>
    <w:rsid w:val="00C639C6"/>
    <w:rsid w:val="00C70530"/>
    <w:rsid w:val="00C72C09"/>
    <w:rsid w:val="00C74BE9"/>
    <w:rsid w:val="00C762CD"/>
    <w:rsid w:val="00C77624"/>
    <w:rsid w:val="00C81BC5"/>
    <w:rsid w:val="00C85644"/>
    <w:rsid w:val="00C915B7"/>
    <w:rsid w:val="00C96FF9"/>
    <w:rsid w:val="00C97A6A"/>
    <w:rsid w:val="00CA34FE"/>
    <w:rsid w:val="00CA3821"/>
    <w:rsid w:val="00CB36C0"/>
    <w:rsid w:val="00CB788B"/>
    <w:rsid w:val="00CC4C89"/>
    <w:rsid w:val="00CD08B0"/>
    <w:rsid w:val="00CD0B7D"/>
    <w:rsid w:val="00CD283F"/>
    <w:rsid w:val="00CD7E47"/>
    <w:rsid w:val="00CE1E81"/>
    <w:rsid w:val="00CE266E"/>
    <w:rsid w:val="00CF0874"/>
    <w:rsid w:val="00CF5470"/>
    <w:rsid w:val="00CF6141"/>
    <w:rsid w:val="00D0010D"/>
    <w:rsid w:val="00D02416"/>
    <w:rsid w:val="00D04C4D"/>
    <w:rsid w:val="00D050D6"/>
    <w:rsid w:val="00D106BD"/>
    <w:rsid w:val="00D11416"/>
    <w:rsid w:val="00D16110"/>
    <w:rsid w:val="00D16AAC"/>
    <w:rsid w:val="00D2195E"/>
    <w:rsid w:val="00D21B96"/>
    <w:rsid w:val="00D2368C"/>
    <w:rsid w:val="00D24798"/>
    <w:rsid w:val="00D24FAA"/>
    <w:rsid w:val="00D27742"/>
    <w:rsid w:val="00D334C8"/>
    <w:rsid w:val="00D3570A"/>
    <w:rsid w:val="00D35910"/>
    <w:rsid w:val="00D3656E"/>
    <w:rsid w:val="00D459B4"/>
    <w:rsid w:val="00D54AA0"/>
    <w:rsid w:val="00D601F9"/>
    <w:rsid w:val="00D62812"/>
    <w:rsid w:val="00D637BF"/>
    <w:rsid w:val="00D64C78"/>
    <w:rsid w:val="00D70530"/>
    <w:rsid w:val="00D71E7A"/>
    <w:rsid w:val="00D7265D"/>
    <w:rsid w:val="00D7279D"/>
    <w:rsid w:val="00D73A0A"/>
    <w:rsid w:val="00D77356"/>
    <w:rsid w:val="00D825EA"/>
    <w:rsid w:val="00D928F6"/>
    <w:rsid w:val="00D941F7"/>
    <w:rsid w:val="00D95C40"/>
    <w:rsid w:val="00D976AC"/>
    <w:rsid w:val="00DA0259"/>
    <w:rsid w:val="00DA0349"/>
    <w:rsid w:val="00DA3F7E"/>
    <w:rsid w:val="00DA5486"/>
    <w:rsid w:val="00DA76CB"/>
    <w:rsid w:val="00DA7733"/>
    <w:rsid w:val="00DB0BAC"/>
    <w:rsid w:val="00DB113A"/>
    <w:rsid w:val="00DB30BD"/>
    <w:rsid w:val="00DC3242"/>
    <w:rsid w:val="00DC624C"/>
    <w:rsid w:val="00DD5260"/>
    <w:rsid w:val="00DD7E7C"/>
    <w:rsid w:val="00DE02F1"/>
    <w:rsid w:val="00DE4046"/>
    <w:rsid w:val="00DF4141"/>
    <w:rsid w:val="00DF5EF8"/>
    <w:rsid w:val="00DF6F32"/>
    <w:rsid w:val="00E00A39"/>
    <w:rsid w:val="00E00B4E"/>
    <w:rsid w:val="00E00C2D"/>
    <w:rsid w:val="00E00D6B"/>
    <w:rsid w:val="00E01AAA"/>
    <w:rsid w:val="00E01EC3"/>
    <w:rsid w:val="00E02628"/>
    <w:rsid w:val="00E02705"/>
    <w:rsid w:val="00E03A03"/>
    <w:rsid w:val="00E0432D"/>
    <w:rsid w:val="00E047CA"/>
    <w:rsid w:val="00E04FA5"/>
    <w:rsid w:val="00E11EE9"/>
    <w:rsid w:val="00E149FC"/>
    <w:rsid w:val="00E2132B"/>
    <w:rsid w:val="00E22C3A"/>
    <w:rsid w:val="00E247A5"/>
    <w:rsid w:val="00E2483A"/>
    <w:rsid w:val="00E25A4F"/>
    <w:rsid w:val="00E27809"/>
    <w:rsid w:val="00E27B7A"/>
    <w:rsid w:val="00E43520"/>
    <w:rsid w:val="00E43E2B"/>
    <w:rsid w:val="00E47E17"/>
    <w:rsid w:val="00E5008F"/>
    <w:rsid w:val="00E51D8B"/>
    <w:rsid w:val="00E52E5C"/>
    <w:rsid w:val="00E54265"/>
    <w:rsid w:val="00E5598D"/>
    <w:rsid w:val="00E665C4"/>
    <w:rsid w:val="00E74FDF"/>
    <w:rsid w:val="00E766CB"/>
    <w:rsid w:val="00E77EE9"/>
    <w:rsid w:val="00E91744"/>
    <w:rsid w:val="00E91C12"/>
    <w:rsid w:val="00EA02B8"/>
    <w:rsid w:val="00EA0746"/>
    <w:rsid w:val="00EA1639"/>
    <w:rsid w:val="00EA4AF8"/>
    <w:rsid w:val="00EA672A"/>
    <w:rsid w:val="00EA7CF7"/>
    <w:rsid w:val="00EB1898"/>
    <w:rsid w:val="00EB27DE"/>
    <w:rsid w:val="00EB4E6F"/>
    <w:rsid w:val="00EB7170"/>
    <w:rsid w:val="00EC09CC"/>
    <w:rsid w:val="00EC0A17"/>
    <w:rsid w:val="00EC0AC9"/>
    <w:rsid w:val="00EC0E1A"/>
    <w:rsid w:val="00EC35BD"/>
    <w:rsid w:val="00EC6943"/>
    <w:rsid w:val="00EC6F48"/>
    <w:rsid w:val="00EC757E"/>
    <w:rsid w:val="00ED468B"/>
    <w:rsid w:val="00ED6BED"/>
    <w:rsid w:val="00EE2C85"/>
    <w:rsid w:val="00EE3192"/>
    <w:rsid w:val="00EE7956"/>
    <w:rsid w:val="00EF129D"/>
    <w:rsid w:val="00EF4F1C"/>
    <w:rsid w:val="00EF599C"/>
    <w:rsid w:val="00EF63FF"/>
    <w:rsid w:val="00F022F4"/>
    <w:rsid w:val="00F126E8"/>
    <w:rsid w:val="00F160D8"/>
    <w:rsid w:val="00F203F9"/>
    <w:rsid w:val="00F20AC2"/>
    <w:rsid w:val="00F21F3A"/>
    <w:rsid w:val="00F236B0"/>
    <w:rsid w:val="00F30F46"/>
    <w:rsid w:val="00F317B9"/>
    <w:rsid w:val="00F459DD"/>
    <w:rsid w:val="00F464EB"/>
    <w:rsid w:val="00F5108F"/>
    <w:rsid w:val="00F52C24"/>
    <w:rsid w:val="00F56FBF"/>
    <w:rsid w:val="00F612BA"/>
    <w:rsid w:val="00F622FA"/>
    <w:rsid w:val="00F62E0B"/>
    <w:rsid w:val="00F6425E"/>
    <w:rsid w:val="00F7233C"/>
    <w:rsid w:val="00F72D94"/>
    <w:rsid w:val="00F80A74"/>
    <w:rsid w:val="00F84FC8"/>
    <w:rsid w:val="00F917F3"/>
    <w:rsid w:val="00FA33C5"/>
    <w:rsid w:val="00FB0ACE"/>
    <w:rsid w:val="00FB2923"/>
    <w:rsid w:val="00FB318E"/>
    <w:rsid w:val="00FB4326"/>
    <w:rsid w:val="00FB4CFC"/>
    <w:rsid w:val="00FB5853"/>
    <w:rsid w:val="00FB65CB"/>
    <w:rsid w:val="00FC0A32"/>
    <w:rsid w:val="00FC59D1"/>
    <w:rsid w:val="00FC69AD"/>
    <w:rsid w:val="00FC76EB"/>
    <w:rsid w:val="00FD03C9"/>
    <w:rsid w:val="00FD05C4"/>
    <w:rsid w:val="00FD08D5"/>
    <w:rsid w:val="00FD1DC8"/>
    <w:rsid w:val="00FD3151"/>
    <w:rsid w:val="00FD3C11"/>
    <w:rsid w:val="00FE3221"/>
    <w:rsid w:val="00FE5369"/>
    <w:rsid w:val="00FF0F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810C44B2-3CE3-4C3B-93EF-1D5EBEE7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5ECC"/>
    <w:pPr>
      <w:spacing w:after="0" w:line="288" w:lineRule="auto"/>
      <w:jc w:val="both"/>
    </w:pPr>
    <w:rPr>
      <w:rFonts w:asciiTheme="majorHAnsi" w:hAnsiTheme="majorHAnsi" w:cstheme="majorHAnsi"/>
      <w:sz w:val="24"/>
      <w:szCs w:val="24"/>
      <w:lang w:val="en-GB"/>
    </w:rPr>
  </w:style>
  <w:style w:type="paragraph" w:styleId="Heading1">
    <w:name w:val="heading 1"/>
    <w:basedOn w:val="Normal"/>
    <w:next w:val="BodyText1"/>
    <w:link w:val="Heading1Char"/>
    <w:autoRedefine/>
    <w:uiPriority w:val="9"/>
    <w:qFormat/>
    <w:rsid w:val="00FB2923"/>
    <w:pPr>
      <w:keepNext/>
      <w:keepLines/>
      <w:spacing w:before="240"/>
      <w:outlineLvl w:val="0"/>
    </w:pPr>
    <w:rPr>
      <w:rFonts w:ascii="Arial Narrow" w:eastAsiaTheme="majorEastAsia" w:hAnsi="Arial Narrow" w:cstheme="majorBidi"/>
      <w:b/>
      <w:bCs/>
      <w:caps/>
      <w:color w:val="006EB7" w:themeColor="accent1"/>
      <w:sz w:val="32"/>
      <w:szCs w:val="28"/>
    </w:rPr>
  </w:style>
  <w:style w:type="paragraph" w:styleId="Heading2">
    <w:name w:val="heading 2"/>
    <w:basedOn w:val="Heading1"/>
    <w:next w:val="BodyText1"/>
    <w:link w:val="Heading2Char"/>
    <w:autoRedefine/>
    <w:uiPriority w:val="9"/>
    <w:unhideWhenUsed/>
    <w:qFormat/>
    <w:rsid w:val="00783EA6"/>
    <w:pPr>
      <w:outlineLvl w:val="1"/>
    </w:pPr>
    <w:rPr>
      <w:caps w:val="0"/>
      <w:sz w:val="28"/>
    </w:rPr>
  </w:style>
  <w:style w:type="paragraph" w:styleId="Heading3">
    <w:name w:val="heading 3"/>
    <w:basedOn w:val="Heading2"/>
    <w:next w:val="BodyText1"/>
    <w:link w:val="Heading3Char"/>
    <w:uiPriority w:val="9"/>
    <w:unhideWhenUsed/>
    <w:qFormat/>
    <w:rsid w:val="00B00233"/>
    <w:pPr>
      <w:outlineLvl w:val="2"/>
    </w:pPr>
    <w:rPr>
      <w:sz w:val="24"/>
    </w:rPr>
  </w:style>
  <w:style w:type="paragraph" w:styleId="Heading4">
    <w:name w:val="heading 4"/>
    <w:basedOn w:val="BodyText1"/>
    <w:next w:val="BodyText1"/>
    <w:link w:val="Heading4Char"/>
    <w:uiPriority w:val="9"/>
    <w:unhideWhenUsed/>
    <w:qFormat/>
    <w:rsid w:val="00EC6F48"/>
    <w:pPr>
      <w:outlineLvl w:val="3"/>
    </w:pPr>
    <w:rPr>
      <w:rFonts w:cs="Arial"/>
      <w:b/>
    </w:rPr>
  </w:style>
  <w:style w:type="paragraph" w:styleId="Heading5">
    <w:name w:val="heading 5"/>
    <w:basedOn w:val="Normal"/>
    <w:next w:val="Normal"/>
    <w:link w:val="Heading5Char"/>
    <w:uiPriority w:val="9"/>
    <w:semiHidden/>
    <w:unhideWhenUsed/>
    <w:rsid w:val="009B7AA8"/>
    <w:pPr>
      <w:pBdr>
        <w:bottom w:val="single" w:sz="4" w:space="1" w:color="F09288" w:themeColor="text2" w:themeTint="99"/>
      </w:pBdr>
      <w:spacing w:before="200" w:after="100" w:line="240" w:lineRule="auto"/>
      <w:ind w:left="1008" w:hanging="1008"/>
      <w:contextualSpacing/>
      <w:jc w:val="left"/>
      <w:outlineLvl w:val="4"/>
    </w:pPr>
    <w:rPr>
      <w:rFonts w:eastAsiaTheme="majorEastAsia" w:cstheme="majorBidi"/>
      <w:smallCaps/>
      <w:color w:val="ED786B" w:themeColor="text2" w:themeTint="BF"/>
      <w:spacing w:val="20"/>
      <w:sz w:val="20"/>
      <w:szCs w:val="20"/>
      <w:lang w:bidi="en-US"/>
    </w:rPr>
  </w:style>
  <w:style w:type="paragraph" w:styleId="Heading6">
    <w:name w:val="heading 6"/>
    <w:basedOn w:val="Normal"/>
    <w:next w:val="Normal"/>
    <w:link w:val="Heading6Char"/>
    <w:uiPriority w:val="9"/>
    <w:semiHidden/>
    <w:unhideWhenUsed/>
    <w:qFormat/>
    <w:rsid w:val="009B7AA8"/>
    <w:pPr>
      <w:pBdr>
        <w:bottom w:val="dotted" w:sz="8" w:space="1" w:color="1F5F5B" w:themeColor="background2" w:themeShade="7F"/>
      </w:pBdr>
      <w:spacing w:before="200" w:after="100"/>
      <w:ind w:left="1152" w:hanging="1152"/>
      <w:contextualSpacing/>
      <w:jc w:val="left"/>
      <w:outlineLvl w:val="5"/>
    </w:pPr>
    <w:rPr>
      <w:rFonts w:eastAsiaTheme="majorEastAsia" w:cstheme="majorBidi"/>
      <w:smallCaps/>
      <w:color w:val="1F5F5B" w:themeColor="background2" w:themeShade="7F"/>
      <w:spacing w:val="20"/>
      <w:sz w:val="20"/>
      <w:szCs w:val="20"/>
      <w:lang w:bidi="en-US"/>
    </w:rPr>
  </w:style>
  <w:style w:type="paragraph" w:styleId="Heading7">
    <w:name w:val="heading 7"/>
    <w:basedOn w:val="Normal"/>
    <w:next w:val="Normal"/>
    <w:link w:val="Heading7Char"/>
    <w:uiPriority w:val="9"/>
    <w:semiHidden/>
    <w:unhideWhenUsed/>
    <w:qFormat/>
    <w:rsid w:val="009B7AA8"/>
    <w:pPr>
      <w:pBdr>
        <w:bottom w:val="dotted" w:sz="8" w:space="1" w:color="1F5F5B" w:themeColor="background2" w:themeShade="7F"/>
      </w:pBdr>
      <w:spacing w:before="200" w:after="100" w:line="240" w:lineRule="auto"/>
      <w:ind w:left="1296" w:hanging="1296"/>
      <w:contextualSpacing/>
      <w:jc w:val="left"/>
      <w:outlineLvl w:val="6"/>
    </w:pPr>
    <w:rPr>
      <w:rFonts w:eastAsiaTheme="majorEastAsia" w:cstheme="majorBidi"/>
      <w:b/>
      <w:bCs/>
      <w:smallCaps/>
      <w:color w:val="1F5F5B" w:themeColor="background2" w:themeShade="7F"/>
      <w:spacing w:val="20"/>
      <w:sz w:val="16"/>
      <w:szCs w:val="16"/>
      <w:lang w:bidi="en-US"/>
    </w:rPr>
  </w:style>
  <w:style w:type="paragraph" w:styleId="Heading8">
    <w:name w:val="heading 8"/>
    <w:basedOn w:val="Normal"/>
    <w:next w:val="Normal"/>
    <w:link w:val="Heading8Char"/>
    <w:uiPriority w:val="9"/>
    <w:semiHidden/>
    <w:unhideWhenUsed/>
    <w:qFormat/>
    <w:rsid w:val="009B7AA8"/>
    <w:pPr>
      <w:spacing w:before="200" w:after="60" w:line="240" w:lineRule="auto"/>
      <w:ind w:left="1440" w:hanging="1440"/>
      <w:contextualSpacing/>
      <w:jc w:val="left"/>
      <w:outlineLvl w:val="7"/>
    </w:pPr>
    <w:rPr>
      <w:rFonts w:eastAsiaTheme="majorEastAsia" w:cstheme="majorBidi"/>
      <w:b/>
      <w:smallCaps/>
      <w:color w:val="1F5F5B" w:themeColor="background2" w:themeShade="7F"/>
      <w:spacing w:val="20"/>
      <w:sz w:val="16"/>
      <w:szCs w:val="16"/>
      <w:lang w:bidi="en-US"/>
    </w:rPr>
  </w:style>
  <w:style w:type="paragraph" w:styleId="Heading9">
    <w:name w:val="heading 9"/>
    <w:basedOn w:val="Normal"/>
    <w:next w:val="Normal"/>
    <w:link w:val="Heading9Char"/>
    <w:uiPriority w:val="9"/>
    <w:rsid w:val="009B7AA8"/>
    <w:pPr>
      <w:spacing w:before="240" w:after="60"/>
      <w:jc w:val="left"/>
      <w:outlineLvl w:val="8"/>
    </w:pPr>
    <w:rPr>
      <w:rFonts w:ascii="Arial" w:eastAsia="Times New Roman" w:hAnsi="Arial" w:cs="Arial"/>
      <w:sz w:val="22"/>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ullet">
    <w:name w:val="table bullet"/>
    <w:basedOn w:val="ListParagraph"/>
    <w:link w:val="tablebulletChar"/>
    <w:autoRedefine/>
    <w:qFormat/>
    <w:rsid w:val="00595495"/>
    <w:pPr>
      <w:numPr>
        <w:numId w:val="2"/>
      </w:numPr>
      <w:spacing w:line="240" w:lineRule="auto"/>
      <w:ind w:left="284" w:hanging="284"/>
      <w:jc w:val="left"/>
    </w:pPr>
    <w:rPr>
      <w:rFonts w:ascii="Arial Narrow" w:hAnsi="Arial Narrow"/>
      <w:bCs/>
      <w:sz w:val="20"/>
    </w:rPr>
  </w:style>
  <w:style w:type="character" w:customStyle="1" w:styleId="tablebulletChar">
    <w:name w:val="table bullet Char"/>
    <w:basedOn w:val="ListParagraphChar"/>
    <w:link w:val="tablebullet"/>
    <w:rsid w:val="00595495"/>
    <w:rPr>
      <w:rFonts w:ascii="Arial Narrow" w:hAnsi="Arial Narrow" w:cstheme="majorHAnsi"/>
      <w:bCs/>
      <w:sz w:val="20"/>
      <w:szCs w:val="24"/>
      <w:lang w:val="en-GB"/>
    </w:rPr>
  </w:style>
  <w:style w:type="paragraph" w:styleId="ListParagraph">
    <w:name w:val="List Paragraph"/>
    <w:basedOn w:val="Normal"/>
    <w:link w:val="ListParagraphChar"/>
    <w:uiPriority w:val="34"/>
    <w:qFormat/>
    <w:rsid w:val="009B7AA8"/>
    <w:pPr>
      <w:ind w:left="720"/>
      <w:contextualSpacing/>
    </w:pPr>
  </w:style>
  <w:style w:type="paragraph" w:customStyle="1" w:styleId="Bullet">
    <w:name w:val="Bullet"/>
    <w:basedOn w:val="ListBullet"/>
    <w:link w:val="BulletChar"/>
    <w:qFormat/>
    <w:rsid w:val="00595495"/>
    <w:pPr>
      <w:spacing w:after="120" w:line="360" w:lineRule="auto"/>
      <w:ind w:left="357" w:hanging="357"/>
    </w:pPr>
    <w:rPr>
      <w:rFonts w:ascii="Arial" w:hAnsi="Arial"/>
      <w:sz w:val="22"/>
    </w:rPr>
  </w:style>
  <w:style w:type="character" w:customStyle="1" w:styleId="BulletChar">
    <w:name w:val="Bullet Char"/>
    <w:basedOn w:val="ListParagraphChar"/>
    <w:link w:val="Bullet"/>
    <w:rsid w:val="00595495"/>
    <w:rPr>
      <w:rFonts w:ascii="Arial" w:hAnsi="Arial" w:cstheme="majorHAnsi"/>
      <w:sz w:val="24"/>
      <w:szCs w:val="24"/>
      <w:lang w:val="en-GB"/>
    </w:rPr>
  </w:style>
  <w:style w:type="paragraph" w:customStyle="1" w:styleId="TableText">
    <w:name w:val="Table Text"/>
    <w:basedOn w:val="Normal"/>
    <w:link w:val="TableTextChar"/>
    <w:qFormat/>
    <w:rsid w:val="00595495"/>
    <w:pPr>
      <w:jc w:val="left"/>
    </w:pPr>
    <w:rPr>
      <w:rFonts w:ascii="Arial" w:eastAsia="Times New Roman" w:hAnsi="Arial" w:cs="Calibri"/>
      <w:bCs/>
      <w:color w:val="080808"/>
      <w:sz w:val="20"/>
      <w:szCs w:val="20"/>
      <w:lang w:val="en-AU" w:eastAsia="en-AU"/>
    </w:rPr>
  </w:style>
  <w:style w:type="character" w:customStyle="1" w:styleId="TableTextChar">
    <w:name w:val="Table Text Char"/>
    <w:basedOn w:val="DefaultParagraphFont"/>
    <w:link w:val="TableText"/>
    <w:rsid w:val="00595495"/>
    <w:rPr>
      <w:rFonts w:ascii="Arial" w:eastAsia="Times New Roman" w:hAnsi="Arial" w:cs="Calibri"/>
      <w:bCs/>
      <w:color w:val="080808"/>
      <w:sz w:val="20"/>
      <w:szCs w:val="20"/>
      <w:lang w:eastAsia="en-AU"/>
    </w:rPr>
  </w:style>
  <w:style w:type="paragraph" w:customStyle="1" w:styleId="Source">
    <w:name w:val="Source"/>
    <w:basedOn w:val="Normal"/>
    <w:link w:val="SourceChar"/>
    <w:rsid w:val="009B7AA8"/>
    <w:rPr>
      <w:rFonts w:eastAsia="Times New Roman"/>
      <w:i/>
      <w:sz w:val="18"/>
      <w:szCs w:val="22"/>
    </w:rPr>
  </w:style>
  <w:style w:type="character" w:customStyle="1" w:styleId="SourceChar">
    <w:name w:val="Source Char"/>
    <w:basedOn w:val="DefaultParagraphFont"/>
    <w:link w:val="Source"/>
    <w:rsid w:val="009B7AA8"/>
    <w:rPr>
      <w:rFonts w:asciiTheme="majorHAnsi" w:eastAsia="Times New Roman" w:hAnsiTheme="majorHAnsi" w:cstheme="majorHAnsi"/>
      <w:i/>
      <w:sz w:val="18"/>
      <w:lang w:val="en-US"/>
    </w:rPr>
  </w:style>
  <w:style w:type="paragraph" w:customStyle="1" w:styleId="Footer1">
    <w:name w:val="Footer1"/>
    <w:basedOn w:val="FootnoteText"/>
    <w:link w:val="footerChar"/>
    <w:autoRedefine/>
    <w:qFormat/>
    <w:rsid w:val="0071079A"/>
    <w:pPr>
      <w:spacing w:line="288" w:lineRule="auto"/>
      <w:ind w:left="2160"/>
      <w:jc w:val="right"/>
    </w:pPr>
    <w:rPr>
      <w:rFonts w:ascii="Arial" w:eastAsia="Times New Roman" w:hAnsi="Arial"/>
      <w:sz w:val="16"/>
      <w:szCs w:val="16"/>
      <w:lang w:val="en-AU" w:eastAsia="en-AU"/>
    </w:rPr>
  </w:style>
  <w:style w:type="character" w:customStyle="1" w:styleId="footerChar">
    <w:name w:val="footer Char"/>
    <w:basedOn w:val="FootnoteTextChar"/>
    <w:link w:val="Footer1"/>
    <w:rsid w:val="0071079A"/>
    <w:rPr>
      <w:rFonts w:ascii="Arial" w:eastAsia="Times New Roman" w:hAnsi="Arial" w:cstheme="majorHAnsi"/>
      <w:sz w:val="16"/>
      <w:szCs w:val="16"/>
      <w:lang w:eastAsia="en-AU"/>
    </w:rPr>
  </w:style>
  <w:style w:type="paragraph" w:styleId="FootnoteText">
    <w:name w:val="footnote text"/>
    <w:basedOn w:val="Normal"/>
    <w:link w:val="FootnoteTextChar"/>
    <w:uiPriority w:val="99"/>
    <w:unhideWhenUsed/>
    <w:rsid w:val="009B7AA8"/>
    <w:pPr>
      <w:spacing w:line="240" w:lineRule="auto"/>
    </w:pPr>
    <w:rPr>
      <w:sz w:val="20"/>
      <w:szCs w:val="20"/>
    </w:rPr>
  </w:style>
  <w:style w:type="character" w:customStyle="1" w:styleId="FootnoteTextChar">
    <w:name w:val="Footnote Text Char"/>
    <w:basedOn w:val="DefaultParagraphFont"/>
    <w:link w:val="FootnoteText"/>
    <w:uiPriority w:val="99"/>
    <w:rsid w:val="009B7AA8"/>
    <w:rPr>
      <w:sz w:val="20"/>
      <w:szCs w:val="20"/>
    </w:rPr>
  </w:style>
  <w:style w:type="paragraph" w:customStyle="1" w:styleId="Heading41">
    <w:name w:val="Heading 41"/>
    <w:basedOn w:val="ListParagraph"/>
    <w:link w:val="heading4Char0"/>
    <w:autoRedefine/>
    <w:rsid w:val="009B7AA8"/>
    <w:pPr>
      <w:numPr>
        <w:numId w:val="1"/>
      </w:numPr>
    </w:pPr>
    <w:rPr>
      <w:rFonts w:eastAsia="Times New Roman"/>
      <w:b/>
    </w:rPr>
  </w:style>
  <w:style w:type="character" w:customStyle="1" w:styleId="heading4Char0">
    <w:name w:val="heading 4 Char"/>
    <w:basedOn w:val="DefaultParagraphFont"/>
    <w:link w:val="Heading41"/>
    <w:rsid w:val="009B7AA8"/>
    <w:rPr>
      <w:rFonts w:asciiTheme="majorHAnsi" w:eastAsia="Times New Roman" w:hAnsiTheme="majorHAnsi" w:cstheme="majorHAnsi"/>
      <w:b/>
      <w:sz w:val="24"/>
      <w:szCs w:val="24"/>
      <w:lang w:val="en-GB"/>
    </w:rPr>
  </w:style>
  <w:style w:type="paragraph" w:customStyle="1" w:styleId="Frontcovermain">
    <w:name w:val="Front cover main"/>
    <w:basedOn w:val="Heading1"/>
    <w:link w:val="FrontcovermainChar"/>
    <w:rsid w:val="009B7AA8"/>
    <w:pPr>
      <w:pBdr>
        <w:bottom w:val="single" w:sz="4" w:space="1" w:color="auto"/>
      </w:pBdr>
    </w:pPr>
    <w:rPr>
      <w:rFonts w:ascii="Century" w:hAnsi="Century"/>
      <w:color w:val="005289" w:themeColor="accent1" w:themeShade="BF"/>
      <w:sz w:val="64"/>
      <w:szCs w:val="64"/>
    </w:rPr>
  </w:style>
  <w:style w:type="character" w:customStyle="1" w:styleId="FrontcovermainChar">
    <w:name w:val="Front cover main Char"/>
    <w:basedOn w:val="Heading1Char"/>
    <w:link w:val="Frontcovermain"/>
    <w:rsid w:val="009B7AA8"/>
    <w:rPr>
      <w:rFonts w:ascii="Century" w:eastAsiaTheme="majorEastAsia" w:hAnsi="Century" w:cstheme="majorBidi"/>
      <w:b/>
      <w:bCs/>
      <w:caps/>
      <w:color w:val="005289" w:themeColor="accent1" w:themeShade="BF"/>
      <w:sz w:val="64"/>
      <w:szCs w:val="64"/>
      <w:lang w:val="en-US"/>
    </w:rPr>
  </w:style>
  <w:style w:type="character" w:customStyle="1" w:styleId="Heading1Char">
    <w:name w:val="Heading 1 Char"/>
    <w:basedOn w:val="DefaultParagraphFont"/>
    <w:link w:val="Heading1"/>
    <w:uiPriority w:val="9"/>
    <w:rsid w:val="00FB2923"/>
    <w:rPr>
      <w:rFonts w:ascii="Arial Narrow" w:eastAsiaTheme="majorEastAsia" w:hAnsi="Arial Narrow" w:cstheme="majorBidi"/>
      <w:b/>
      <w:bCs/>
      <w:caps/>
      <w:color w:val="006EB7" w:themeColor="accent1"/>
      <w:sz w:val="32"/>
      <w:szCs w:val="28"/>
      <w:lang w:val="en-GB"/>
    </w:rPr>
  </w:style>
  <w:style w:type="paragraph" w:customStyle="1" w:styleId="Frontcover2">
    <w:name w:val="Front cover 2"/>
    <w:basedOn w:val="Heading2"/>
    <w:link w:val="Frontcover2Char"/>
    <w:rsid w:val="009B7AA8"/>
    <w:rPr>
      <w:rFonts w:ascii="Kokila" w:hAnsi="Kokila" w:cs="Kokila"/>
      <w:color w:val="811A0F" w:themeColor="text2" w:themeShade="80"/>
      <w:sz w:val="52"/>
      <w:szCs w:val="56"/>
    </w:rPr>
  </w:style>
  <w:style w:type="character" w:customStyle="1" w:styleId="Frontcover2Char">
    <w:name w:val="Front cover 2 Char"/>
    <w:basedOn w:val="Heading2Char"/>
    <w:link w:val="Frontcover2"/>
    <w:rsid w:val="009B7AA8"/>
    <w:rPr>
      <w:rFonts w:ascii="Kokila" w:eastAsiaTheme="majorEastAsia" w:hAnsi="Kokila" w:cs="Kokila"/>
      <w:b w:val="0"/>
      <w:bCs/>
      <w:color w:val="811A0F" w:themeColor="text2" w:themeShade="80"/>
      <w:sz w:val="52"/>
      <w:szCs w:val="56"/>
      <w:lang w:val="en-US"/>
    </w:rPr>
  </w:style>
  <w:style w:type="character" w:customStyle="1" w:styleId="Heading2Char">
    <w:name w:val="Heading 2 Char"/>
    <w:basedOn w:val="DefaultParagraphFont"/>
    <w:link w:val="Heading2"/>
    <w:uiPriority w:val="9"/>
    <w:rsid w:val="00B00233"/>
    <w:rPr>
      <w:rFonts w:ascii="HelveticaNeueLT Pro 67 MdCn" w:eastAsiaTheme="majorEastAsia" w:hAnsi="HelveticaNeueLT Pro 67 MdCn" w:cstheme="majorBidi"/>
      <w:bCs/>
      <w:color w:val="006EB7" w:themeColor="accent1"/>
      <w:sz w:val="28"/>
      <w:szCs w:val="28"/>
      <w:lang w:val="en-GB"/>
    </w:rPr>
  </w:style>
  <w:style w:type="paragraph" w:customStyle="1" w:styleId="Footer2">
    <w:name w:val="Footer2"/>
    <w:basedOn w:val="FootnoteText"/>
    <w:link w:val="footerChar1"/>
    <w:rsid w:val="009B7AA8"/>
    <w:pPr>
      <w:spacing w:line="288" w:lineRule="auto"/>
    </w:pPr>
    <w:rPr>
      <w:rFonts w:ascii="Times New Roman" w:eastAsia="Times New Roman" w:hAnsi="Times New Roman" w:cstheme="minorHAnsi"/>
      <w:lang w:val="en-AU" w:eastAsia="en-AU"/>
    </w:rPr>
  </w:style>
  <w:style w:type="character" w:customStyle="1" w:styleId="footerChar1">
    <w:name w:val="footer Char1"/>
    <w:basedOn w:val="FootnoteTextChar"/>
    <w:link w:val="Footer2"/>
    <w:rsid w:val="009B7AA8"/>
    <w:rPr>
      <w:rFonts w:ascii="Times New Roman" w:eastAsia="Times New Roman" w:hAnsi="Times New Roman" w:cstheme="minorHAnsi"/>
      <w:sz w:val="20"/>
      <w:szCs w:val="20"/>
      <w:lang w:eastAsia="en-AU"/>
    </w:rPr>
  </w:style>
  <w:style w:type="paragraph" w:customStyle="1" w:styleId="BodyText1">
    <w:name w:val="Body Text1"/>
    <w:basedOn w:val="BodyText"/>
    <w:link w:val="BodytextChar"/>
    <w:uiPriority w:val="99"/>
    <w:qFormat/>
    <w:rsid w:val="00595495"/>
    <w:pPr>
      <w:spacing w:before="200" w:after="240" w:line="360" w:lineRule="auto"/>
    </w:pPr>
    <w:rPr>
      <w:rFonts w:ascii="Arial" w:eastAsia="Times New Roman" w:hAnsi="Arial" w:cs="Times New Roman"/>
      <w:sz w:val="22"/>
      <w:szCs w:val="20"/>
    </w:rPr>
  </w:style>
  <w:style w:type="character" w:customStyle="1" w:styleId="BodytextChar">
    <w:name w:val="Body text Char"/>
    <w:basedOn w:val="DefaultParagraphFont"/>
    <w:link w:val="BodyText1"/>
    <w:uiPriority w:val="99"/>
    <w:rsid w:val="00595495"/>
    <w:rPr>
      <w:rFonts w:ascii="Arial" w:eastAsia="Times New Roman" w:hAnsi="Arial" w:cs="Times New Roman"/>
      <w:szCs w:val="20"/>
      <w:lang w:val="en-GB"/>
    </w:rPr>
  </w:style>
  <w:style w:type="paragraph" w:customStyle="1" w:styleId="Bodybullet">
    <w:name w:val="Body bullet"/>
    <w:basedOn w:val="Normal"/>
    <w:link w:val="BodybulletChar"/>
    <w:rsid w:val="009B7AA8"/>
    <w:pPr>
      <w:tabs>
        <w:tab w:val="num" w:pos="1134"/>
      </w:tabs>
      <w:spacing w:before="100" w:line="240" w:lineRule="auto"/>
      <w:ind w:left="1134" w:hanging="425"/>
    </w:pPr>
    <w:rPr>
      <w:rFonts w:asciiTheme="minorHAnsi" w:eastAsia="Times New Roman" w:hAnsiTheme="minorHAnsi" w:cs="Times New Roman"/>
      <w:sz w:val="22"/>
      <w:szCs w:val="20"/>
    </w:rPr>
  </w:style>
  <w:style w:type="character" w:customStyle="1" w:styleId="BodybulletChar">
    <w:name w:val="Body bullet Char"/>
    <w:basedOn w:val="DefaultParagraphFont"/>
    <w:link w:val="Bodybullet"/>
    <w:rsid w:val="009B7AA8"/>
    <w:rPr>
      <w:rFonts w:eastAsia="Times New Roman" w:cs="Times New Roman"/>
      <w:szCs w:val="20"/>
      <w:lang w:val="en-GB"/>
    </w:rPr>
  </w:style>
  <w:style w:type="paragraph" w:customStyle="1" w:styleId="Contentstitle">
    <w:name w:val="Contents title"/>
    <w:basedOn w:val="TOC1"/>
    <w:autoRedefine/>
    <w:rsid w:val="00096A48"/>
    <w:pPr>
      <w:tabs>
        <w:tab w:val="left" w:pos="440"/>
        <w:tab w:val="right" w:leader="dot" w:pos="9016"/>
      </w:tabs>
      <w:spacing w:before="0"/>
      <w:ind w:left="426" w:hanging="426"/>
      <w:jc w:val="left"/>
    </w:pPr>
    <w:rPr>
      <w:rFonts w:ascii="HelveticaNeueLT Pro 67 MdCn" w:eastAsiaTheme="minorEastAsia" w:hAnsi="HelveticaNeueLT Pro 67 MdCn" w:cstheme="minorBidi"/>
      <w:caps/>
      <w:color w:val="E74B3A" w:themeColor="text2"/>
      <w:sz w:val="32"/>
      <w:szCs w:val="32"/>
      <w:lang w:bidi="en-US"/>
    </w:rPr>
  </w:style>
  <w:style w:type="paragraph" w:styleId="TOC1">
    <w:name w:val="toc 1"/>
    <w:basedOn w:val="BodyText1"/>
    <w:next w:val="Normal"/>
    <w:autoRedefine/>
    <w:uiPriority w:val="39"/>
    <w:unhideWhenUsed/>
    <w:rsid w:val="00096A48"/>
    <w:rPr>
      <w:b/>
    </w:rPr>
  </w:style>
  <w:style w:type="paragraph" w:customStyle="1" w:styleId="bullet2">
    <w:name w:val="bullet 2"/>
    <w:basedOn w:val="ListParagraph"/>
    <w:link w:val="bullet2Char"/>
    <w:autoRedefine/>
    <w:qFormat/>
    <w:rsid w:val="00595495"/>
    <w:pPr>
      <w:numPr>
        <w:ilvl w:val="1"/>
        <w:numId w:val="3"/>
      </w:numPr>
      <w:spacing w:after="120" w:line="276" w:lineRule="auto"/>
      <w:ind w:left="1276" w:hanging="425"/>
      <w:contextualSpacing w:val="0"/>
    </w:pPr>
    <w:rPr>
      <w:rFonts w:ascii="Arial" w:eastAsia="Times New Roman" w:hAnsi="Arial"/>
      <w:sz w:val="20"/>
    </w:rPr>
  </w:style>
  <w:style w:type="character" w:customStyle="1" w:styleId="bullet2Char">
    <w:name w:val="bullet 2 Char"/>
    <w:basedOn w:val="ListParagraphChar"/>
    <w:link w:val="bullet2"/>
    <w:rsid w:val="00595495"/>
    <w:rPr>
      <w:rFonts w:ascii="Arial" w:eastAsia="Times New Roman" w:hAnsi="Arial" w:cstheme="majorHAnsi"/>
      <w:sz w:val="20"/>
      <w:szCs w:val="24"/>
      <w:lang w:val="en-GB"/>
    </w:rPr>
  </w:style>
  <w:style w:type="character" w:customStyle="1" w:styleId="Heading3Char">
    <w:name w:val="Heading 3 Char"/>
    <w:basedOn w:val="DefaultParagraphFont"/>
    <w:link w:val="Heading3"/>
    <w:uiPriority w:val="9"/>
    <w:rsid w:val="00B00233"/>
    <w:rPr>
      <w:rFonts w:ascii="HelveticaNeueLT Pro 67 MdCn" w:eastAsiaTheme="majorEastAsia" w:hAnsi="HelveticaNeueLT Pro 67 MdCn" w:cstheme="majorBidi"/>
      <w:bCs/>
      <w:color w:val="006EB7" w:themeColor="accent1"/>
      <w:sz w:val="24"/>
      <w:szCs w:val="28"/>
      <w:lang w:val="en-GB"/>
    </w:rPr>
  </w:style>
  <w:style w:type="character" w:customStyle="1" w:styleId="Heading4Char">
    <w:name w:val="Heading 4 Char"/>
    <w:basedOn w:val="DefaultParagraphFont"/>
    <w:link w:val="Heading4"/>
    <w:uiPriority w:val="9"/>
    <w:rsid w:val="00EC6F48"/>
    <w:rPr>
      <w:rFonts w:ascii="Arial" w:eastAsia="Times New Roman" w:hAnsi="Arial" w:cs="Arial"/>
      <w:b/>
      <w:szCs w:val="20"/>
      <w:lang w:val="en-GB"/>
    </w:rPr>
  </w:style>
  <w:style w:type="character" w:customStyle="1" w:styleId="Heading5Char">
    <w:name w:val="Heading 5 Char"/>
    <w:basedOn w:val="DefaultParagraphFont"/>
    <w:link w:val="Heading5"/>
    <w:uiPriority w:val="9"/>
    <w:semiHidden/>
    <w:rsid w:val="009B7AA8"/>
    <w:rPr>
      <w:rFonts w:asciiTheme="majorHAnsi" w:eastAsiaTheme="majorEastAsia" w:hAnsiTheme="majorHAnsi" w:cstheme="majorBidi"/>
      <w:smallCaps/>
      <w:color w:val="ED786B" w:themeColor="text2" w:themeTint="BF"/>
      <w:spacing w:val="20"/>
      <w:sz w:val="20"/>
      <w:szCs w:val="20"/>
      <w:lang w:val="en-US" w:bidi="en-US"/>
    </w:rPr>
  </w:style>
  <w:style w:type="character" w:customStyle="1" w:styleId="Heading6Char">
    <w:name w:val="Heading 6 Char"/>
    <w:basedOn w:val="DefaultParagraphFont"/>
    <w:link w:val="Heading6"/>
    <w:uiPriority w:val="9"/>
    <w:semiHidden/>
    <w:rsid w:val="009B7AA8"/>
    <w:rPr>
      <w:rFonts w:asciiTheme="majorHAnsi" w:eastAsiaTheme="majorEastAsia" w:hAnsiTheme="majorHAnsi" w:cstheme="majorBidi"/>
      <w:smallCaps/>
      <w:color w:val="1F5F5B" w:themeColor="background2" w:themeShade="7F"/>
      <w:spacing w:val="20"/>
      <w:sz w:val="20"/>
      <w:szCs w:val="20"/>
      <w:lang w:val="en-US" w:bidi="en-US"/>
    </w:rPr>
  </w:style>
  <w:style w:type="character" w:customStyle="1" w:styleId="Heading7Char">
    <w:name w:val="Heading 7 Char"/>
    <w:basedOn w:val="DefaultParagraphFont"/>
    <w:link w:val="Heading7"/>
    <w:uiPriority w:val="9"/>
    <w:semiHidden/>
    <w:rsid w:val="009B7AA8"/>
    <w:rPr>
      <w:rFonts w:asciiTheme="majorHAnsi" w:eastAsiaTheme="majorEastAsia" w:hAnsiTheme="majorHAnsi" w:cstheme="majorBidi"/>
      <w:b/>
      <w:bCs/>
      <w:smallCaps/>
      <w:color w:val="1F5F5B" w:themeColor="background2" w:themeShade="7F"/>
      <w:spacing w:val="20"/>
      <w:sz w:val="16"/>
      <w:szCs w:val="16"/>
      <w:lang w:val="en-US" w:bidi="en-US"/>
    </w:rPr>
  </w:style>
  <w:style w:type="character" w:customStyle="1" w:styleId="Heading8Char">
    <w:name w:val="Heading 8 Char"/>
    <w:basedOn w:val="DefaultParagraphFont"/>
    <w:link w:val="Heading8"/>
    <w:uiPriority w:val="9"/>
    <w:semiHidden/>
    <w:rsid w:val="009B7AA8"/>
    <w:rPr>
      <w:rFonts w:asciiTheme="majorHAnsi" w:eastAsiaTheme="majorEastAsia" w:hAnsiTheme="majorHAnsi" w:cstheme="majorBidi"/>
      <w:b/>
      <w:smallCaps/>
      <w:color w:val="1F5F5B" w:themeColor="background2" w:themeShade="7F"/>
      <w:spacing w:val="20"/>
      <w:sz w:val="16"/>
      <w:szCs w:val="16"/>
      <w:lang w:val="en-US" w:bidi="en-US"/>
    </w:rPr>
  </w:style>
  <w:style w:type="character" w:customStyle="1" w:styleId="Heading9Char">
    <w:name w:val="Heading 9 Char"/>
    <w:basedOn w:val="DefaultParagraphFont"/>
    <w:link w:val="Heading9"/>
    <w:uiPriority w:val="9"/>
    <w:rsid w:val="009B7AA8"/>
    <w:rPr>
      <w:rFonts w:ascii="Arial" w:eastAsia="Times New Roman" w:hAnsi="Arial" w:cs="Arial"/>
      <w:lang w:eastAsia="en-AU"/>
    </w:rPr>
  </w:style>
  <w:style w:type="paragraph" w:styleId="TOC2">
    <w:name w:val="toc 2"/>
    <w:basedOn w:val="BodyText1"/>
    <w:next w:val="Normal"/>
    <w:autoRedefine/>
    <w:uiPriority w:val="39"/>
    <w:rsid w:val="00096A48"/>
  </w:style>
  <w:style w:type="paragraph" w:styleId="TOC3">
    <w:name w:val="toc 3"/>
    <w:basedOn w:val="Normal"/>
    <w:next w:val="Normal"/>
    <w:autoRedefine/>
    <w:uiPriority w:val="39"/>
    <w:rsid w:val="00116BB5"/>
    <w:pPr>
      <w:tabs>
        <w:tab w:val="right" w:leader="dot" w:pos="10076"/>
      </w:tabs>
      <w:spacing w:before="120"/>
      <w:ind w:left="482"/>
      <w:jc w:val="left"/>
    </w:pPr>
    <w:rPr>
      <w:rFonts w:ascii="Helvetica Neue" w:eastAsia="Times New Roman" w:hAnsi="Helvetica Neue" w:cs="Times New Roman"/>
      <w:sz w:val="20"/>
      <w:lang w:val="en-AU" w:eastAsia="en-AU"/>
    </w:rPr>
  </w:style>
  <w:style w:type="paragraph" w:styleId="Caption">
    <w:name w:val="caption"/>
    <w:basedOn w:val="Normal"/>
    <w:next w:val="Normal"/>
    <w:uiPriority w:val="35"/>
    <w:rsid w:val="009B7AA8"/>
    <w:pPr>
      <w:spacing w:after="120"/>
      <w:jc w:val="left"/>
    </w:pPr>
    <w:rPr>
      <w:rFonts w:asciiTheme="minorHAnsi" w:eastAsia="Times New Roman" w:hAnsiTheme="minorHAnsi" w:cstheme="minorHAnsi"/>
      <w:b/>
      <w:bCs/>
      <w:sz w:val="20"/>
      <w:szCs w:val="20"/>
      <w:lang w:val="en-AU" w:eastAsia="en-AU"/>
    </w:rPr>
  </w:style>
  <w:style w:type="paragraph" w:styleId="Title">
    <w:name w:val="Title"/>
    <w:next w:val="Normal"/>
    <w:link w:val="TitleChar"/>
    <w:uiPriority w:val="10"/>
    <w:rsid w:val="009B7AA8"/>
    <w:pPr>
      <w:spacing w:after="160" w:line="240" w:lineRule="auto"/>
      <w:contextualSpacing/>
    </w:pPr>
    <w:rPr>
      <w:rFonts w:asciiTheme="majorHAnsi" w:eastAsiaTheme="majorEastAsia" w:hAnsiTheme="majorHAnsi" w:cstheme="majorBidi"/>
      <w:smallCaps/>
      <w:color w:val="C02817" w:themeColor="text2" w:themeShade="BF"/>
      <w:spacing w:val="5"/>
      <w:sz w:val="72"/>
      <w:szCs w:val="72"/>
      <w:lang w:val="en-US" w:bidi="en-US"/>
    </w:rPr>
  </w:style>
  <w:style w:type="character" w:customStyle="1" w:styleId="TitleChar">
    <w:name w:val="Title Char"/>
    <w:basedOn w:val="DefaultParagraphFont"/>
    <w:link w:val="Title"/>
    <w:uiPriority w:val="10"/>
    <w:rsid w:val="009B7AA8"/>
    <w:rPr>
      <w:rFonts w:asciiTheme="majorHAnsi" w:eastAsiaTheme="majorEastAsia" w:hAnsiTheme="majorHAnsi" w:cstheme="majorBidi"/>
      <w:smallCaps/>
      <w:color w:val="C02817" w:themeColor="text2" w:themeShade="BF"/>
      <w:spacing w:val="5"/>
      <w:sz w:val="72"/>
      <w:szCs w:val="72"/>
      <w:lang w:val="en-US" w:bidi="en-US"/>
    </w:rPr>
  </w:style>
  <w:style w:type="paragraph" w:styleId="Subtitle">
    <w:name w:val="Subtitle"/>
    <w:next w:val="Normal"/>
    <w:link w:val="SubtitleChar"/>
    <w:uiPriority w:val="11"/>
    <w:rsid w:val="009B7AA8"/>
    <w:pPr>
      <w:spacing w:after="600" w:line="240" w:lineRule="auto"/>
    </w:pPr>
    <w:rPr>
      <w:rFonts w:eastAsiaTheme="minorEastAsia"/>
      <w:smallCaps/>
      <w:color w:val="1F5F5B" w:themeColor="background2" w:themeShade="7F"/>
      <w:spacing w:val="5"/>
      <w:sz w:val="28"/>
      <w:szCs w:val="28"/>
      <w:lang w:val="en-US" w:bidi="en-US"/>
    </w:rPr>
  </w:style>
  <w:style w:type="character" w:customStyle="1" w:styleId="SubtitleChar">
    <w:name w:val="Subtitle Char"/>
    <w:basedOn w:val="DefaultParagraphFont"/>
    <w:link w:val="Subtitle"/>
    <w:uiPriority w:val="11"/>
    <w:rsid w:val="009B7AA8"/>
    <w:rPr>
      <w:rFonts w:eastAsiaTheme="minorEastAsia"/>
      <w:smallCaps/>
      <w:color w:val="1F5F5B" w:themeColor="background2" w:themeShade="7F"/>
      <w:spacing w:val="5"/>
      <w:sz w:val="28"/>
      <w:szCs w:val="28"/>
      <w:lang w:val="en-US" w:bidi="en-US"/>
    </w:rPr>
  </w:style>
  <w:style w:type="character" w:styleId="Strong">
    <w:name w:val="Strong"/>
    <w:uiPriority w:val="22"/>
    <w:rsid w:val="009B7AA8"/>
    <w:rPr>
      <w:b/>
      <w:bCs/>
      <w:spacing w:val="0"/>
    </w:rPr>
  </w:style>
  <w:style w:type="character" w:styleId="Emphasis">
    <w:name w:val="Emphasis"/>
    <w:uiPriority w:val="20"/>
    <w:qFormat/>
    <w:rsid w:val="009B7AA8"/>
    <w:rPr>
      <w:b/>
      <w:bCs/>
      <w:smallCaps/>
      <w:dstrike w:val="0"/>
      <w:color w:val="6081A5" w:themeColor="text1" w:themeTint="A5"/>
      <w:spacing w:val="20"/>
      <w:kern w:val="0"/>
      <w:vertAlign w:val="baseline"/>
    </w:rPr>
  </w:style>
  <w:style w:type="paragraph" w:styleId="NoSpacing">
    <w:name w:val="No Spacing"/>
    <w:basedOn w:val="Normal"/>
    <w:uiPriority w:val="1"/>
    <w:rsid w:val="009B7AA8"/>
    <w:pPr>
      <w:spacing w:line="240" w:lineRule="auto"/>
      <w:ind w:left="2160"/>
      <w:jc w:val="left"/>
    </w:pPr>
    <w:rPr>
      <w:rFonts w:asciiTheme="minorHAnsi" w:eastAsiaTheme="minorEastAsia" w:hAnsiTheme="minorHAnsi" w:cstheme="minorBidi"/>
      <w:sz w:val="20"/>
      <w:szCs w:val="20"/>
      <w:lang w:bidi="en-US"/>
    </w:rPr>
  </w:style>
  <w:style w:type="character" w:customStyle="1" w:styleId="ListParagraphChar">
    <w:name w:val="List Paragraph Char"/>
    <w:basedOn w:val="DefaultParagraphFont"/>
    <w:link w:val="ListParagraph"/>
    <w:uiPriority w:val="34"/>
    <w:rsid w:val="009B7AA8"/>
    <w:rPr>
      <w:rFonts w:asciiTheme="majorHAnsi" w:hAnsiTheme="majorHAnsi" w:cstheme="majorHAnsi"/>
      <w:sz w:val="24"/>
      <w:szCs w:val="24"/>
      <w:lang w:val="en-US"/>
    </w:rPr>
  </w:style>
  <w:style w:type="paragraph" w:styleId="Quote">
    <w:name w:val="Quote"/>
    <w:basedOn w:val="Normal"/>
    <w:next w:val="Normal"/>
    <w:link w:val="QuoteChar"/>
    <w:uiPriority w:val="29"/>
    <w:rsid w:val="009B7AA8"/>
    <w:pPr>
      <w:spacing w:after="160"/>
      <w:ind w:left="2160"/>
      <w:jc w:val="left"/>
    </w:pPr>
    <w:rPr>
      <w:rFonts w:asciiTheme="minorHAnsi" w:eastAsiaTheme="minorEastAsia" w:hAnsiTheme="minorHAnsi" w:cstheme="minorBidi"/>
      <w:i/>
      <w:iCs/>
      <w:sz w:val="20"/>
      <w:szCs w:val="20"/>
      <w:lang w:bidi="en-US"/>
    </w:rPr>
  </w:style>
  <w:style w:type="character" w:customStyle="1" w:styleId="QuoteChar">
    <w:name w:val="Quote Char"/>
    <w:basedOn w:val="DefaultParagraphFont"/>
    <w:link w:val="Quote"/>
    <w:uiPriority w:val="29"/>
    <w:rsid w:val="009B7AA8"/>
    <w:rPr>
      <w:rFonts w:eastAsiaTheme="minorEastAsia"/>
      <w:i/>
      <w:iCs/>
      <w:sz w:val="20"/>
      <w:szCs w:val="20"/>
      <w:lang w:val="en-US" w:bidi="en-US"/>
    </w:rPr>
  </w:style>
  <w:style w:type="paragraph" w:styleId="IntenseQuote">
    <w:name w:val="Intense Quote"/>
    <w:basedOn w:val="Normal"/>
    <w:next w:val="Normal"/>
    <w:link w:val="IntenseQuoteChar"/>
    <w:uiPriority w:val="30"/>
    <w:rsid w:val="009B7AA8"/>
    <w:pPr>
      <w:pBdr>
        <w:top w:val="single" w:sz="4" w:space="12" w:color="0A9DFF" w:themeColor="accent1" w:themeTint="BF"/>
        <w:left w:val="single" w:sz="4" w:space="15" w:color="0A9DFF" w:themeColor="accent1" w:themeTint="BF"/>
        <w:bottom w:val="single" w:sz="12" w:space="10" w:color="005289" w:themeColor="accent1" w:themeShade="BF"/>
        <w:right w:val="single" w:sz="12" w:space="15" w:color="005289" w:themeColor="accent1" w:themeShade="BF"/>
        <w:between w:val="single" w:sz="4" w:space="12" w:color="0A9DFF" w:themeColor="accent1" w:themeTint="BF"/>
        <w:bar w:val="single" w:sz="4" w:color="0A9DFF" w:themeColor="accent1" w:themeTint="BF"/>
      </w:pBdr>
      <w:spacing w:after="160" w:line="300" w:lineRule="auto"/>
      <w:ind w:left="2506" w:right="432"/>
      <w:jc w:val="left"/>
    </w:pPr>
    <w:rPr>
      <w:rFonts w:eastAsiaTheme="majorEastAsia" w:cstheme="majorBidi"/>
      <w:smallCaps/>
      <w:color w:val="005289" w:themeColor="accent1" w:themeShade="BF"/>
      <w:sz w:val="20"/>
      <w:szCs w:val="20"/>
      <w:lang w:bidi="en-US"/>
    </w:rPr>
  </w:style>
  <w:style w:type="character" w:customStyle="1" w:styleId="IntenseQuoteChar">
    <w:name w:val="Intense Quote Char"/>
    <w:basedOn w:val="DefaultParagraphFont"/>
    <w:link w:val="IntenseQuote"/>
    <w:uiPriority w:val="30"/>
    <w:rsid w:val="009B7AA8"/>
    <w:rPr>
      <w:rFonts w:asciiTheme="majorHAnsi" w:eastAsiaTheme="majorEastAsia" w:hAnsiTheme="majorHAnsi" w:cstheme="majorBidi"/>
      <w:smallCaps/>
      <w:color w:val="005289" w:themeColor="accent1" w:themeShade="BF"/>
      <w:sz w:val="20"/>
      <w:szCs w:val="20"/>
      <w:lang w:val="en-US" w:bidi="en-US"/>
    </w:rPr>
  </w:style>
  <w:style w:type="character" w:styleId="SubtleEmphasis">
    <w:name w:val="Subtle Emphasis"/>
    <w:uiPriority w:val="19"/>
    <w:rsid w:val="009B7AA8"/>
    <w:rPr>
      <w:smallCaps/>
      <w:dstrike w:val="0"/>
      <w:color w:val="6081A5" w:themeColor="text1" w:themeTint="A5"/>
      <w:vertAlign w:val="baseline"/>
    </w:rPr>
  </w:style>
  <w:style w:type="character" w:styleId="IntenseEmphasis">
    <w:name w:val="Intense Emphasis"/>
    <w:uiPriority w:val="21"/>
    <w:rsid w:val="009B7AA8"/>
    <w:rPr>
      <w:b/>
      <w:bCs/>
      <w:smallCaps/>
      <w:color w:val="006EB7" w:themeColor="accent1"/>
      <w:spacing w:val="40"/>
    </w:rPr>
  </w:style>
  <w:style w:type="character" w:styleId="SubtleReference">
    <w:name w:val="Subtle Reference"/>
    <w:uiPriority w:val="31"/>
    <w:rsid w:val="009B7AA8"/>
    <w:rPr>
      <w:rFonts w:asciiTheme="majorHAnsi" w:eastAsiaTheme="majorEastAsia" w:hAnsiTheme="majorHAnsi" w:cstheme="majorBidi"/>
      <w:i/>
      <w:iCs/>
      <w:smallCaps/>
      <w:color w:val="6081A5" w:themeColor="text1" w:themeTint="A5"/>
      <w:spacing w:val="20"/>
    </w:rPr>
  </w:style>
  <w:style w:type="character" w:styleId="IntenseReference">
    <w:name w:val="Intense Reference"/>
    <w:uiPriority w:val="32"/>
    <w:rsid w:val="009B7AA8"/>
    <w:rPr>
      <w:rFonts w:asciiTheme="majorHAnsi" w:eastAsiaTheme="majorEastAsia" w:hAnsiTheme="majorHAnsi" w:cstheme="majorBidi"/>
      <w:b/>
      <w:bCs/>
      <w:i/>
      <w:iCs/>
      <w:smallCaps/>
      <w:color w:val="C02817" w:themeColor="text2" w:themeShade="BF"/>
      <w:spacing w:val="20"/>
    </w:rPr>
  </w:style>
  <w:style w:type="character" w:styleId="BookTitle">
    <w:name w:val="Book Title"/>
    <w:uiPriority w:val="33"/>
    <w:rsid w:val="009B7AA8"/>
    <w:rPr>
      <w:rFonts w:asciiTheme="majorHAnsi" w:eastAsiaTheme="majorEastAsia" w:hAnsiTheme="majorHAnsi" w:cstheme="majorBidi"/>
      <w:b/>
      <w:bCs/>
      <w:smallCaps/>
      <w:color w:val="C02817" w:themeColor="text2" w:themeShade="BF"/>
      <w:spacing w:val="10"/>
      <w:u w:val="single"/>
    </w:rPr>
  </w:style>
  <w:style w:type="paragraph" w:styleId="TOCHeading">
    <w:name w:val="TOC Heading"/>
    <w:basedOn w:val="Heading1"/>
    <w:next w:val="Normal"/>
    <w:autoRedefine/>
    <w:uiPriority w:val="39"/>
    <w:unhideWhenUsed/>
    <w:qFormat/>
    <w:rsid w:val="00783EA6"/>
    <w:pPr>
      <w:spacing w:before="480" w:line="276" w:lineRule="auto"/>
      <w:jc w:val="left"/>
      <w:outlineLvl w:val="9"/>
    </w:pPr>
    <w:rPr>
      <w:lang w:eastAsia="ja-JP"/>
    </w:rPr>
  </w:style>
  <w:style w:type="character" w:styleId="CommentReference">
    <w:name w:val="annotation reference"/>
    <w:basedOn w:val="DefaultParagraphFont"/>
    <w:uiPriority w:val="99"/>
    <w:semiHidden/>
    <w:unhideWhenUsed/>
    <w:rsid w:val="00981CBD"/>
    <w:rPr>
      <w:sz w:val="16"/>
      <w:szCs w:val="16"/>
    </w:rPr>
  </w:style>
  <w:style w:type="paragraph" w:styleId="CommentText">
    <w:name w:val="annotation text"/>
    <w:basedOn w:val="Normal"/>
    <w:link w:val="CommentTextChar"/>
    <w:uiPriority w:val="99"/>
    <w:semiHidden/>
    <w:unhideWhenUsed/>
    <w:rsid w:val="00981CBD"/>
    <w:pPr>
      <w:spacing w:line="240" w:lineRule="auto"/>
    </w:pPr>
    <w:rPr>
      <w:sz w:val="20"/>
      <w:szCs w:val="20"/>
    </w:rPr>
  </w:style>
  <w:style w:type="character" w:customStyle="1" w:styleId="CommentTextChar">
    <w:name w:val="Comment Text Char"/>
    <w:basedOn w:val="DefaultParagraphFont"/>
    <w:link w:val="CommentText"/>
    <w:uiPriority w:val="99"/>
    <w:semiHidden/>
    <w:rsid w:val="00981CBD"/>
    <w:rPr>
      <w:rFonts w:asciiTheme="majorHAnsi" w:hAnsiTheme="majorHAnsi" w:cstheme="majorHAnsi"/>
      <w:sz w:val="20"/>
      <w:szCs w:val="20"/>
      <w:lang w:val="en-US"/>
    </w:rPr>
  </w:style>
  <w:style w:type="paragraph" w:customStyle="1" w:styleId="Pa9">
    <w:name w:val="Pa9"/>
    <w:basedOn w:val="Normal"/>
    <w:next w:val="Normal"/>
    <w:rsid w:val="00981CBD"/>
    <w:pPr>
      <w:autoSpaceDE w:val="0"/>
      <w:autoSpaceDN w:val="0"/>
      <w:adjustRightInd w:val="0"/>
      <w:spacing w:line="181" w:lineRule="atLeast"/>
      <w:jc w:val="left"/>
    </w:pPr>
    <w:rPr>
      <w:rFonts w:ascii="AYEKXG+SabonLTStd-Roman" w:eastAsia="Times New Roman" w:hAnsi="AYEKXG+SabonLTStd-Roman" w:cs="Times New Roman"/>
      <w:lang w:val="en-AU" w:eastAsia="en-AU"/>
    </w:rPr>
  </w:style>
  <w:style w:type="character" w:styleId="FootnoteReference">
    <w:name w:val="footnote reference"/>
    <w:basedOn w:val="DefaultParagraphFont"/>
    <w:uiPriority w:val="99"/>
    <w:unhideWhenUsed/>
    <w:rsid w:val="00981CBD"/>
    <w:rPr>
      <w:vertAlign w:val="superscript"/>
    </w:rPr>
  </w:style>
  <w:style w:type="paragraph" w:styleId="BalloonText">
    <w:name w:val="Balloon Text"/>
    <w:basedOn w:val="Normal"/>
    <w:link w:val="BalloonTextChar"/>
    <w:uiPriority w:val="99"/>
    <w:semiHidden/>
    <w:unhideWhenUsed/>
    <w:rsid w:val="00981C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BD"/>
    <w:rPr>
      <w:rFonts w:ascii="Tahoma" w:hAnsi="Tahoma" w:cs="Tahoma"/>
      <w:sz w:val="16"/>
      <w:szCs w:val="16"/>
      <w:lang w:val="en-US"/>
    </w:rPr>
  </w:style>
  <w:style w:type="paragraph" w:customStyle="1" w:styleId="Tableheading">
    <w:name w:val="Table heading"/>
    <w:basedOn w:val="Heading41"/>
    <w:link w:val="TableheadingChar"/>
    <w:autoRedefine/>
    <w:qFormat/>
    <w:rsid w:val="00EC6F48"/>
    <w:pPr>
      <w:numPr>
        <w:numId w:val="0"/>
      </w:numPr>
      <w:spacing w:before="120" w:line="360" w:lineRule="auto"/>
      <w:jc w:val="center"/>
    </w:pPr>
    <w:rPr>
      <w:rFonts w:ascii="Arial Narrow" w:hAnsi="Arial Narrow"/>
      <w:bCs/>
      <w:caps/>
      <w:color w:val="FFFFFF" w:themeColor="background1"/>
    </w:rPr>
  </w:style>
  <w:style w:type="paragraph" w:styleId="CommentSubject">
    <w:name w:val="annotation subject"/>
    <w:basedOn w:val="CommentText"/>
    <w:next w:val="CommentText"/>
    <w:link w:val="CommentSubjectChar"/>
    <w:uiPriority w:val="99"/>
    <w:semiHidden/>
    <w:unhideWhenUsed/>
    <w:rsid w:val="004E4AD9"/>
    <w:rPr>
      <w:b/>
      <w:bCs/>
    </w:rPr>
  </w:style>
  <w:style w:type="character" w:customStyle="1" w:styleId="CommentSubjectChar">
    <w:name w:val="Comment Subject Char"/>
    <w:basedOn w:val="CommentTextChar"/>
    <w:link w:val="CommentSubject"/>
    <w:uiPriority w:val="99"/>
    <w:semiHidden/>
    <w:rsid w:val="004E4AD9"/>
    <w:rPr>
      <w:rFonts w:asciiTheme="majorHAnsi" w:hAnsiTheme="majorHAnsi" w:cstheme="majorHAnsi"/>
      <w:b/>
      <w:bCs/>
      <w:sz w:val="20"/>
      <w:szCs w:val="20"/>
      <w:lang w:val="en-US"/>
    </w:rPr>
  </w:style>
  <w:style w:type="paragraph" w:styleId="Revision">
    <w:name w:val="Revision"/>
    <w:hidden/>
    <w:uiPriority w:val="99"/>
    <w:semiHidden/>
    <w:rsid w:val="004E4AD9"/>
    <w:pPr>
      <w:spacing w:after="0" w:line="240" w:lineRule="auto"/>
    </w:pPr>
    <w:rPr>
      <w:rFonts w:asciiTheme="majorHAnsi" w:hAnsiTheme="majorHAnsi" w:cstheme="majorHAnsi"/>
      <w:sz w:val="24"/>
      <w:szCs w:val="24"/>
      <w:lang w:val="en-US"/>
    </w:rPr>
  </w:style>
  <w:style w:type="paragraph" w:styleId="Header">
    <w:name w:val="header"/>
    <w:basedOn w:val="BodyText1"/>
    <w:link w:val="HeaderChar"/>
    <w:autoRedefine/>
    <w:uiPriority w:val="99"/>
    <w:unhideWhenUsed/>
    <w:rsid w:val="00FB2923"/>
    <w:pPr>
      <w:tabs>
        <w:tab w:val="center" w:pos="4513"/>
        <w:tab w:val="right" w:pos="9026"/>
      </w:tabs>
      <w:spacing w:line="240" w:lineRule="auto"/>
    </w:pPr>
    <w:rPr>
      <w:rFonts w:ascii="Arial Narrow" w:hAnsi="Arial Narrow"/>
      <w:sz w:val="18"/>
    </w:rPr>
  </w:style>
  <w:style w:type="character" w:customStyle="1" w:styleId="HeaderChar">
    <w:name w:val="Header Char"/>
    <w:basedOn w:val="DefaultParagraphFont"/>
    <w:link w:val="Header"/>
    <w:uiPriority w:val="99"/>
    <w:rsid w:val="00FB2923"/>
    <w:rPr>
      <w:rFonts w:ascii="Arial Narrow" w:eastAsia="Times New Roman" w:hAnsi="Arial Narrow" w:cs="Times New Roman"/>
      <w:sz w:val="18"/>
      <w:szCs w:val="20"/>
      <w:lang w:val="en-GB"/>
    </w:rPr>
  </w:style>
  <w:style w:type="paragraph" w:styleId="Footer">
    <w:name w:val="footer"/>
    <w:basedOn w:val="Normal"/>
    <w:link w:val="FooterChar0"/>
    <w:autoRedefine/>
    <w:uiPriority w:val="99"/>
    <w:unhideWhenUsed/>
    <w:rsid w:val="00C85644"/>
    <w:pPr>
      <w:tabs>
        <w:tab w:val="center" w:pos="4513"/>
        <w:tab w:val="right" w:pos="9026"/>
      </w:tabs>
      <w:spacing w:line="240" w:lineRule="auto"/>
    </w:pPr>
    <w:rPr>
      <w:rFonts w:ascii="Helvetica Neue" w:hAnsi="Helvetica Neue"/>
      <w:sz w:val="18"/>
    </w:rPr>
  </w:style>
  <w:style w:type="character" w:customStyle="1" w:styleId="FooterChar0">
    <w:name w:val="Footer Char"/>
    <w:basedOn w:val="DefaultParagraphFont"/>
    <w:link w:val="Footer"/>
    <w:uiPriority w:val="99"/>
    <w:rsid w:val="00C85644"/>
    <w:rPr>
      <w:rFonts w:ascii="Helvetica Neue" w:hAnsi="Helvetica Neue" w:cstheme="majorHAnsi"/>
      <w:sz w:val="18"/>
      <w:szCs w:val="24"/>
      <w:lang w:val="en-GB"/>
    </w:rPr>
  </w:style>
  <w:style w:type="character" w:styleId="Hyperlink">
    <w:name w:val="Hyperlink"/>
    <w:basedOn w:val="DefaultParagraphFont"/>
    <w:uiPriority w:val="99"/>
    <w:unhideWhenUsed/>
    <w:rsid w:val="00242FA3"/>
    <w:rPr>
      <w:color w:val="006EB7" w:themeColor="accent1"/>
      <w:u w:val="single"/>
    </w:rPr>
  </w:style>
  <w:style w:type="paragraph" w:styleId="Signature">
    <w:name w:val="Signature"/>
    <w:basedOn w:val="Normal"/>
    <w:link w:val="SignatureChar"/>
    <w:rsid w:val="00D0010D"/>
    <w:pPr>
      <w:spacing w:line="240" w:lineRule="auto"/>
      <w:jc w:val="left"/>
    </w:pPr>
    <w:rPr>
      <w:rFonts w:ascii="Times New Roman" w:eastAsia="Times New Roman" w:hAnsi="Times New Roman" w:cs="Times New Roman"/>
      <w:sz w:val="22"/>
      <w:szCs w:val="20"/>
      <w:lang w:val="en-AU"/>
    </w:rPr>
  </w:style>
  <w:style w:type="character" w:customStyle="1" w:styleId="SignatureChar">
    <w:name w:val="Signature Char"/>
    <w:basedOn w:val="DefaultParagraphFont"/>
    <w:link w:val="Signature"/>
    <w:rsid w:val="00D0010D"/>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EB27DE"/>
    <w:pPr>
      <w:spacing w:line="240" w:lineRule="auto"/>
    </w:pPr>
    <w:rPr>
      <w:sz w:val="20"/>
      <w:szCs w:val="20"/>
    </w:rPr>
  </w:style>
  <w:style w:type="character" w:customStyle="1" w:styleId="EndnoteTextChar">
    <w:name w:val="Endnote Text Char"/>
    <w:basedOn w:val="DefaultParagraphFont"/>
    <w:link w:val="EndnoteText"/>
    <w:uiPriority w:val="99"/>
    <w:semiHidden/>
    <w:rsid w:val="00EB27DE"/>
    <w:rPr>
      <w:rFonts w:asciiTheme="majorHAnsi" w:hAnsiTheme="majorHAnsi" w:cstheme="majorHAnsi"/>
      <w:sz w:val="20"/>
      <w:szCs w:val="20"/>
      <w:lang w:val="en-US"/>
    </w:rPr>
  </w:style>
  <w:style w:type="character" w:styleId="EndnoteReference">
    <w:name w:val="endnote reference"/>
    <w:basedOn w:val="DefaultParagraphFont"/>
    <w:uiPriority w:val="99"/>
    <w:semiHidden/>
    <w:unhideWhenUsed/>
    <w:rsid w:val="00EB27DE"/>
    <w:rPr>
      <w:vertAlign w:val="superscript"/>
    </w:rPr>
  </w:style>
  <w:style w:type="paragraph" w:customStyle="1" w:styleId="TableFiguretitle">
    <w:name w:val="Table/ Figure title"/>
    <w:basedOn w:val="BodyText1"/>
    <w:next w:val="BodyText1"/>
    <w:link w:val="TableFiguretitleChar"/>
    <w:qFormat/>
    <w:rsid w:val="00595495"/>
    <w:pPr>
      <w:spacing w:after="0"/>
    </w:pPr>
    <w:rPr>
      <w:b/>
    </w:rPr>
  </w:style>
  <w:style w:type="table" w:styleId="LightList-Accent2">
    <w:name w:val="Light List Accent 2"/>
    <w:basedOn w:val="TableNormal"/>
    <w:uiPriority w:val="61"/>
    <w:rsid w:val="00454B3A"/>
    <w:pPr>
      <w:spacing w:after="0" w:line="240" w:lineRule="auto"/>
    </w:pPr>
    <w:tblPr>
      <w:tblStyleRowBandSize w:val="1"/>
      <w:tblStyleColBandSize w:val="1"/>
      <w:tblBorders>
        <w:top w:val="single" w:sz="8" w:space="0" w:color="E74B3A" w:themeColor="accent2"/>
        <w:left w:val="single" w:sz="8" w:space="0" w:color="E74B3A" w:themeColor="accent2"/>
        <w:bottom w:val="single" w:sz="8" w:space="0" w:color="E74B3A" w:themeColor="accent2"/>
        <w:right w:val="single" w:sz="8" w:space="0" w:color="E74B3A" w:themeColor="accent2"/>
      </w:tblBorders>
    </w:tblPr>
    <w:tblStylePr w:type="firstRow">
      <w:pPr>
        <w:spacing w:before="0" w:after="0" w:line="240" w:lineRule="auto"/>
      </w:pPr>
      <w:rPr>
        <w:b/>
        <w:bCs/>
        <w:color w:val="FFFFFF" w:themeColor="background1"/>
      </w:rPr>
      <w:tblPr/>
      <w:tcPr>
        <w:shd w:val="clear" w:color="auto" w:fill="E74B3A" w:themeFill="accent2"/>
      </w:tcPr>
    </w:tblStylePr>
    <w:tblStylePr w:type="lastRow">
      <w:pPr>
        <w:spacing w:before="0" w:after="0" w:line="240" w:lineRule="auto"/>
      </w:pPr>
      <w:rPr>
        <w:b/>
        <w:bCs/>
      </w:rPr>
      <w:tblPr/>
      <w:tcPr>
        <w:tcBorders>
          <w:top w:val="double" w:sz="6" w:space="0" w:color="E74B3A" w:themeColor="accent2"/>
          <w:left w:val="single" w:sz="8" w:space="0" w:color="E74B3A" w:themeColor="accent2"/>
          <w:bottom w:val="single" w:sz="8" w:space="0" w:color="E74B3A" w:themeColor="accent2"/>
          <w:right w:val="single" w:sz="8" w:space="0" w:color="E74B3A" w:themeColor="accent2"/>
        </w:tcBorders>
      </w:tcPr>
    </w:tblStylePr>
    <w:tblStylePr w:type="firstCol">
      <w:rPr>
        <w:b/>
        <w:bCs/>
      </w:rPr>
    </w:tblStylePr>
    <w:tblStylePr w:type="lastCol">
      <w:rPr>
        <w:b/>
        <w:bCs/>
      </w:rPr>
    </w:tblStylePr>
    <w:tblStylePr w:type="band1Vert">
      <w:tblPr/>
      <w:tcPr>
        <w:tcBorders>
          <w:top w:val="single" w:sz="8" w:space="0" w:color="E74B3A" w:themeColor="accent2"/>
          <w:left w:val="single" w:sz="8" w:space="0" w:color="E74B3A" w:themeColor="accent2"/>
          <w:bottom w:val="single" w:sz="8" w:space="0" w:color="E74B3A" w:themeColor="accent2"/>
          <w:right w:val="single" w:sz="8" w:space="0" w:color="E74B3A" w:themeColor="accent2"/>
        </w:tcBorders>
      </w:tcPr>
    </w:tblStylePr>
    <w:tblStylePr w:type="band1Horz">
      <w:tblPr/>
      <w:tcPr>
        <w:tcBorders>
          <w:top w:val="single" w:sz="8" w:space="0" w:color="E74B3A" w:themeColor="accent2"/>
          <w:left w:val="single" w:sz="8" w:space="0" w:color="E74B3A" w:themeColor="accent2"/>
          <w:bottom w:val="single" w:sz="8" w:space="0" w:color="E74B3A" w:themeColor="accent2"/>
          <w:right w:val="single" w:sz="8" w:space="0" w:color="E74B3A" w:themeColor="accent2"/>
        </w:tcBorders>
      </w:tcPr>
    </w:tblStylePr>
  </w:style>
  <w:style w:type="paragraph" w:styleId="BodyText">
    <w:name w:val="Body Text"/>
    <w:basedOn w:val="Normal"/>
    <w:link w:val="BodyTextChar0"/>
    <w:uiPriority w:val="99"/>
    <w:semiHidden/>
    <w:unhideWhenUsed/>
    <w:rsid w:val="00C81BC5"/>
    <w:pPr>
      <w:spacing w:after="120"/>
    </w:pPr>
  </w:style>
  <w:style w:type="character" w:customStyle="1" w:styleId="BodyTextChar0">
    <w:name w:val="Body Text Char"/>
    <w:basedOn w:val="DefaultParagraphFont"/>
    <w:link w:val="BodyText"/>
    <w:uiPriority w:val="99"/>
    <w:semiHidden/>
    <w:rsid w:val="00C81BC5"/>
    <w:rPr>
      <w:rFonts w:asciiTheme="majorHAnsi" w:hAnsiTheme="majorHAnsi" w:cstheme="majorHAnsi"/>
      <w:sz w:val="24"/>
      <w:szCs w:val="24"/>
      <w:lang w:val="en-GB"/>
    </w:rPr>
  </w:style>
  <w:style w:type="paragraph" w:styleId="ListBullet">
    <w:name w:val="List Bullet"/>
    <w:basedOn w:val="Normal"/>
    <w:uiPriority w:val="99"/>
    <w:semiHidden/>
    <w:unhideWhenUsed/>
    <w:rsid w:val="00096A48"/>
    <w:pPr>
      <w:numPr>
        <w:numId w:val="4"/>
      </w:numPr>
      <w:contextualSpacing/>
    </w:pPr>
  </w:style>
  <w:style w:type="character" w:customStyle="1" w:styleId="TableheadingChar">
    <w:name w:val="Table heading Char"/>
    <w:basedOn w:val="heading4Char0"/>
    <w:link w:val="Tableheading"/>
    <w:rsid w:val="00EC6F48"/>
    <w:rPr>
      <w:rFonts w:ascii="Arial Narrow" w:eastAsia="Times New Roman" w:hAnsi="Arial Narrow" w:cstheme="majorHAnsi"/>
      <w:b/>
      <w:bCs/>
      <w:caps/>
      <w:color w:val="FFFFFF" w:themeColor="background1"/>
      <w:sz w:val="24"/>
      <w:szCs w:val="24"/>
      <w:lang w:val="en-GB"/>
    </w:rPr>
  </w:style>
  <w:style w:type="table" w:styleId="LightShading-Accent3">
    <w:name w:val="Light Shading Accent 3"/>
    <w:basedOn w:val="TableNormal"/>
    <w:uiPriority w:val="60"/>
    <w:rsid w:val="00454B3A"/>
    <w:pPr>
      <w:spacing w:after="0" w:line="240" w:lineRule="auto"/>
    </w:pPr>
    <w:rPr>
      <w:color w:val="2E8E8A" w:themeColor="accent3" w:themeShade="BF"/>
    </w:rPr>
    <w:tblPr>
      <w:tblStyleRowBandSize w:val="1"/>
      <w:tblStyleColBandSize w:val="1"/>
      <w:tblBorders>
        <w:top w:val="single" w:sz="8" w:space="0" w:color="3EBFB9" w:themeColor="accent3"/>
        <w:bottom w:val="single" w:sz="8" w:space="0" w:color="3EBFB9" w:themeColor="accent3"/>
      </w:tblBorders>
    </w:tblPr>
    <w:tblStylePr w:type="firstRow">
      <w:pPr>
        <w:spacing w:before="0" w:after="0" w:line="240" w:lineRule="auto"/>
      </w:pPr>
      <w:rPr>
        <w:b/>
        <w:bCs/>
      </w:rPr>
      <w:tblPr/>
      <w:tcPr>
        <w:tcBorders>
          <w:top w:val="single" w:sz="8" w:space="0" w:color="3EBFB9" w:themeColor="accent3"/>
          <w:left w:val="nil"/>
          <w:bottom w:val="single" w:sz="8" w:space="0" w:color="3EBFB9" w:themeColor="accent3"/>
          <w:right w:val="nil"/>
          <w:insideH w:val="nil"/>
          <w:insideV w:val="nil"/>
        </w:tcBorders>
      </w:tcPr>
    </w:tblStylePr>
    <w:tblStylePr w:type="lastRow">
      <w:pPr>
        <w:spacing w:before="0" w:after="0" w:line="240" w:lineRule="auto"/>
      </w:pPr>
      <w:rPr>
        <w:b/>
        <w:bCs/>
      </w:rPr>
      <w:tblPr/>
      <w:tcPr>
        <w:tcBorders>
          <w:top w:val="single" w:sz="8" w:space="0" w:color="3EBFB9" w:themeColor="accent3"/>
          <w:left w:val="nil"/>
          <w:bottom w:val="single" w:sz="8" w:space="0" w:color="3EBFB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FED" w:themeFill="accent3" w:themeFillTint="3F"/>
      </w:tcPr>
    </w:tblStylePr>
    <w:tblStylePr w:type="band1Horz">
      <w:tblPr/>
      <w:tcPr>
        <w:tcBorders>
          <w:left w:val="nil"/>
          <w:right w:val="nil"/>
          <w:insideH w:val="nil"/>
          <w:insideV w:val="nil"/>
        </w:tcBorders>
        <w:shd w:val="clear" w:color="auto" w:fill="CEEFED" w:themeFill="accent3" w:themeFillTint="3F"/>
      </w:tcPr>
    </w:tblStylePr>
  </w:style>
  <w:style w:type="table" w:styleId="MediumList1-Accent3">
    <w:name w:val="Medium List 1 Accent 3"/>
    <w:basedOn w:val="TableNormal"/>
    <w:uiPriority w:val="65"/>
    <w:rsid w:val="00454B3A"/>
    <w:pPr>
      <w:spacing w:after="0" w:line="240" w:lineRule="auto"/>
    </w:pPr>
    <w:rPr>
      <w:color w:val="2E3F51" w:themeColor="text1"/>
    </w:rPr>
    <w:tblPr>
      <w:tblStyleRowBandSize w:val="1"/>
      <w:tblStyleColBandSize w:val="1"/>
      <w:tblBorders>
        <w:top w:val="single" w:sz="8" w:space="0" w:color="3EBFB9" w:themeColor="accent3"/>
        <w:bottom w:val="single" w:sz="8" w:space="0" w:color="3EBFB9" w:themeColor="accent3"/>
      </w:tblBorders>
    </w:tblPr>
    <w:tblStylePr w:type="firstRow">
      <w:rPr>
        <w:rFonts w:asciiTheme="majorHAnsi" w:eastAsiaTheme="majorEastAsia" w:hAnsiTheme="majorHAnsi" w:cstheme="majorBidi"/>
      </w:rPr>
      <w:tblPr/>
      <w:tcPr>
        <w:tcBorders>
          <w:top w:val="nil"/>
          <w:bottom w:val="single" w:sz="8" w:space="0" w:color="3EBFB9" w:themeColor="accent3"/>
        </w:tcBorders>
      </w:tcPr>
    </w:tblStylePr>
    <w:tblStylePr w:type="lastRow">
      <w:rPr>
        <w:b/>
        <w:bCs/>
        <w:color w:val="E74B3A" w:themeColor="text2"/>
      </w:rPr>
      <w:tblPr/>
      <w:tcPr>
        <w:tcBorders>
          <w:top w:val="single" w:sz="8" w:space="0" w:color="3EBFB9" w:themeColor="accent3"/>
          <w:bottom w:val="single" w:sz="8" w:space="0" w:color="3EBFB9" w:themeColor="accent3"/>
        </w:tcBorders>
      </w:tcPr>
    </w:tblStylePr>
    <w:tblStylePr w:type="firstCol">
      <w:rPr>
        <w:b/>
        <w:bCs/>
      </w:rPr>
    </w:tblStylePr>
    <w:tblStylePr w:type="lastCol">
      <w:rPr>
        <w:b/>
        <w:bCs/>
      </w:rPr>
      <w:tblPr/>
      <w:tcPr>
        <w:tcBorders>
          <w:top w:val="single" w:sz="8" w:space="0" w:color="3EBFB9" w:themeColor="accent3"/>
          <w:bottom w:val="single" w:sz="8" w:space="0" w:color="3EBFB9" w:themeColor="accent3"/>
        </w:tcBorders>
      </w:tcPr>
    </w:tblStylePr>
    <w:tblStylePr w:type="band1Vert">
      <w:tblPr/>
      <w:tcPr>
        <w:shd w:val="clear" w:color="auto" w:fill="CEEFED" w:themeFill="accent3" w:themeFillTint="3F"/>
      </w:tcPr>
    </w:tblStylePr>
    <w:tblStylePr w:type="band1Horz">
      <w:tblPr/>
      <w:tcPr>
        <w:shd w:val="clear" w:color="auto" w:fill="CEEFED" w:themeFill="accent3" w:themeFillTint="3F"/>
      </w:tcPr>
    </w:tblStylePr>
  </w:style>
  <w:style w:type="table" w:styleId="LightList">
    <w:name w:val="Light List"/>
    <w:basedOn w:val="TableNormal"/>
    <w:uiPriority w:val="61"/>
    <w:rsid w:val="00454B3A"/>
    <w:pPr>
      <w:spacing w:after="0" w:line="240" w:lineRule="auto"/>
    </w:pPr>
    <w:tblPr>
      <w:tblStyleRowBandSize w:val="1"/>
      <w:tblStyleColBandSize w:val="1"/>
      <w:tblBorders>
        <w:top w:val="single" w:sz="8" w:space="0" w:color="2E3F51" w:themeColor="text1"/>
        <w:left w:val="single" w:sz="8" w:space="0" w:color="2E3F51" w:themeColor="text1"/>
        <w:bottom w:val="single" w:sz="8" w:space="0" w:color="2E3F51" w:themeColor="text1"/>
        <w:right w:val="single" w:sz="8" w:space="0" w:color="2E3F51" w:themeColor="text1"/>
      </w:tblBorders>
    </w:tblPr>
    <w:tblStylePr w:type="firstRow">
      <w:pPr>
        <w:spacing w:before="0" w:after="0" w:line="240" w:lineRule="auto"/>
      </w:pPr>
      <w:rPr>
        <w:b/>
        <w:bCs/>
        <w:color w:val="FFFFFF" w:themeColor="background1"/>
      </w:rPr>
      <w:tblPr/>
      <w:tcPr>
        <w:shd w:val="clear" w:color="auto" w:fill="2E3F51" w:themeFill="text1"/>
      </w:tcPr>
    </w:tblStylePr>
    <w:tblStylePr w:type="lastRow">
      <w:pPr>
        <w:spacing w:before="0" w:after="0" w:line="240" w:lineRule="auto"/>
      </w:pPr>
      <w:rPr>
        <w:b/>
        <w:bCs/>
      </w:rPr>
      <w:tblPr/>
      <w:tcPr>
        <w:tcBorders>
          <w:top w:val="double" w:sz="6" w:space="0" w:color="2E3F51" w:themeColor="text1"/>
          <w:left w:val="single" w:sz="8" w:space="0" w:color="2E3F51" w:themeColor="text1"/>
          <w:bottom w:val="single" w:sz="8" w:space="0" w:color="2E3F51" w:themeColor="text1"/>
          <w:right w:val="single" w:sz="8" w:space="0" w:color="2E3F51" w:themeColor="text1"/>
        </w:tcBorders>
      </w:tcPr>
    </w:tblStylePr>
    <w:tblStylePr w:type="firstCol">
      <w:rPr>
        <w:b/>
        <w:bCs/>
      </w:rPr>
    </w:tblStylePr>
    <w:tblStylePr w:type="lastCol">
      <w:rPr>
        <w:b/>
        <w:bCs/>
      </w:rPr>
    </w:tblStylePr>
    <w:tblStylePr w:type="band1Vert">
      <w:tblPr/>
      <w:tcPr>
        <w:tcBorders>
          <w:top w:val="single" w:sz="8" w:space="0" w:color="2E3F51" w:themeColor="text1"/>
          <w:left w:val="single" w:sz="8" w:space="0" w:color="2E3F51" w:themeColor="text1"/>
          <w:bottom w:val="single" w:sz="8" w:space="0" w:color="2E3F51" w:themeColor="text1"/>
          <w:right w:val="single" w:sz="8" w:space="0" w:color="2E3F51" w:themeColor="text1"/>
        </w:tcBorders>
      </w:tcPr>
    </w:tblStylePr>
    <w:tblStylePr w:type="band1Horz">
      <w:tblPr/>
      <w:tcPr>
        <w:tcBorders>
          <w:top w:val="single" w:sz="8" w:space="0" w:color="2E3F51" w:themeColor="text1"/>
          <w:left w:val="single" w:sz="8" w:space="0" w:color="2E3F51" w:themeColor="text1"/>
          <w:bottom w:val="single" w:sz="8" w:space="0" w:color="2E3F51" w:themeColor="text1"/>
          <w:right w:val="single" w:sz="8" w:space="0" w:color="2E3F51" w:themeColor="text1"/>
        </w:tcBorders>
      </w:tcPr>
    </w:tblStylePr>
  </w:style>
  <w:style w:type="table" w:styleId="LightList-Accent5">
    <w:name w:val="Light List Accent 5"/>
    <w:basedOn w:val="TableNormal"/>
    <w:uiPriority w:val="61"/>
    <w:rsid w:val="00147A60"/>
    <w:pPr>
      <w:spacing w:after="0" w:line="240" w:lineRule="auto"/>
    </w:pPr>
    <w:tblPr>
      <w:tblStyleRowBandSize w:val="1"/>
      <w:tblStyleColBandSize w:val="1"/>
      <w:tblBorders>
        <w:top w:val="single" w:sz="8" w:space="0" w:color="2B3990" w:themeColor="accent5"/>
        <w:left w:val="single" w:sz="8" w:space="0" w:color="2B3990" w:themeColor="accent5"/>
        <w:bottom w:val="single" w:sz="8" w:space="0" w:color="2B3990" w:themeColor="accent5"/>
        <w:right w:val="single" w:sz="8" w:space="0" w:color="2B3990" w:themeColor="accent5"/>
      </w:tblBorders>
    </w:tblPr>
    <w:tblStylePr w:type="firstRow">
      <w:pPr>
        <w:spacing w:before="0" w:after="0" w:line="240" w:lineRule="auto"/>
      </w:pPr>
      <w:rPr>
        <w:b/>
        <w:bCs/>
        <w:color w:val="FFFFFF" w:themeColor="background1"/>
      </w:rPr>
      <w:tblPr/>
      <w:tcPr>
        <w:shd w:val="clear" w:color="auto" w:fill="2B3990" w:themeFill="accent5"/>
      </w:tcPr>
    </w:tblStylePr>
    <w:tblStylePr w:type="lastRow">
      <w:pPr>
        <w:spacing w:before="0" w:after="0" w:line="240" w:lineRule="auto"/>
      </w:pPr>
      <w:rPr>
        <w:b/>
        <w:bCs/>
      </w:rPr>
      <w:tblPr/>
      <w:tcPr>
        <w:tcBorders>
          <w:top w:val="double" w:sz="6" w:space="0" w:color="2B3990" w:themeColor="accent5"/>
          <w:left w:val="single" w:sz="8" w:space="0" w:color="2B3990" w:themeColor="accent5"/>
          <w:bottom w:val="single" w:sz="8" w:space="0" w:color="2B3990" w:themeColor="accent5"/>
          <w:right w:val="single" w:sz="8" w:space="0" w:color="2B3990" w:themeColor="accent5"/>
        </w:tcBorders>
      </w:tcPr>
    </w:tblStylePr>
    <w:tblStylePr w:type="firstCol">
      <w:rPr>
        <w:b/>
        <w:bCs/>
      </w:rPr>
    </w:tblStylePr>
    <w:tblStylePr w:type="lastCol">
      <w:rPr>
        <w:b/>
        <w:bCs/>
      </w:rPr>
    </w:tblStylePr>
    <w:tblStylePr w:type="band1Vert">
      <w:tblPr/>
      <w:tcPr>
        <w:tcBorders>
          <w:top w:val="single" w:sz="8" w:space="0" w:color="2B3990" w:themeColor="accent5"/>
          <w:left w:val="single" w:sz="8" w:space="0" w:color="2B3990" w:themeColor="accent5"/>
          <w:bottom w:val="single" w:sz="8" w:space="0" w:color="2B3990" w:themeColor="accent5"/>
          <w:right w:val="single" w:sz="8" w:space="0" w:color="2B3990" w:themeColor="accent5"/>
        </w:tcBorders>
      </w:tcPr>
    </w:tblStylePr>
    <w:tblStylePr w:type="band1Horz">
      <w:tblPr/>
      <w:tcPr>
        <w:tcBorders>
          <w:top w:val="single" w:sz="8" w:space="0" w:color="2B3990" w:themeColor="accent5"/>
          <w:left w:val="single" w:sz="8" w:space="0" w:color="2B3990" w:themeColor="accent5"/>
          <w:bottom w:val="single" w:sz="8" w:space="0" w:color="2B3990" w:themeColor="accent5"/>
          <w:right w:val="single" w:sz="8" w:space="0" w:color="2B3990" w:themeColor="accent5"/>
        </w:tcBorders>
      </w:tcPr>
    </w:tblStylePr>
  </w:style>
  <w:style w:type="table" w:styleId="TableGrid">
    <w:name w:val="Table Grid"/>
    <w:basedOn w:val="TableNormal"/>
    <w:uiPriority w:val="59"/>
    <w:rsid w:val="000B413F"/>
    <w:pPr>
      <w:spacing w:before="120" w:after="120" w:line="240" w:lineRule="auto"/>
      <w:contextualSpacing/>
    </w:pPr>
    <w:rPr>
      <w:rFonts w:ascii="Arial" w:hAnsi="Arial"/>
      <w:sz w:val="20"/>
    </w:rPr>
    <w:tblPr>
      <w:tblBorders>
        <w:top w:val="single" w:sz="4" w:space="0" w:color="2B3990" w:themeColor="accent5"/>
        <w:left w:val="single" w:sz="4" w:space="0" w:color="2B3990" w:themeColor="accent5"/>
        <w:bottom w:val="single" w:sz="4" w:space="0" w:color="2B3990" w:themeColor="accent5"/>
        <w:right w:val="single" w:sz="4" w:space="0" w:color="2B3990" w:themeColor="accent5"/>
        <w:insideH w:val="single" w:sz="6" w:space="0" w:color="2B3990" w:themeColor="accent5"/>
        <w:insideV w:val="single" w:sz="6" w:space="0" w:color="2B3990" w:themeColor="accent5"/>
      </w:tblBorders>
    </w:tblPr>
    <w:tblStylePr w:type="firstRow">
      <w:pPr>
        <w:wordWrap/>
        <w:spacing w:beforeLines="0" w:before="120" w:beforeAutospacing="0" w:afterLines="0" w:after="120" w:afterAutospacing="0"/>
      </w:pPr>
      <w:rPr>
        <w:rFonts w:ascii="Arial Narrow" w:hAnsi="Arial Narrow"/>
        <w:b/>
        <w:caps/>
        <w:smallCaps w:val="0"/>
        <w:color w:val="FFFFFF" w:themeColor="background1"/>
        <w:sz w:val="48"/>
      </w:rPr>
      <w:tblPr/>
      <w:tcPr>
        <w:tcBorders>
          <w:top w:val="single" w:sz="4" w:space="0" w:color="2B3990" w:themeColor="accent5"/>
          <w:left w:val="single" w:sz="4" w:space="0" w:color="2B3990" w:themeColor="accent5"/>
          <w:bottom w:val="single" w:sz="4" w:space="0" w:color="2B3990" w:themeColor="accent5"/>
          <w:right w:val="single" w:sz="4" w:space="0" w:color="2B3990" w:themeColor="accent5"/>
          <w:insideH w:val="single" w:sz="6" w:space="0" w:color="2B3990" w:themeColor="accent5"/>
          <w:insideV w:val="single" w:sz="6" w:space="0" w:color="2B3990" w:themeColor="accent5"/>
          <w:tl2br w:val="nil"/>
          <w:tr2bl w:val="nil"/>
        </w:tcBorders>
        <w:shd w:val="clear" w:color="auto" w:fill="2B3990" w:themeFill="accent5"/>
      </w:tcPr>
    </w:tblStylePr>
    <w:tblStylePr w:type="lastRow">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TableFigureSource">
    <w:name w:val="Table/ Figure Source"/>
    <w:basedOn w:val="Source"/>
    <w:next w:val="BodyText1"/>
    <w:link w:val="TableFigureSourceChar"/>
    <w:qFormat/>
    <w:rsid w:val="00595495"/>
    <w:rPr>
      <w:rFonts w:ascii="Arial" w:hAnsi="Arial"/>
    </w:rPr>
  </w:style>
  <w:style w:type="character" w:customStyle="1" w:styleId="TableFiguretitleChar">
    <w:name w:val="Table/ Figure title Char"/>
    <w:basedOn w:val="BodytextChar"/>
    <w:link w:val="TableFiguretitle"/>
    <w:rsid w:val="00595495"/>
    <w:rPr>
      <w:rFonts w:ascii="Arial" w:eastAsia="Times New Roman" w:hAnsi="Arial" w:cs="Times New Roman"/>
      <w:b/>
      <w:szCs w:val="20"/>
      <w:lang w:val="en-GB"/>
    </w:rPr>
  </w:style>
  <w:style w:type="character" w:customStyle="1" w:styleId="TableFigureSourceChar">
    <w:name w:val="Table/ Figure Source Char"/>
    <w:basedOn w:val="footerChar"/>
    <w:link w:val="TableFigureSource"/>
    <w:rsid w:val="00595495"/>
    <w:rPr>
      <w:rFonts w:ascii="Arial" w:eastAsia="Times New Roman" w:hAnsi="Arial" w:cstheme="majorHAnsi"/>
      <w:i/>
      <w:sz w:val="18"/>
      <w:szCs w:val="16"/>
      <w:lang w:val="en-GB" w:eastAsia="en-AU"/>
    </w:rPr>
  </w:style>
  <w:style w:type="paragraph" w:customStyle="1" w:styleId="Default">
    <w:name w:val="Default"/>
    <w:rsid w:val="005755D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5755D5"/>
  </w:style>
  <w:style w:type="table" w:styleId="LightList-Accent1">
    <w:name w:val="Light List Accent 1"/>
    <w:basedOn w:val="TableNormal"/>
    <w:uiPriority w:val="61"/>
    <w:rsid w:val="005755D5"/>
    <w:pPr>
      <w:spacing w:after="0" w:line="240" w:lineRule="auto"/>
    </w:pPr>
    <w:rPr>
      <w:lang w:val="en-US"/>
    </w:rPr>
    <w:tblPr>
      <w:tblStyleRowBandSize w:val="1"/>
      <w:tblStyleColBandSize w:val="1"/>
      <w:tblBorders>
        <w:top w:val="single" w:sz="8" w:space="0" w:color="006EB7" w:themeColor="accent1"/>
        <w:left w:val="single" w:sz="8" w:space="0" w:color="006EB7" w:themeColor="accent1"/>
        <w:bottom w:val="single" w:sz="8" w:space="0" w:color="006EB7" w:themeColor="accent1"/>
        <w:right w:val="single" w:sz="8" w:space="0" w:color="006EB7" w:themeColor="accent1"/>
      </w:tblBorders>
    </w:tblPr>
    <w:tblStylePr w:type="firstRow">
      <w:pPr>
        <w:spacing w:before="0" w:after="0" w:line="240" w:lineRule="auto"/>
      </w:pPr>
      <w:rPr>
        <w:b/>
        <w:bCs/>
        <w:color w:val="FFFFFF" w:themeColor="background1"/>
      </w:rPr>
      <w:tblPr/>
      <w:tcPr>
        <w:shd w:val="clear" w:color="auto" w:fill="006EB7" w:themeFill="accent1"/>
      </w:tcPr>
    </w:tblStylePr>
    <w:tblStylePr w:type="lastRow">
      <w:pPr>
        <w:spacing w:before="0" w:after="0" w:line="240" w:lineRule="auto"/>
      </w:pPr>
      <w:rPr>
        <w:b/>
        <w:bCs/>
      </w:rPr>
      <w:tblPr/>
      <w:tcPr>
        <w:tcBorders>
          <w:top w:val="double" w:sz="6" w:space="0" w:color="006EB7" w:themeColor="accent1"/>
          <w:left w:val="single" w:sz="8" w:space="0" w:color="006EB7" w:themeColor="accent1"/>
          <w:bottom w:val="single" w:sz="8" w:space="0" w:color="006EB7" w:themeColor="accent1"/>
          <w:right w:val="single" w:sz="8" w:space="0" w:color="006EB7" w:themeColor="accent1"/>
        </w:tcBorders>
      </w:tcPr>
    </w:tblStylePr>
    <w:tblStylePr w:type="firstCol">
      <w:rPr>
        <w:b/>
        <w:bCs/>
      </w:rPr>
    </w:tblStylePr>
    <w:tblStylePr w:type="lastCol">
      <w:rPr>
        <w:b/>
        <w:bCs/>
      </w:rPr>
    </w:tblStylePr>
    <w:tblStylePr w:type="band1Vert">
      <w:tblPr/>
      <w:tcPr>
        <w:tcBorders>
          <w:top w:val="single" w:sz="8" w:space="0" w:color="006EB7" w:themeColor="accent1"/>
          <w:left w:val="single" w:sz="8" w:space="0" w:color="006EB7" w:themeColor="accent1"/>
          <w:bottom w:val="single" w:sz="8" w:space="0" w:color="006EB7" w:themeColor="accent1"/>
          <w:right w:val="single" w:sz="8" w:space="0" w:color="006EB7" w:themeColor="accent1"/>
        </w:tcBorders>
      </w:tcPr>
    </w:tblStylePr>
    <w:tblStylePr w:type="band1Horz">
      <w:tblPr/>
      <w:tcPr>
        <w:tcBorders>
          <w:top w:val="single" w:sz="8" w:space="0" w:color="006EB7" w:themeColor="accent1"/>
          <w:left w:val="single" w:sz="8" w:space="0" w:color="006EB7" w:themeColor="accent1"/>
          <w:bottom w:val="single" w:sz="8" w:space="0" w:color="006EB7" w:themeColor="accent1"/>
          <w:right w:val="single" w:sz="8" w:space="0" w:color="006EB7" w:themeColor="accent1"/>
        </w:tcBorders>
      </w:tcPr>
    </w:tblStylePr>
  </w:style>
  <w:style w:type="paragraph" w:styleId="NormalWeb">
    <w:name w:val="Normal (Web)"/>
    <w:basedOn w:val="Normal"/>
    <w:uiPriority w:val="99"/>
    <w:unhideWhenUsed/>
    <w:rsid w:val="005755D5"/>
    <w:pPr>
      <w:spacing w:before="100" w:beforeAutospacing="1" w:after="100" w:afterAutospacing="1" w:line="240" w:lineRule="auto"/>
      <w:jc w:val="left"/>
    </w:pPr>
    <w:rPr>
      <w:rFonts w:ascii="Times New Roman" w:eastAsia="Times New Roman" w:hAnsi="Times New Roman" w:cs="Times New Roman"/>
      <w:lang w:val="en-US"/>
    </w:rPr>
  </w:style>
  <w:style w:type="table" w:styleId="LightShading-Accent4">
    <w:name w:val="Light Shading Accent 4"/>
    <w:basedOn w:val="TableNormal"/>
    <w:uiPriority w:val="60"/>
    <w:rsid w:val="00147A60"/>
    <w:pPr>
      <w:spacing w:after="0" w:line="240" w:lineRule="auto"/>
    </w:pPr>
    <w:rPr>
      <w:color w:val="D8A505" w:themeColor="accent4" w:themeShade="BF"/>
    </w:rPr>
    <w:tblPr>
      <w:tblStyleRowBandSize w:val="1"/>
      <w:tblStyleColBandSize w:val="1"/>
      <w:tblBorders>
        <w:top w:val="single" w:sz="8" w:space="0" w:color="FAC92E" w:themeColor="accent4"/>
        <w:bottom w:val="single" w:sz="8" w:space="0" w:color="FAC92E" w:themeColor="accent4"/>
      </w:tblBorders>
    </w:tblPr>
    <w:tblStylePr w:type="firstRow">
      <w:pPr>
        <w:spacing w:before="0" w:after="0" w:line="240" w:lineRule="auto"/>
      </w:pPr>
      <w:rPr>
        <w:b/>
        <w:bCs/>
      </w:rPr>
      <w:tblPr/>
      <w:tcPr>
        <w:tcBorders>
          <w:top w:val="single" w:sz="8" w:space="0" w:color="FAC92E" w:themeColor="accent4"/>
          <w:left w:val="nil"/>
          <w:bottom w:val="single" w:sz="8" w:space="0" w:color="FAC92E" w:themeColor="accent4"/>
          <w:right w:val="nil"/>
          <w:insideH w:val="nil"/>
          <w:insideV w:val="nil"/>
        </w:tcBorders>
      </w:tcPr>
    </w:tblStylePr>
    <w:tblStylePr w:type="lastRow">
      <w:pPr>
        <w:spacing w:before="0" w:after="0" w:line="240" w:lineRule="auto"/>
      </w:pPr>
      <w:rPr>
        <w:b/>
        <w:bCs/>
      </w:rPr>
      <w:tblPr/>
      <w:tcPr>
        <w:tcBorders>
          <w:top w:val="single" w:sz="8" w:space="0" w:color="FAC92E" w:themeColor="accent4"/>
          <w:left w:val="nil"/>
          <w:bottom w:val="single" w:sz="8" w:space="0" w:color="FAC9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1CB" w:themeFill="accent4" w:themeFillTint="3F"/>
      </w:tcPr>
    </w:tblStylePr>
    <w:tblStylePr w:type="band1Horz">
      <w:tblPr/>
      <w:tcPr>
        <w:tcBorders>
          <w:left w:val="nil"/>
          <w:right w:val="nil"/>
          <w:insideH w:val="nil"/>
          <w:insideV w:val="nil"/>
        </w:tcBorders>
        <w:shd w:val="clear" w:color="auto" w:fill="FDF1CB" w:themeFill="accent4" w:themeFillTint="3F"/>
      </w:tcPr>
    </w:tblStylePr>
  </w:style>
  <w:style w:type="table" w:styleId="LightList-Accent3">
    <w:name w:val="Light List Accent 3"/>
    <w:basedOn w:val="TableNormal"/>
    <w:uiPriority w:val="61"/>
    <w:rsid w:val="00FC69AD"/>
    <w:pPr>
      <w:spacing w:after="0" w:line="240" w:lineRule="auto"/>
    </w:pPr>
    <w:tblPr>
      <w:tblStyleRowBandSize w:val="1"/>
      <w:tblStyleColBandSize w:val="1"/>
      <w:tblBorders>
        <w:top w:val="single" w:sz="8" w:space="0" w:color="3EBFB9" w:themeColor="accent3"/>
        <w:left w:val="single" w:sz="8" w:space="0" w:color="3EBFB9" w:themeColor="accent3"/>
        <w:bottom w:val="single" w:sz="8" w:space="0" w:color="3EBFB9" w:themeColor="accent3"/>
        <w:right w:val="single" w:sz="8" w:space="0" w:color="3EBFB9" w:themeColor="accent3"/>
      </w:tblBorders>
    </w:tblPr>
    <w:tblStylePr w:type="firstRow">
      <w:pPr>
        <w:spacing w:before="0" w:after="0" w:line="240" w:lineRule="auto"/>
      </w:pPr>
      <w:rPr>
        <w:b/>
        <w:bCs/>
        <w:color w:val="FFFFFF" w:themeColor="background1"/>
      </w:rPr>
      <w:tblPr/>
      <w:tcPr>
        <w:shd w:val="clear" w:color="auto" w:fill="3EBFB9" w:themeFill="accent3"/>
      </w:tcPr>
    </w:tblStylePr>
    <w:tblStylePr w:type="lastRow">
      <w:pPr>
        <w:spacing w:before="0" w:after="0" w:line="240" w:lineRule="auto"/>
      </w:pPr>
      <w:rPr>
        <w:b/>
        <w:bCs/>
      </w:rPr>
      <w:tblPr/>
      <w:tcPr>
        <w:tcBorders>
          <w:top w:val="double" w:sz="6" w:space="0" w:color="3EBFB9" w:themeColor="accent3"/>
          <w:left w:val="single" w:sz="8" w:space="0" w:color="3EBFB9" w:themeColor="accent3"/>
          <w:bottom w:val="single" w:sz="8" w:space="0" w:color="3EBFB9" w:themeColor="accent3"/>
          <w:right w:val="single" w:sz="8" w:space="0" w:color="3EBFB9" w:themeColor="accent3"/>
        </w:tcBorders>
      </w:tcPr>
    </w:tblStylePr>
    <w:tblStylePr w:type="firstCol">
      <w:rPr>
        <w:b/>
        <w:bCs/>
      </w:rPr>
    </w:tblStylePr>
    <w:tblStylePr w:type="lastCol">
      <w:rPr>
        <w:b/>
        <w:bCs/>
      </w:rPr>
    </w:tblStylePr>
    <w:tblStylePr w:type="band1Vert">
      <w:tblPr/>
      <w:tcPr>
        <w:tcBorders>
          <w:top w:val="single" w:sz="8" w:space="0" w:color="3EBFB9" w:themeColor="accent3"/>
          <w:left w:val="single" w:sz="8" w:space="0" w:color="3EBFB9" w:themeColor="accent3"/>
          <w:bottom w:val="single" w:sz="8" w:space="0" w:color="3EBFB9" w:themeColor="accent3"/>
          <w:right w:val="single" w:sz="8" w:space="0" w:color="3EBFB9" w:themeColor="accent3"/>
        </w:tcBorders>
      </w:tcPr>
    </w:tblStylePr>
    <w:tblStylePr w:type="band1Horz">
      <w:tblPr/>
      <w:tcPr>
        <w:tcBorders>
          <w:top w:val="single" w:sz="8" w:space="0" w:color="3EBFB9" w:themeColor="accent3"/>
          <w:left w:val="single" w:sz="8" w:space="0" w:color="3EBFB9" w:themeColor="accent3"/>
          <w:bottom w:val="single" w:sz="8" w:space="0" w:color="3EBFB9" w:themeColor="accent3"/>
          <w:right w:val="single" w:sz="8" w:space="0" w:color="3EBFB9" w:themeColor="accent3"/>
        </w:tcBorders>
      </w:tcPr>
    </w:tblStylePr>
  </w:style>
  <w:style w:type="table" w:styleId="LightShading-Accent1">
    <w:name w:val="Light Shading Accent 1"/>
    <w:basedOn w:val="TableNormal"/>
    <w:uiPriority w:val="60"/>
    <w:rsid w:val="00147A60"/>
    <w:pPr>
      <w:spacing w:after="0" w:line="240" w:lineRule="auto"/>
    </w:pPr>
    <w:rPr>
      <w:color w:val="005289" w:themeColor="accent1" w:themeShade="BF"/>
    </w:rPr>
    <w:tblPr>
      <w:tblStyleRowBandSize w:val="1"/>
      <w:tblStyleColBandSize w:val="1"/>
      <w:tblBorders>
        <w:top w:val="single" w:sz="8" w:space="0" w:color="006EB7" w:themeColor="accent1"/>
        <w:bottom w:val="single" w:sz="8" w:space="0" w:color="006EB7" w:themeColor="accent1"/>
      </w:tblBorders>
    </w:tblPr>
    <w:tblStylePr w:type="firstRow">
      <w:pPr>
        <w:spacing w:before="0" w:after="0" w:line="240" w:lineRule="auto"/>
      </w:pPr>
      <w:rPr>
        <w:b/>
        <w:bCs/>
      </w:rPr>
      <w:tblPr/>
      <w:tcPr>
        <w:tcBorders>
          <w:top w:val="single" w:sz="8" w:space="0" w:color="006EB7" w:themeColor="accent1"/>
          <w:left w:val="nil"/>
          <w:bottom w:val="single" w:sz="8" w:space="0" w:color="006EB7" w:themeColor="accent1"/>
          <w:right w:val="nil"/>
          <w:insideH w:val="nil"/>
          <w:insideV w:val="nil"/>
        </w:tcBorders>
      </w:tcPr>
    </w:tblStylePr>
    <w:tblStylePr w:type="lastRow">
      <w:pPr>
        <w:spacing w:before="0" w:after="0" w:line="240" w:lineRule="auto"/>
      </w:pPr>
      <w:rPr>
        <w:b/>
        <w:bCs/>
      </w:rPr>
      <w:tblPr/>
      <w:tcPr>
        <w:tcBorders>
          <w:top w:val="single" w:sz="8" w:space="0" w:color="006EB7" w:themeColor="accent1"/>
          <w:left w:val="nil"/>
          <w:bottom w:val="single" w:sz="8" w:space="0" w:color="006E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
    <w:name w:val="Light Shading"/>
    <w:basedOn w:val="TableNormal"/>
    <w:uiPriority w:val="60"/>
    <w:rsid w:val="00147A60"/>
    <w:pPr>
      <w:spacing w:after="0" w:line="240" w:lineRule="auto"/>
    </w:pPr>
    <w:rPr>
      <w:color w:val="222F3C" w:themeColor="text1" w:themeShade="BF"/>
    </w:rPr>
    <w:tblPr>
      <w:tblStyleRowBandSize w:val="1"/>
      <w:tblStyleColBandSize w:val="1"/>
      <w:tblBorders>
        <w:top w:val="single" w:sz="8" w:space="0" w:color="2E3F51" w:themeColor="text1"/>
        <w:bottom w:val="single" w:sz="8" w:space="0" w:color="2E3F51" w:themeColor="text1"/>
      </w:tblBorders>
    </w:tblPr>
    <w:tblStylePr w:type="firstRow">
      <w:pPr>
        <w:spacing w:before="0" w:after="0" w:line="240" w:lineRule="auto"/>
      </w:pPr>
      <w:rPr>
        <w:b/>
        <w:bCs/>
      </w:rPr>
      <w:tblPr/>
      <w:tcPr>
        <w:tcBorders>
          <w:top w:val="single" w:sz="8" w:space="0" w:color="2E3F51" w:themeColor="text1"/>
          <w:left w:val="nil"/>
          <w:bottom w:val="single" w:sz="8" w:space="0" w:color="2E3F51" w:themeColor="text1"/>
          <w:right w:val="nil"/>
          <w:insideH w:val="nil"/>
          <w:insideV w:val="nil"/>
        </w:tcBorders>
      </w:tcPr>
    </w:tblStylePr>
    <w:tblStylePr w:type="lastRow">
      <w:pPr>
        <w:spacing w:before="0" w:after="0" w:line="240" w:lineRule="auto"/>
      </w:pPr>
      <w:rPr>
        <w:b/>
        <w:bCs/>
      </w:rPr>
      <w:tblPr/>
      <w:tcPr>
        <w:tcBorders>
          <w:top w:val="single" w:sz="8" w:space="0" w:color="2E3F51" w:themeColor="text1"/>
          <w:left w:val="nil"/>
          <w:bottom w:val="single" w:sz="8" w:space="0" w:color="2E3F51"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FDC" w:themeFill="text1" w:themeFillTint="3F"/>
      </w:tcPr>
    </w:tblStylePr>
    <w:tblStylePr w:type="band1Horz">
      <w:tblPr/>
      <w:tcPr>
        <w:tcBorders>
          <w:left w:val="nil"/>
          <w:right w:val="nil"/>
          <w:insideH w:val="nil"/>
          <w:insideV w:val="nil"/>
        </w:tcBorders>
        <w:shd w:val="clear" w:color="auto" w:fill="C2CFDC" w:themeFill="text1" w:themeFillTint="3F"/>
      </w:tcPr>
    </w:tblStylePr>
  </w:style>
  <w:style w:type="table" w:customStyle="1" w:styleId="TableGrid1">
    <w:name w:val="Table Grid1"/>
    <w:basedOn w:val="TableNormal"/>
    <w:next w:val="TableGrid"/>
    <w:uiPriority w:val="59"/>
    <w:rsid w:val="00655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spaceafter">
    <w:name w:val="Body Text (no space after)"/>
    <w:basedOn w:val="BodyText"/>
    <w:qFormat/>
    <w:rsid w:val="00E149FC"/>
    <w:pPr>
      <w:spacing w:after="0" w:line="240" w:lineRule="atLeast"/>
      <w:jc w:val="left"/>
    </w:pPr>
    <w:rPr>
      <w:rFonts w:ascii="Arial" w:eastAsia="Calibri" w:hAnsi="Arial" w:cs="Times New Roman"/>
      <w:sz w:val="20"/>
      <w:szCs w:val="20"/>
      <w:lang w:val="en-AU"/>
    </w:rPr>
  </w:style>
  <w:style w:type="paragraph" w:customStyle="1" w:styleId="Subject">
    <w:name w:val="Subject"/>
    <w:basedOn w:val="BodyText"/>
    <w:qFormat/>
    <w:rsid w:val="00E149FC"/>
    <w:pPr>
      <w:spacing w:after="240" w:line="240" w:lineRule="atLeast"/>
      <w:jc w:val="left"/>
    </w:pPr>
    <w:rPr>
      <w:rFonts w:ascii="Arial" w:eastAsia="Calibri" w:hAnsi="Arial" w:cs="Times New Roman"/>
      <w:b/>
      <w:sz w:val="20"/>
      <w:szCs w:val="20"/>
      <w:lang w:val="en-AU"/>
    </w:rPr>
  </w:style>
  <w:style w:type="paragraph" w:customStyle="1" w:styleId="Sincerely">
    <w:name w:val="Sincerely"/>
    <w:basedOn w:val="BodyText"/>
    <w:uiPriority w:val="4"/>
    <w:rsid w:val="00E149FC"/>
    <w:pPr>
      <w:spacing w:before="480" w:after="0" w:line="240" w:lineRule="atLeast"/>
      <w:jc w:val="left"/>
    </w:pPr>
    <w:rPr>
      <w:rFonts w:ascii="Arial" w:eastAsia="Calibri"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52144">
      <w:bodyDiv w:val="1"/>
      <w:marLeft w:val="0"/>
      <w:marRight w:val="0"/>
      <w:marTop w:val="0"/>
      <w:marBottom w:val="0"/>
      <w:divBdr>
        <w:top w:val="none" w:sz="0" w:space="0" w:color="auto"/>
        <w:left w:val="none" w:sz="0" w:space="0" w:color="auto"/>
        <w:bottom w:val="none" w:sz="0" w:space="0" w:color="auto"/>
        <w:right w:val="none" w:sz="0" w:space="0" w:color="auto"/>
      </w:divBdr>
    </w:div>
    <w:div w:id="728919021">
      <w:bodyDiv w:val="1"/>
      <w:marLeft w:val="0"/>
      <w:marRight w:val="0"/>
      <w:marTop w:val="0"/>
      <w:marBottom w:val="0"/>
      <w:divBdr>
        <w:top w:val="none" w:sz="0" w:space="0" w:color="auto"/>
        <w:left w:val="none" w:sz="0" w:space="0" w:color="auto"/>
        <w:bottom w:val="none" w:sz="0" w:space="0" w:color="auto"/>
        <w:right w:val="none" w:sz="0" w:space="0" w:color="auto"/>
      </w:divBdr>
    </w:div>
    <w:div w:id="768502683">
      <w:bodyDiv w:val="1"/>
      <w:marLeft w:val="0"/>
      <w:marRight w:val="0"/>
      <w:marTop w:val="0"/>
      <w:marBottom w:val="0"/>
      <w:divBdr>
        <w:top w:val="none" w:sz="0" w:space="0" w:color="auto"/>
        <w:left w:val="none" w:sz="0" w:space="0" w:color="auto"/>
        <w:bottom w:val="none" w:sz="0" w:space="0" w:color="auto"/>
        <w:right w:val="none" w:sz="0" w:space="0" w:color="auto"/>
      </w:divBdr>
    </w:div>
    <w:div w:id="1035010326">
      <w:bodyDiv w:val="1"/>
      <w:marLeft w:val="0"/>
      <w:marRight w:val="0"/>
      <w:marTop w:val="0"/>
      <w:marBottom w:val="0"/>
      <w:divBdr>
        <w:top w:val="none" w:sz="0" w:space="0" w:color="auto"/>
        <w:left w:val="none" w:sz="0" w:space="0" w:color="auto"/>
        <w:bottom w:val="none" w:sz="0" w:space="0" w:color="auto"/>
        <w:right w:val="none" w:sz="0" w:space="0" w:color="auto"/>
      </w:divBdr>
    </w:div>
    <w:div w:id="1303270091">
      <w:bodyDiv w:val="1"/>
      <w:marLeft w:val="0"/>
      <w:marRight w:val="0"/>
      <w:marTop w:val="0"/>
      <w:marBottom w:val="0"/>
      <w:divBdr>
        <w:top w:val="none" w:sz="0" w:space="0" w:color="auto"/>
        <w:left w:val="none" w:sz="0" w:space="0" w:color="auto"/>
        <w:bottom w:val="none" w:sz="0" w:space="0" w:color="auto"/>
        <w:right w:val="none" w:sz="0" w:space="0" w:color="auto"/>
      </w:divBdr>
    </w:div>
    <w:div w:id="1316646599">
      <w:bodyDiv w:val="1"/>
      <w:marLeft w:val="0"/>
      <w:marRight w:val="0"/>
      <w:marTop w:val="0"/>
      <w:marBottom w:val="0"/>
      <w:divBdr>
        <w:top w:val="none" w:sz="0" w:space="0" w:color="auto"/>
        <w:left w:val="none" w:sz="0" w:space="0" w:color="auto"/>
        <w:bottom w:val="none" w:sz="0" w:space="0" w:color="auto"/>
        <w:right w:val="none" w:sz="0" w:space="0" w:color="auto"/>
      </w:divBdr>
    </w:div>
    <w:div w:id="1389720299">
      <w:bodyDiv w:val="1"/>
      <w:marLeft w:val="0"/>
      <w:marRight w:val="0"/>
      <w:marTop w:val="0"/>
      <w:marBottom w:val="0"/>
      <w:divBdr>
        <w:top w:val="none" w:sz="0" w:space="0" w:color="auto"/>
        <w:left w:val="none" w:sz="0" w:space="0" w:color="auto"/>
        <w:bottom w:val="none" w:sz="0" w:space="0" w:color="auto"/>
        <w:right w:val="none" w:sz="0" w:space="0" w:color="auto"/>
      </w:divBdr>
    </w:div>
    <w:div w:id="1587810834">
      <w:bodyDiv w:val="1"/>
      <w:marLeft w:val="0"/>
      <w:marRight w:val="0"/>
      <w:marTop w:val="0"/>
      <w:marBottom w:val="0"/>
      <w:divBdr>
        <w:top w:val="none" w:sz="0" w:space="0" w:color="auto"/>
        <w:left w:val="none" w:sz="0" w:space="0" w:color="auto"/>
        <w:bottom w:val="none" w:sz="0" w:space="0" w:color="auto"/>
        <w:right w:val="none" w:sz="0" w:space="0" w:color="auto"/>
      </w:divBdr>
    </w:div>
    <w:div w:id="1652903342">
      <w:bodyDiv w:val="1"/>
      <w:marLeft w:val="0"/>
      <w:marRight w:val="0"/>
      <w:marTop w:val="0"/>
      <w:marBottom w:val="0"/>
      <w:divBdr>
        <w:top w:val="none" w:sz="0" w:space="0" w:color="auto"/>
        <w:left w:val="none" w:sz="0" w:space="0" w:color="auto"/>
        <w:bottom w:val="none" w:sz="0" w:space="0" w:color="auto"/>
        <w:right w:val="none" w:sz="0" w:space="0" w:color="auto"/>
      </w:divBdr>
    </w:div>
    <w:div w:id="1699356109">
      <w:bodyDiv w:val="1"/>
      <w:marLeft w:val="0"/>
      <w:marRight w:val="0"/>
      <w:marTop w:val="0"/>
      <w:marBottom w:val="0"/>
      <w:divBdr>
        <w:top w:val="none" w:sz="0" w:space="0" w:color="auto"/>
        <w:left w:val="none" w:sz="0" w:space="0" w:color="auto"/>
        <w:bottom w:val="none" w:sz="0" w:space="0" w:color="auto"/>
        <w:right w:val="none" w:sz="0" w:space="0" w:color="auto"/>
      </w:divBdr>
    </w:div>
    <w:div w:id="1703051001">
      <w:bodyDiv w:val="1"/>
      <w:marLeft w:val="0"/>
      <w:marRight w:val="0"/>
      <w:marTop w:val="0"/>
      <w:marBottom w:val="0"/>
      <w:divBdr>
        <w:top w:val="none" w:sz="0" w:space="0" w:color="auto"/>
        <w:left w:val="none" w:sz="0" w:space="0" w:color="auto"/>
        <w:bottom w:val="none" w:sz="0" w:space="0" w:color="auto"/>
        <w:right w:val="none" w:sz="0" w:space="0" w:color="auto"/>
      </w:divBdr>
    </w:div>
    <w:div w:id="1736933029">
      <w:bodyDiv w:val="1"/>
      <w:marLeft w:val="0"/>
      <w:marRight w:val="0"/>
      <w:marTop w:val="0"/>
      <w:marBottom w:val="0"/>
      <w:divBdr>
        <w:top w:val="none" w:sz="0" w:space="0" w:color="auto"/>
        <w:left w:val="none" w:sz="0" w:space="0" w:color="auto"/>
        <w:bottom w:val="none" w:sz="0" w:space="0" w:color="auto"/>
        <w:right w:val="none" w:sz="0" w:space="0" w:color="auto"/>
      </w:divBdr>
    </w:div>
    <w:div w:id="1807353508">
      <w:bodyDiv w:val="1"/>
      <w:marLeft w:val="0"/>
      <w:marRight w:val="0"/>
      <w:marTop w:val="0"/>
      <w:marBottom w:val="0"/>
      <w:divBdr>
        <w:top w:val="none" w:sz="0" w:space="0" w:color="auto"/>
        <w:left w:val="none" w:sz="0" w:space="0" w:color="auto"/>
        <w:bottom w:val="none" w:sz="0" w:space="0" w:color="auto"/>
        <w:right w:val="none" w:sz="0" w:space="0" w:color="auto"/>
      </w:divBdr>
    </w:div>
    <w:div w:id="187187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straliancentre.com.au" TargetMode="External"/><Relationship Id="rId18" Type="http://schemas.openxmlformats.org/officeDocument/2006/relationships/footer" Target="footer5.xml"/><Relationship Id="rId26" Type="http://schemas.openxmlformats.org/officeDocument/2006/relationships/customXml" Target="../customXml/item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australiancentre.com.au/publications/policy-briefs/"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usiness.monash.edu/" TargetMode="External"/><Relationship Id="rId22" Type="http://schemas.openxmlformats.org/officeDocument/2006/relationships/customXml" Target="../customXml/item3.xml"/></Relationships>
</file>

<file path=word/_rels/footer4.xml.rels><?xml version="1.0" encoding="UTF-8" standalone="yes"?>
<Relationships xmlns="http://schemas.openxmlformats.org/package/2006/relationships"><Relationship Id="rId2" Type="http://schemas.openxmlformats.org/officeDocument/2006/relationships/hyperlink" Target="http://www.australiancentre.com.au" TargetMode="External"/><Relationship Id="rId1" Type="http://schemas.openxmlformats.org/officeDocument/2006/relationships/hyperlink" Target="http://www.australiancentre.com.au"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australiancentre.com.au" TargetMode="External"/><Relationship Id="rId1" Type="http://schemas.openxmlformats.org/officeDocument/2006/relationships/hyperlink" Target="http://www.australiancentre.com.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evindavis.com.au/secondpages/acadpubs/2003/PROTECTING%20EMPLOYEE%20ENTITLEMENTS.pdf" TargetMode="External"/><Relationship Id="rId2" Type="http://schemas.openxmlformats.org/officeDocument/2006/relationships/hyperlink" Target="http://www.kevindavis.com.au/secondpages/acadpubs/2009/MPP-Feb09.pdf" TargetMode="External"/><Relationship Id="rId1" Type="http://schemas.openxmlformats.org/officeDocument/2006/relationships/hyperlink" Target="https://docs.employment.gov.au/system/files/doc/other/consultation_paper_-_reforms_to_address_corporate_misuse_of_the_feg_scheme.pdf" TargetMode="External"/><Relationship Id="rId4" Type="http://schemas.openxmlformats.org/officeDocument/2006/relationships/hyperlink" Target="http://www.kevindavis.com.au/secondpages/acadpubs/2009/Employees%20as%20Creditors.pdf" TargetMode="External"/></Relationships>
</file>

<file path=word/theme/theme1.xml><?xml version="1.0" encoding="utf-8"?>
<a:theme xmlns:a="http://schemas.openxmlformats.org/drawingml/2006/main" name="Office Theme">
  <a:themeElements>
    <a:clrScheme name="Custom 1">
      <a:dk1>
        <a:srgbClr val="2E3F51"/>
      </a:dk1>
      <a:lt1>
        <a:srgbClr val="FFFFFF"/>
      </a:lt1>
      <a:dk2>
        <a:srgbClr val="E74B3A"/>
      </a:dk2>
      <a:lt2>
        <a:srgbClr val="3EBFB9"/>
      </a:lt2>
      <a:accent1>
        <a:srgbClr val="006EB7"/>
      </a:accent1>
      <a:accent2>
        <a:srgbClr val="E74B3A"/>
      </a:accent2>
      <a:accent3>
        <a:srgbClr val="3EBFB9"/>
      </a:accent3>
      <a:accent4>
        <a:srgbClr val="FAC92E"/>
      </a:accent4>
      <a:accent5>
        <a:srgbClr val="2B3990"/>
      </a:accent5>
      <a:accent6>
        <a:srgbClr val="95D9F2"/>
      </a:accent6>
      <a:hlink>
        <a:srgbClr val="E74B3A"/>
      </a:hlink>
      <a:folHlink>
        <a:srgbClr val="2B399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4171" ma:contentTypeDescription=" " ma:contentTypeScope="" ma:versionID="412a1119644f3a9476de2eac4014642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2017MG-90-18001</_dlc_DocId>
    <TaxCatchAll xmlns="d4dd4adf-ddb3-46a3-8d7c-fab3fb2a6bc7">
      <Value>2</Value>
    </TaxCatchAll>
    <_dlc_DocIdUrl xmlns="d4dd4adf-ddb3-46a3-8d7c-fab3fb2a6bc7">
      <Url>http://tweb13/sites/mg/fsd/_layouts/15/DocIdRedir.aspx?ID=2017MG-90-18001</Url>
      <Description>2017MG-90-18001</Description>
    </_dlc_DocIdUrl>
    <IconOverlay xmlns="http://schemas.microsoft.com/sharepoint/v4" xsi:nil="true"/>
  </documentManagement>
</p:properties>
</file>

<file path=customXml/itemProps1.xml><?xml version="1.0" encoding="utf-8"?>
<ds:datastoreItem xmlns:ds="http://schemas.openxmlformats.org/officeDocument/2006/customXml" ds:itemID="{B8D6E15A-CA4A-40BD-BE74-77EB2CA8F592}">
  <ds:schemaRefs>
    <ds:schemaRef ds:uri="http://schemas.openxmlformats.org/officeDocument/2006/bibliography"/>
  </ds:schemaRefs>
</ds:datastoreItem>
</file>

<file path=customXml/itemProps2.xml><?xml version="1.0" encoding="utf-8"?>
<ds:datastoreItem xmlns:ds="http://schemas.openxmlformats.org/officeDocument/2006/customXml" ds:itemID="{88A77F7D-ADDC-4586-86AF-2EA29266529E}"/>
</file>

<file path=customXml/itemProps3.xml><?xml version="1.0" encoding="utf-8"?>
<ds:datastoreItem xmlns:ds="http://schemas.openxmlformats.org/officeDocument/2006/customXml" ds:itemID="{1DA38385-3D86-43DE-91D3-1662223E73D5}"/>
</file>

<file path=customXml/itemProps4.xml><?xml version="1.0" encoding="utf-8"?>
<ds:datastoreItem xmlns:ds="http://schemas.openxmlformats.org/officeDocument/2006/customXml" ds:itemID="{885B02A2-5721-4E7F-BA93-7A916A71E69D}"/>
</file>

<file path=customXml/itemProps5.xml><?xml version="1.0" encoding="utf-8"?>
<ds:datastoreItem xmlns:ds="http://schemas.openxmlformats.org/officeDocument/2006/customXml" ds:itemID="{FE0C2F04-CF5D-4AB5-9861-BCFBB561E5B8}"/>
</file>

<file path=customXml/itemProps6.xml><?xml version="1.0" encoding="utf-8"?>
<ds:datastoreItem xmlns:ds="http://schemas.openxmlformats.org/officeDocument/2006/customXml" ds:itemID="{B3163FEF-E479-4DDB-9CCB-83639E8D8716}"/>
</file>

<file path=customXml/itemProps7.xml><?xml version="1.0" encoding="utf-8"?>
<ds:datastoreItem xmlns:ds="http://schemas.openxmlformats.org/officeDocument/2006/customXml" ds:itemID="{33CFADDA-F8F8-43BF-962F-477994AC4784}"/>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8083</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ACFS Research template</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ACFS Research template</dc:title>
  <dc:creator>Ioanna Zografou</dc:creator>
  <cp:lastModifiedBy>Kevin Davis</cp:lastModifiedBy>
  <cp:revision>2</cp:revision>
  <cp:lastPrinted>2017-05-04T06:27:00Z</cp:lastPrinted>
  <dcterms:created xsi:type="dcterms:W3CDTF">2017-05-24T23:03:00Z</dcterms:created>
  <dcterms:modified xsi:type="dcterms:W3CDTF">2017-05-24T23:03:00Z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id="HPB6pgqf"/&gt;&lt;style id="http://www.zotero.org/styles/chicago-author-date" locale="en-US" hasBibliography="1" bibliographyStyleHasBeenSet="0"/&gt;&lt;prefs&gt;&lt;pref name="fieldType" value="Field"/&gt;&lt;pref n</vt:lpwstr>
  </property>
  <property fmtid="{D5CDD505-2E9C-101B-9397-08002B2CF9AE}" pid="3" name="ZOTERO_PREF_2">
    <vt:lpwstr>ame="storeReferences" value="true"/&gt;&lt;pref name="automaticJournalAbbreviations" value="true"/&gt;&lt;pref name="noteType" value=""/&gt;&lt;/prefs&gt;&lt;/data&gt;</vt:lpwstr>
  </property>
  <property fmtid="{D5CDD505-2E9C-101B-9397-08002B2CF9AE}" pid="4" name="_dlc_DocIdItemGuid">
    <vt:lpwstr>736c9f6a-d949-454c-a2d7-5377ebc20175</vt:lpwstr>
  </property>
  <property fmtid="{D5CDD505-2E9C-101B-9397-08002B2CF9AE}" pid="5" name="ContentTypeId">
    <vt:lpwstr>0x010100E95D40E5DFEA714B90E88DB5CE07A6B500935D0CF8835BE447895972B43AB8EC93</vt:lpwstr>
  </property>
  <property fmtid="{D5CDD505-2E9C-101B-9397-08002B2CF9AE}" pid="6" name="TSYRecordClass">
    <vt:lpwstr>2;#TSY RA-9081 - Retain as national archives|bbf0bcde-1687-4ff2-bc57-f31b5d545d4b</vt:lpwstr>
  </property>
</Properties>
</file>