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3431A" w14:textId="16F45B37" w:rsidR="00D27D0A" w:rsidRDefault="00D81D28" w:rsidP="008952D7">
      <w:pPr>
        <w:pStyle w:val="Baseparagraphcentred"/>
      </w:pPr>
      <w:bookmarkStart w:id="0" w:name="_GoBack"/>
      <w:bookmarkEnd w:id="0"/>
      <w:r>
        <w:t>2014</w:t>
      </w:r>
    </w:p>
    <w:p w14:paraId="3CF22B6A" w14:textId="77777777" w:rsidR="00D27D0A" w:rsidRDefault="00D27D0A" w:rsidP="008952D7">
      <w:pPr>
        <w:pStyle w:val="Baseparagraphcentred"/>
      </w:pPr>
    </w:p>
    <w:p w14:paraId="7166763A" w14:textId="4E0D4AB5" w:rsidR="00D27D0A" w:rsidRDefault="00D27D0A" w:rsidP="00D81D28">
      <w:pPr>
        <w:pStyle w:val="Baseparagraphcentred"/>
        <w:jc w:val="left"/>
      </w:pPr>
    </w:p>
    <w:p w14:paraId="02D2761A" w14:textId="77777777" w:rsidR="00D27D0A" w:rsidRDefault="00D27D0A" w:rsidP="008952D7">
      <w:pPr>
        <w:pStyle w:val="Baseparagraphcentred"/>
      </w:pPr>
    </w:p>
    <w:p w14:paraId="5F096DA1" w14:textId="77777777" w:rsidR="00D27D0A" w:rsidRDefault="00D27D0A" w:rsidP="008952D7">
      <w:pPr>
        <w:pStyle w:val="Baseparagraphcentred"/>
      </w:pPr>
    </w:p>
    <w:p w14:paraId="5D07F4BB" w14:textId="425C913F" w:rsidR="00D27D0A" w:rsidRDefault="00D81D28" w:rsidP="008952D7">
      <w:pPr>
        <w:pStyle w:val="Baseparagraphcentred"/>
      </w:pPr>
      <w:r>
        <w:t>EXPOSURE DRAFT</w:t>
      </w:r>
    </w:p>
    <w:p w14:paraId="15448D5E" w14:textId="77777777" w:rsidR="00D27D0A" w:rsidRDefault="00D27D0A" w:rsidP="008952D7">
      <w:pPr>
        <w:pStyle w:val="Baseparagraphcentred"/>
      </w:pPr>
    </w:p>
    <w:p w14:paraId="01F0040D" w14:textId="77777777" w:rsidR="00D27D0A" w:rsidRDefault="00D27D0A" w:rsidP="008952D7">
      <w:pPr>
        <w:pStyle w:val="Baseparagraphcentred"/>
      </w:pPr>
    </w:p>
    <w:p w14:paraId="6FD82356" w14:textId="2C4EE7EE" w:rsidR="00D27D0A" w:rsidRDefault="00D81D28" w:rsidP="008952D7">
      <w:pPr>
        <w:pStyle w:val="BillName"/>
      </w:pPr>
      <w:r>
        <w:t>Tax and Superannuation Laws Amendment (2014 Measures No. 7) Bill 2014: Providing certainty for Superannuation Fund Mergers</w:t>
      </w:r>
    </w:p>
    <w:p w14:paraId="51D0986C" w14:textId="77777777" w:rsidR="00D27D0A" w:rsidRDefault="00D27D0A" w:rsidP="008952D7">
      <w:pPr>
        <w:pStyle w:val="Baseparagraphcentred"/>
      </w:pPr>
    </w:p>
    <w:p w14:paraId="4A745381" w14:textId="77777777" w:rsidR="00D27D0A" w:rsidRDefault="00D27D0A" w:rsidP="008952D7">
      <w:pPr>
        <w:pStyle w:val="Baseparagraphcentred"/>
      </w:pPr>
    </w:p>
    <w:p w14:paraId="6BB467C2" w14:textId="77777777" w:rsidR="00D27D0A" w:rsidRDefault="00D27D0A" w:rsidP="008952D7">
      <w:pPr>
        <w:pStyle w:val="Baseparagraphcentred"/>
      </w:pPr>
    </w:p>
    <w:p w14:paraId="02FD6CE6" w14:textId="77777777" w:rsidR="00D27D0A" w:rsidRDefault="00D27D0A" w:rsidP="008952D7">
      <w:pPr>
        <w:pStyle w:val="Baseparagraphcentred"/>
      </w:pPr>
    </w:p>
    <w:p w14:paraId="4F476AED" w14:textId="79072A83" w:rsidR="00D27D0A" w:rsidRDefault="00D81D28" w:rsidP="008952D7">
      <w:pPr>
        <w:pStyle w:val="Baseparagraphcentred"/>
      </w:pPr>
      <w:r>
        <w:t>EXPLANATORY MATERIAL</w:t>
      </w:r>
    </w:p>
    <w:p w14:paraId="01DDE8DC" w14:textId="77777777" w:rsidR="00D27D0A" w:rsidRDefault="00D27D0A" w:rsidP="008952D7">
      <w:pPr>
        <w:pStyle w:val="Baseparagraphcentred"/>
      </w:pPr>
    </w:p>
    <w:p w14:paraId="393AF379" w14:textId="77777777" w:rsidR="00D27D0A" w:rsidRDefault="00D27D0A" w:rsidP="008952D7">
      <w:pPr>
        <w:pStyle w:val="Baseparagraphcentred"/>
      </w:pPr>
    </w:p>
    <w:p w14:paraId="259B419A" w14:textId="77777777" w:rsidR="00D27D0A" w:rsidRDefault="00D27D0A" w:rsidP="008952D7">
      <w:pPr>
        <w:pStyle w:val="Baseparagraphcentred"/>
      </w:pPr>
    </w:p>
    <w:p w14:paraId="503076DA" w14:textId="77777777" w:rsidR="00D27D0A" w:rsidRDefault="00D27D0A" w:rsidP="008952D7">
      <w:pPr>
        <w:pStyle w:val="Baseparagraphcentred"/>
      </w:pPr>
    </w:p>
    <w:p w14:paraId="0634E2C7" w14:textId="77777777" w:rsidR="00D27D0A" w:rsidRDefault="00D27D0A" w:rsidP="008952D7"/>
    <w:p w14:paraId="35ECA3AA" w14:textId="77777777" w:rsidR="00D27D0A" w:rsidRDefault="00D27D0A" w:rsidP="008952D7">
      <w:pPr>
        <w:sectPr w:rsidR="00D27D0A" w:rsidSect="008952D7">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606C2184" w14:textId="77777777" w:rsidR="00D27D0A" w:rsidRPr="00A03E30" w:rsidRDefault="00D27D0A" w:rsidP="00A03E30"/>
    <w:p w14:paraId="48663882" w14:textId="77777777" w:rsidR="00D27D0A" w:rsidRPr="00D67ADC" w:rsidRDefault="00D27D0A" w:rsidP="008952D7">
      <w:pPr>
        <w:pStyle w:val="Chapterheadingsubdocument"/>
      </w:pPr>
      <w:r w:rsidRPr="00D67ADC">
        <w:t>Glossary</w:t>
      </w:r>
    </w:p>
    <w:p w14:paraId="1492B16A" w14:textId="77777777" w:rsidR="00D27D0A" w:rsidRDefault="00D27D0A" w:rsidP="008952D7">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D27D0A" w:rsidRPr="00123D96" w14:paraId="048D10B2" w14:textId="77777777" w:rsidTr="008952D7">
        <w:tc>
          <w:tcPr>
            <w:tcW w:w="2721" w:type="dxa"/>
          </w:tcPr>
          <w:p w14:paraId="5AACEF58" w14:textId="77777777" w:rsidR="00D27D0A" w:rsidRPr="00123D96" w:rsidRDefault="00D27D0A" w:rsidP="008952D7">
            <w:pPr>
              <w:pStyle w:val="tableheaderwithintable"/>
            </w:pPr>
            <w:r w:rsidRPr="00123D96">
              <w:t>Abbreviation</w:t>
            </w:r>
          </w:p>
        </w:tc>
        <w:tc>
          <w:tcPr>
            <w:tcW w:w="3885" w:type="dxa"/>
          </w:tcPr>
          <w:p w14:paraId="3766F9E1" w14:textId="77777777" w:rsidR="00D27D0A" w:rsidRPr="00123D96" w:rsidRDefault="00D27D0A" w:rsidP="008952D7">
            <w:pPr>
              <w:pStyle w:val="tableheaderwithintable"/>
            </w:pPr>
            <w:r w:rsidRPr="00123D96">
              <w:t>Definition</w:t>
            </w:r>
          </w:p>
        </w:tc>
      </w:tr>
      <w:tr w:rsidR="00D27D0A" w:rsidRPr="002C43E8" w14:paraId="334C47DE" w14:textId="77777777" w:rsidTr="008952D7">
        <w:tc>
          <w:tcPr>
            <w:tcW w:w="2721" w:type="dxa"/>
          </w:tcPr>
          <w:p w14:paraId="32C63BFB" w14:textId="7FEA4F85" w:rsidR="00D27D0A" w:rsidRPr="002C43E8" w:rsidRDefault="006C4351" w:rsidP="008952D7">
            <w:pPr>
              <w:pStyle w:val="Glossarytabletext"/>
              <w:rPr>
                <w:lang w:val="en-US" w:eastAsia="en-US"/>
              </w:rPr>
            </w:pPr>
            <w:r>
              <w:rPr>
                <w:lang w:val="en-US" w:eastAsia="en-US"/>
              </w:rPr>
              <w:t>RSA</w:t>
            </w:r>
          </w:p>
        </w:tc>
        <w:tc>
          <w:tcPr>
            <w:tcW w:w="3885" w:type="dxa"/>
          </w:tcPr>
          <w:p w14:paraId="79F7D250" w14:textId="14719CFD" w:rsidR="00D27D0A" w:rsidRPr="002C43E8" w:rsidRDefault="006C4351" w:rsidP="008952D7">
            <w:pPr>
              <w:pStyle w:val="Glossarytabletext"/>
              <w:rPr>
                <w:lang w:val="en-US" w:eastAsia="en-US"/>
              </w:rPr>
            </w:pPr>
            <w:r>
              <w:rPr>
                <w:lang w:val="en-US" w:eastAsia="en-US"/>
              </w:rPr>
              <w:t>Retirement Savings Account</w:t>
            </w:r>
          </w:p>
        </w:tc>
      </w:tr>
      <w:tr w:rsidR="00D27D0A" w:rsidRPr="002C43E8" w14:paraId="640CAB70" w14:textId="77777777" w:rsidTr="008952D7">
        <w:tc>
          <w:tcPr>
            <w:tcW w:w="2721" w:type="dxa"/>
          </w:tcPr>
          <w:p w14:paraId="106DCC6B" w14:textId="23E51CA0" w:rsidR="00D27D0A" w:rsidRPr="002C43E8" w:rsidRDefault="00BE6DF5" w:rsidP="008952D7">
            <w:pPr>
              <w:pStyle w:val="Glossarytabletext"/>
              <w:rPr>
                <w:lang w:val="en-US" w:eastAsia="en-US"/>
              </w:rPr>
            </w:pPr>
            <w:r>
              <w:rPr>
                <w:lang w:val="en-US" w:eastAsia="en-US"/>
              </w:rPr>
              <w:t xml:space="preserve">ITAA </w:t>
            </w:r>
            <w:r w:rsidR="00B164C2">
              <w:rPr>
                <w:lang w:val="en-US" w:eastAsia="en-US"/>
              </w:rPr>
              <w:t>97</w:t>
            </w:r>
          </w:p>
        </w:tc>
        <w:tc>
          <w:tcPr>
            <w:tcW w:w="3885" w:type="dxa"/>
          </w:tcPr>
          <w:p w14:paraId="5F47E442" w14:textId="602D3724" w:rsidR="00D27D0A" w:rsidRPr="00BE6DF5" w:rsidRDefault="00BE6DF5" w:rsidP="008952D7">
            <w:pPr>
              <w:pStyle w:val="Glossarytabletext"/>
              <w:rPr>
                <w:lang w:val="en-US" w:eastAsia="en-US"/>
              </w:rPr>
            </w:pPr>
            <w:r w:rsidRPr="00BE6DF5">
              <w:t>Income Tax Assessment Act 1997</w:t>
            </w:r>
          </w:p>
        </w:tc>
      </w:tr>
      <w:tr w:rsidR="00D27D0A" w:rsidRPr="002C43E8" w14:paraId="7F8D8206" w14:textId="77777777" w:rsidTr="008952D7">
        <w:tc>
          <w:tcPr>
            <w:tcW w:w="2721" w:type="dxa"/>
          </w:tcPr>
          <w:p w14:paraId="5519E45E" w14:textId="4B01FEDA" w:rsidR="00D27D0A" w:rsidRPr="002C43E8" w:rsidRDefault="00BE6DF5" w:rsidP="008952D7">
            <w:pPr>
              <w:pStyle w:val="Glossarytabletext"/>
              <w:rPr>
                <w:lang w:val="en-US" w:eastAsia="en-US"/>
              </w:rPr>
            </w:pPr>
            <w:r>
              <w:rPr>
                <w:lang w:val="en-US" w:eastAsia="en-US"/>
              </w:rPr>
              <w:t xml:space="preserve">TAA </w:t>
            </w:r>
          </w:p>
        </w:tc>
        <w:tc>
          <w:tcPr>
            <w:tcW w:w="3885" w:type="dxa"/>
          </w:tcPr>
          <w:p w14:paraId="5D5ACD94" w14:textId="4B4351AB" w:rsidR="00D27D0A" w:rsidRPr="00BE6DF5" w:rsidRDefault="00BE6DF5" w:rsidP="008952D7">
            <w:pPr>
              <w:pStyle w:val="Glossarytabletext"/>
              <w:rPr>
                <w:lang w:val="en-US" w:eastAsia="en-US"/>
              </w:rPr>
            </w:pPr>
            <w:r w:rsidRPr="00BE6DF5">
              <w:t>Taxation Administration Act 1953</w:t>
            </w:r>
          </w:p>
        </w:tc>
      </w:tr>
      <w:tr w:rsidR="00D27D0A" w:rsidRPr="002C43E8" w14:paraId="62D7AA6D" w14:textId="77777777" w:rsidTr="008952D7">
        <w:tc>
          <w:tcPr>
            <w:tcW w:w="2721" w:type="dxa"/>
          </w:tcPr>
          <w:p w14:paraId="72C22985" w14:textId="3FBE7AB0" w:rsidR="00D27D0A" w:rsidRPr="002C43E8" w:rsidRDefault="00BE6DF5" w:rsidP="008952D7">
            <w:pPr>
              <w:pStyle w:val="Glossarytabletext"/>
              <w:rPr>
                <w:lang w:val="en-US" w:eastAsia="en-US"/>
              </w:rPr>
            </w:pPr>
            <w:r>
              <w:rPr>
                <w:lang w:val="en-US" w:eastAsia="en-US"/>
              </w:rPr>
              <w:t>SISA</w:t>
            </w:r>
          </w:p>
        </w:tc>
        <w:tc>
          <w:tcPr>
            <w:tcW w:w="3885" w:type="dxa"/>
          </w:tcPr>
          <w:p w14:paraId="1DBFD193" w14:textId="581FA62F" w:rsidR="00D27D0A" w:rsidRPr="00BE6DF5" w:rsidRDefault="00BE6DF5" w:rsidP="008952D7">
            <w:pPr>
              <w:pStyle w:val="Glossarytabletext"/>
              <w:rPr>
                <w:lang w:val="en-US" w:eastAsia="en-US"/>
              </w:rPr>
            </w:pPr>
            <w:r w:rsidRPr="00BE6DF5">
              <w:t>Superannuation Industry (Supervision) Act 1993</w:t>
            </w:r>
          </w:p>
        </w:tc>
      </w:tr>
      <w:tr w:rsidR="00D27D0A" w:rsidRPr="002C43E8" w14:paraId="1A20F1E4" w14:textId="77777777" w:rsidTr="008952D7">
        <w:tc>
          <w:tcPr>
            <w:tcW w:w="2721" w:type="dxa"/>
          </w:tcPr>
          <w:p w14:paraId="06B1F004" w14:textId="77777777" w:rsidR="00D27D0A" w:rsidRPr="002C43E8" w:rsidRDefault="00D27D0A" w:rsidP="008952D7">
            <w:pPr>
              <w:pStyle w:val="Glossarytabletext"/>
              <w:rPr>
                <w:lang w:val="en-US" w:eastAsia="en-US"/>
              </w:rPr>
            </w:pPr>
          </w:p>
        </w:tc>
        <w:tc>
          <w:tcPr>
            <w:tcW w:w="3885" w:type="dxa"/>
          </w:tcPr>
          <w:p w14:paraId="735189D0" w14:textId="77777777" w:rsidR="00D27D0A" w:rsidRPr="002C43E8" w:rsidRDefault="00D27D0A" w:rsidP="008952D7">
            <w:pPr>
              <w:pStyle w:val="Glossarytabletext"/>
              <w:rPr>
                <w:lang w:val="en-US" w:eastAsia="en-US"/>
              </w:rPr>
            </w:pPr>
          </w:p>
        </w:tc>
      </w:tr>
      <w:tr w:rsidR="00D27D0A" w:rsidRPr="002C43E8" w14:paraId="67EFC278" w14:textId="77777777" w:rsidTr="008952D7">
        <w:tc>
          <w:tcPr>
            <w:tcW w:w="2721" w:type="dxa"/>
          </w:tcPr>
          <w:p w14:paraId="7CEC7EEF" w14:textId="77777777" w:rsidR="00D27D0A" w:rsidRPr="002C43E8" w:rsidRDefault="00D27D0A" w:rsidP="008952D7">
            <w:pPr>
              <w:pStyle w:val="Glossarytabletext"/>
              <w:rPr>
                <w:lang w:val="en-US" w:eastAsia="en-US"/>
              </w:rPr>
            </w:pPr>
          </w:p>
        </w:tc>
        <w:tc>
          <w:tcPr>
            <w:tcW w:w="3885" w:type="dxa"/>
          </w:tcPr>
          <w:p w14:paraId="17CE7F21" w14:textId="77777777" w:rsidR="00D27D0A" w:rsidRPr="002C43E8" w:rsidRDefault="00D27D0A" w:rsidP="008952D7">
            <w:pPr>
              <w:pStyle w:val="Glossarytabletext"/>
              <w:rPr>
                <w:lang w:val="en-US" w:eastAsia="en-US"/>
              </w:rPr>
            </w:pPr>
          </w:p>
        </w:tc>
      </w:tr>
      <w:tr w:rsidR="00D27D0A" w:rsidRPr="002C43E8" w14:paraId="78B50DC6" w14:textId="77777777" w:rsidTr="008952D7">
        <w:tc>
          <w:tcPr>
            <w:tcW w:w="2721" w:type="dxa"/>
          </w:tcPr>
          <w:p w14:paraId="7404593F" w14:textId="77777777" w:rsidR="00D27D0A" w:rsidRPr="002C43E8" w:rsidRDefault="00D27D0A" w:rsidP="008952D7">
            <w:pPr>
              <w:pStyle w:val="Glossarytabletext"/>
              <w:rPr>
                <w:lang w:val="en-US" w:eastAsia="en-US"/>
              </w:rPr>
            </w:pPr>
          </w:p>
        </w:tc>
        <w:tc>
          <w:tcPr>
            <w:tcW w:w="3885" w:type="dxa"/>
          </w:tcPr>
          <w:p w14:paraId="65E0B60D" w14:textId="77777777" w:rsidR="00D27D0A" w:rsidRPr="002C43E8" w:rsidRDefault="00D27D0A" w:rsidP="008952D7">
            <w:pPr>
              <w:pStyle w:val="Glossarytabletext"/>
              <w:rPr>
                <w:lang w:val="en-US" w:eastAsia="en-US"/>
              </w:rPr>
            </w:pPr>
          </w:p>
        </w:tc>
      </w:tr>
      <w:tr w:rsidR="00D27D0A" w:rsidRPr="002C43E8" w14:paraId="2BC18FB7" w14:textId="77777777" w:rsidTr="008952D7">
        <w:tc>
          <w:tcPr>
            <w:tcW w:w="2721" w:type="dxa"/>
          </w:tcPr>
          <w:p w14:paraId="54DE6B33" w14:textId="77777777" w:rsidR="00D27D0A" w:rsidRPr="002C43E8" w:rsidRDefault="00D27D0A" w:rsidP="008952D7">
            <w:pPr>
              <w:pStyle w:val="Glossarytabletext"/>
              <w:rPr>
                <w:lang w:val="en-US" w:eastAsia="en-US"/>
              </w:rPr>
            </w:pPr>
          </w:p>
        </w:tc>
        <w:tc>
          <w:tcPr>
            <w:tcW w:w="3885" w:type="dxa"/>
          </w:tcPr>
          <w:p w14:paraId="73C3708C" w14:textId="77777777" w:rsidR="00D27D0A" w:rsidRPr="002C43E8" w:rsidRDefault="00D27D0A" w:rsidP="008952D7">
            <w:pPr>
              <w:pStyle w:val="Glossarytabletext"/>
              <w:rPr>
                <w:lang w:val="en-US" w:eastAsia="en-US"/>
              </w:rPr>
            </w:pPr>
          </w:p>
        </w:tc>
      </w:tr>
      <w:tr w:rsidR="00D27D0A" w:rsidRPr="002C43E8" w14:paraId="08FBB8E8" w14:textId="77777777" w:rsidTr="008952D7">
        <w:tc>
          <w:tcPr>
            <w:tcW w:w="2721" w:type="dxa"/>
          </w:tcPr>
          <w:p w14:paraId="3BB325B0" w14:textId="77777777" w:rsidR="00D27D0A" w:rsidRPr="002C43E8" w:rsidRDefault="00D27D0A" w:rsidP="008952D7">
            <w:pPr>
              <w:pStyle w:val="Glossarytabletext"/>
              <w:rPr>
                <w:lang w:val="en-US" w:eastAsia="en-US"/>
              </w:rPr>
            </w:pPr>
          </w:p>
        </w:tc>
        <w:tc>
          <w:tcPr>
            <w:tcW w:w="3885" w:type="dxa"/>
          </w:tcPr>
          <w:p w14:paraId="62B9B258" w14:textId="77777777" w:rsidR="00D27D0A" w:rsidRPr="002C43E8" w:rsidRDefault="00D27D0A" w:rsidP="008952D7">
            <w:pPr>
              <w:pStyle w:val="Glossarytabletext"/>
              <w:rPr>
                <w:lang w:val="en-US" w:eastAsia="en-US"/>
              </w:rPr>
            </w:pPr>
          </w:p>
        </w:tc>
      </w:tr>
      <w:tr w:rsidR="00D27D0A" w:rsidRPr="002C43E8" w14:paraId="6F73C46E" w14:textId="77777777" w:rsidTr="008952D7">
        <w:tc>
          <w:tcPr>
            <w:tcW w:w="2721" w:type="dxa"/>
          </w:tcPr>
          <w:p w14:paraId="3BF15514" w14:textId="77777777" w:rsidR="00D27D0A" w:rsidRPr="002C43E8" w:rsidRDefault="00D27D0A" w:rsidP="008952D7">
            <w:pPr>
              <w:pStyle w:val="Glossarytabletext"/>
              <w:rPr>
                <w:lang w:val="en-US" w:eastAsia="en-US"/>
              </w:rPr>
            </w:pPr>
          </w:p>
        </w:tc>
        <w:tc>
          <w:tcPr>
            <w:tcW w:w="3885" w:type="dxa"/>
          </w:tcPr>
          <w:p w14:paraId="3459ADF8" w14:textId="77777777" w:rsidR="00D27D0A" w:rsidRPr="002C43E8" w:rsidRDefault="00D27D0A" w:rsidP="008952D7">
            <w:pPr>
              <w:pStyle w:val="Glossarytabletext"/>
              <w:rPr>
                <w:lang w:val="en-US" w:eastAsia="en-US"/>
              </w:rPr>
            </w:pPr>
          </w:p>
        </w:tc>
      </w:tr>
      <w:tr w:rsidR="00D27D0A" w:rsidRPr="002C43E8" w14:paraId="1E90B1D6" w14:textId="77777777" w:rsidTr="008952D7">
        <w:tc>
          <w:tcPr>
            <w:tcW w:w="2721" w:type="dxa"/>
          </w:tcPr>
          <w:p w14:paraId="474398C9" w14:textId="77777777" w:rsidR="00D27D0A" w:rsidRPr="002C43E8" w:rsidRDefault="00D27D0A" w:rsidP="008952D7">
            <w:pPr>
              <w:pStyle w:val="Glossarytabletext"/>
              <w:rPr>
                <w:lang w:val="en-US" w:eastAsia="en-US"/>
              </w:rPr>
            </w:pPr>
          </w:p>
        </w:tc>
        <w:tc>
          <w:tcPr>
            <w:tcW w:w="3885" w:type="dxa"/>
          </w:tcPr>
          <w:p w14:paraId="0749355C" w14:textId="77777777" w:rsidR="00D27D0A" w:rsidRPr="002C43E8" w:rsidRDefault="00D27D0A" w:rsidP="008952D7">
            <w:pPr>
              <w:pStyle w:val="Glossarytabletext"/>
              <w:rPr>
                <w:lang w:val="en-US" w:eastAsia="en-US"/>
              </w:rPr>
            </w:pPr>
          </w:p>
        </w:tc>
      </w:tr>
      <w:tr w:rsidR="00D27D0A" w:rsidRPr="002C43E8" w14:paraId="3CF03073" w14:textId="77777777" w:rsidTr="008952D7">
        <w:tc>
          <w:tcPr>
            <w:tcW w:w="2721" w:type="dxa"/>
          </w:tcPr>
          <w:p w14:paraId="3003270D" w14:textId="77777777" w:rsidR="00D27D0A" w:rsidRPr="002C43E8" w:rsidRDefault="00D27D0A" w:rsidP="008952D7">
            <w:pPr>
              <w:pStyle w:val="Glossarytabletext"/>
              <w:rPr>
                <w:lang w:val="en-US" w:eastAsia="en-US"/>
              </w:rPr>
            </w:pPr>
          </w:p>
        </w:tc>
        <w:tc>
          <w:tcPr>
            <w:tcW w:w="3885" w:type="dxa"/>
          </w:tcPr>
          <w:p w14:paraId="03FDDC11" w14:textId="77777777" w:rsidR="00D27D0A" w:rsidRPr="002C43E8" w:rsidRDefault="00D27D0A" w:rsidP="008952D7">
            <w:pPr>
              <w:pStyle w:val="Glossarytabletext"/>
              <w:rPr>
                <w:lang w:val="en-US" w:eastAsia="en-US"/>
              </w:rPr>
            </w:pPr>
          </w:p>
        </w:tc>
      </w:tr>
      <w:tr w:rsidR="00D27D0A" w:rsidRPr="002C43E8" w14:paraId="4AB19AD7" w14:textId="77777777" w:rsidTr="008952D7">
        <w:tc>
          <w:tcPr>
            <w:tcW w:w="2721" w:type="dxa"/>
          </w:tcPr>
          <w:p w14:paraId="657F6F10" w14:textId="77777777" w:rsidR="00D27D0A" w:rsidRPr="002C43E8" w:rsidRDefault="00D27D0A" w:rsidP="008952D7">
            <w:pPr>
              <w:pStyle w:val="Glossarytabletext"/>
              <w:rPr>
                <w:lang w:val="en-US" w:eastAsia="en-US"/>
              </w:rPr>
            </w:pPr>
          </w:p>
        </w:tc>
        <w:tc>
          <w:tcPr>
            <w:tcW w:w="3885" w:type="dxa"/>
          </w:tcPr>
          <w:p w14:paraId="64D496FF" w14:textId="77777777" w:rsidR="00D27D0A" w:rsidRPr="002C43E8" w:rsidRDefault="00D27D0A" w:rsidP="008952D7">
            <w:pPr>
              <w:pStyle w:val="Glossarytabletext"/>
              <w:rPr>
                <w:lang w:val="en-US" w:eastAsia="en-US"/>
              </w:rPr>
            </w:pPr>
          </w:p>
        </w:tc>
      </w:tr>
      <w:tr w:rsidR="00D27D0A" w:rsidRPr="002C43E8" w14:paraId="49B20570" w14:textId="77777777" w:rsidTr="008952D7">
        <w:tc>
          <w:tcPr>
            <w:tcW w:w="2721" w:type="dxa"/>
          </w:tcPr>
          <w:p w14:paraId="1A8DFAA8" w14:textId="77777777" w:rsidR="00D27D0A" w:rsidRPr="002C43E8" w:rsidRDefault="00D27D0A" w:rsidP="008952D7">
            <w:pPr>
              <w:pStyle w:val="Glossarytabletext"/>
              <w:rPr>
                <w:lang w:val="en-US" w:eastAsia="en-US"/>
              </w:rPr>
            </w:pPr>
          </w:p>
        </w:tc>
        <w:tc>
          <w:tcPr>
            <w:tcW w:w="3885" w:type="dxa"/>
          </w:tcPr>
          <w:p w14:paraId="53D5BC9F" w14:textId="77777777" w:rsidR="00D27D0A" w:rsidRPr="002C43E8" w:rsidRDefault="00D27D0A" w:rsidP="008952D7">
            <w:pPr>
              <w:pStyle w:val="Glossarytabletext"/>
              <w:rPr>
                <w:lang w:val="en-US" w:eastAsia="en-US"/>
              </w:rPr>
            </w:pPr>
          </w:p>
        </w:tc>
      </w:tr>
      <w:tr w:rsidR="00D27D0A" w:rsidRPr="002C43E8" w14:paraId="4CAEEBA5" w14:textId="77777777" w:rsidTr="008952D7">
        <w:tc>
          <w:tcPr>
            <w:tcW w:w="2721" w:type="dxa"/>
          </w:tcPr>
          <w:p w14:paraId="4D87862F" w14:textId="77777777" w:rsidR="00D27D0A" w:rsidRPr="002C43E8" w:rsidRDefault="00D27D0A" w:rsidP="008952D7">
            <w:pPr>
              <w:pStyle w:val="Glossarytabletext"/>
              <w:rPr>
                <w:lang w:val="en-US" w:eastAsia="en-US"/>
              </w:rPr>
            </w:pPr>
          </w:p>
        </w:tc>
        <w:tc>
          <w:tcPr>
            <w:tcW w:w="3885" w:type="dxa"/>
          </w:tcPr>
          <w:p w14:paraId="63339383" w14:textId="77777777" w:rsidR="00D27D0A" w:rsidRPr="002C43E8" w:rsidRDefault="00D27D0A" w:rsidP="008952D7">
            <w:pPr>
              <w:pStyle w:val="Glossarytabletext"/>
              <w:rPr>
                <w:lang w:val="en-US" w:eastAsia="en-US"/>
              </w:rPr>
            </w:pPr>
          </w:p>
        </w:tc>
      </w:tr>
      <w:tr w:rsidR="00D27D0A" w:rsidRPr="002C43E8" w14:paraId="54D220B0" w14:textId="77777777" w:rsidTr="008952D7">
        <w:tc>
          <w:tcPr>
            <w:tcW w:w="2721" w:type="dxa"/>
          </w:tcPr>
          <w:p w14:paraId="6D92F7B9" w14:textId="77777777" w:rsidR="00D27D0A" w:rsidRPr="002C43E8" w:rsidRDefault="00D27D0A" w:rsidP="008952D7">
            <w:pPr>
              <w:pStyle w:val="Glossarytabletext"/>
              <w:rPr>
                <w:lang w:val="en-US" w:eastAsia="en-US"/>
              </w:rPr>
            </w:pPr>
          </w:p>
        </w:tc>
        <w:tc>
          <w:tcPr>
            <w:tcW w:w="3885" w:type="dxa"/>
          </w:tcPr>
          <w:p w14:paraId="3A366BCB" w14:textId="77777777" w:rsidR="00D27D0A" w:rsidRPr="002C43E8" w:rsidRDefault="00D27D0A" w:rsidP="008952D7">
            <w:pPr>
              <w:pStyle w:val="Glossarytabletext"/>
              <w:rPr>
                <w:lang w:val="en-US" w:eastAsia="en-US"/>
              </w:rPr>
            </w:pPr>
          </w:p>
        </w:tc>
      </w:tr>
      <w:tr w:rsidR="00D27D0A" w:rsidRPr="002C43E8" w14:paraId="2EFED7FD" w14:textId="77777777" w:rsidTr="008952D7">
        <w:tc>
          <w:tcPr>
            <w:tcW w:w="2721" w:type="dxa"/>
          </w:tcPr>
          <w:p w14:paraId="1C3CE6E4" w14:textId="77777777" w:rsidR="00D27D0A" w:rsidRPr="002C43E8" w:rsidRDefault="00D27D0A" w:rsidP="008952D7">
            <w:pPr>
              <w:pStyle w:val="Glossarytabletext"/>
              <w:rPr>
                <w:lang w:val="en-US" w:eastAsia="en-US"/>
              </w:rPr>
            </w:pPr>
          </w:p>
        </w:tc>
        <w:tc>
          <w:tcPr>
            <w:tcW w:w="3885" w:type="dxa"/>
          </w:tcPr>
          <w:p w14:paraId="67728255" w14:textId="77777777" w:rsidR="00D27D0A" w:rsidRPr="002C43E8" w:rsidRDefault="00D27D0A" w:rsidP="008952D7">
            <w:pPr>
              <w:pStyle w:val="Glossarytabletext"/>
              <w:rPr>
                <w:lang w:val="en-US" w:eastAsia="en-US"/>
              </w:rPr>
            </w:pPr>
          </w:p>
        </w:tc>
      </w:tr>
      <w:tr w:rsidR="00D27D0A" w:rsidRPr="002C43E8" w14:paraId="3BC972DD" w14:textId="77777777" w:rsidTr="008952D7">
        <w:tc>
          <w:tcPr>
            <w:tcW w:w="2721" w:type="dxa"/>
          </w:tcPr>
          <w:p w14:paraId="01B0C7FA" w14:textId="77777777" w:rsidR="00D27D0A" w:rsidRPr="002C43E8" w:rsidRDefault="00D27D0A" w:rsidP="008952D7">
            <w:pPr>
              <w:pStyle w:val="Glossarytabletext"/>
              <w:rPr>
                <w:lang w:val="en-US" w:eastAsia="en-US"/>
              </w:rPr>
            </w:pPr>
          </w:p>
        </w:tc>
        <w:tc>
          <w:tcPr>
            <w:tcW w:w="3885" w:type="dxa"/>
          </w:tcPr>
          <w:p w14:paraId="75F464BC" w14:textId="77777777" w:rsidR="00D27D0A" w:rsidRPr="002C43E8" w:rsidRDefault="00D27D0A" w:rsidP="008952D7">
            <w:pPr>
              <w:pStyle w:val="Glossarytabletext"/>
              <w:rPr>
                <w:lang w:val="en-US" w:eastAsia="en-US"/>
              </w:rPr>
            </w:pPr>
          </w:p>
        </w:tc>
      </w:tr>
      <w:tr w:rsidR="00D27D0A" w:rsidRPr="002C43E8" w14:paraId="3D30B5A1" w14:textId="77777777" w:rsidTr="008952D7">
        <w:tc>
          <w:tcPr>
            <w:tcW w:w="2721" w:type="dxa"/>
          </w:tcPr>
          <w:p w14:paraId="3A486EB6" w14:textId="77777777" w:rsidR="00D27D0A" w:rsidRPr="002C43E8" w:rsidRDefault="00D27D0A" w:rsidP="008952D7">
            <w:pPr>
              <w:pStyle w:val="Glossarytabletext"/>
              <w:rPr>
                <w:lang w:val="en-US" w:eastAsia="en-US"/>
              </w:rPr>
            </w:pPr>
          </w:p>
        </w:tc>
        <w:tc>
          <w:tcPr>
            <w:tcW w:w="3885" w:type="dxa"/>
          </w:tcPr>
          <w:p w14:paraId="07CC2193" w14:textId="77777777" w:rsidR="00D27D0A" w:rsidRPr="002C43E8" w:rsidRDefault="00D27D0A" w:rsidP="008952D7">
            <w:pPr>
              <w:pStyle w:val="Glossarytabletext"/>
              <w:rPr>
                <w:lang w:val="en-US" w:eastAsia="en-US"/>
              </w:rPr>
            </w:pPr>
          </w:p>
        </w:tc>
      </w:tr>
      <w:tr w:rsidR="00D27D0A" w:rsidRPr="002C43E8" w14:paraId="4F4A34E9" w14:textId="77777777" w:rsidTr="008952D7">
        <w:tc>
          <w:tcPr>
            <w:tcW w:w="2721" w:type="dxa"/>
          </w:tcPr>
          <w:p w14:paraId="10B4C84B" w14:textId="77777777" w:rsidR="00D27D0A" w:rsidRPr="002C43E8" w:rsidRDefault="00D27D0A" w:rsidP="008952D7">
            <w:pPr>
              <w:pStyle w:val="Glossarytabletext"/>
              <w:rPr>
                <w:lang w:val="en-US" w:eastAsia="en-US"/>
              </w:rPr>
            </w:pPr>
          </w:p>
        </w:tc>
        <w:tc>
          <w:tcPr>
            <w:tcW w:w="3885" w:type="dxa"/>
          </w:tcPr>
          <w:p w14:paraId="0274A0D1" w14:textId="77777777" w:rsidR="00D27D0A" w:rsidRPr="002C43E8" w:rsidRDefault="00D27D0A" w:rsidP="008952D7">
            <w:pPr>
              <w:pStyle w:val="Glossarytabletext"/>
              <w:rPr>
                <w:lang w:val="en-US" w:eastAsia="en-US"/>
              </w:rPr>
            </w:pPr>
          </w:p>
        </w:tc>
      </w:tr>
      <w:tr w:rsidR="00D27D0A" w:rsidRPr="002C43E8" w14:paraId="25E4C0F5" w14:textId="77777777" w:rsidTr="008952D7">
        <w:tc>
          <w:tcPr>
            <w:tcW w:w="2721" w:type="dxa"/>
          </w:tcPr>
          <w:p w14:paraId="6CDCB752" w14:textId="77777777" w:rsidR="00D27D0A" w:rsidRPr="002C43E8" w:rsidRDefault="00D27D0A" w:rsidP="008952D7">
            <w:pPr>
              <w:pStyle w:val="Glossarytabletext"/>
              <w:rPr>
                <w:lang w:val="en-US" w:eastAsia="en-US"/>
              </w:rPr>
            </w:pPr>
          </w:p>
        </w:tc>
        <w:tc>
          <w:tcPr>
            <w:tcW w:w="3885" w:type="dxa"/>
          </w:tcPr>
          <w:p w14:paraId="6A71AC1D" w14:textId="77777777" w:rsidR="00D27D0A" w:rsidRPr="002C43E8" w:rsidRDefault="00D27D0A" w:rsidP="008952D7">
            <w:pPr>
              <w:pStyle w:val="Glossarytabletext"/>
              <w:rPr>
                <w:lang w:val="en-US" w:eastAsia="en-US"/>
              </w:rPr>
            </w:pPr>
          </w:p>
        </w:tc>
      </w:tr>
      <w:tr w:rsidR="00D27D0A" w:rsidRPr="002C43E8" w14:paraId="26ED55C3" w14:textId="77777777" w:rsidTr="008952D7">
        <w:tc>
          <w:tcPr>
            <w:tcW w:w="2721" w:type="dxa"/>
          </w:tcPr>
          <w:p w14:paraId="53CB4A79" w14:textId="77777777" w:rsidR="00D27D0A" w:rsidRPr="002C43E8" w:rsidRDefault="00D27D0A" w:rsidP="008952D7">
            <w:pPr>
              <w:pStyle w:val="Glossarytabletext"/>
              <w:rPr>
                <w:lang w:val="en-US" w:eastAsia="en-US"/>
              </w:rPr>
            </w:pPr>
          </w:p>
        </w:tc>
        <w:tc>
          <w:tcPr>
            <w:tcW w:w="3885" w:type="dxa"/>
          </w:tcPr>
          <w:p w14:paraId="38F4EB22" w14:textId="77777777" w:rsidR="00D27D0A" w:rsidRPr="002C43E8" w:rsidRDefault="00D27D0A" w:rsidP="008952D7">
            <w:pPr>
              <w:pStyle w:val="Glossarytabletext"/>
              <w:rPr>
                <w:lang w:val="en-US" w:eastAsia="en-US"/>
              </w:rPr>
            </w:pPr>
          </w:p>
        </w:tc>
      </w:tr>
      <w:tr w:rsidR="00D27D0A" w:rsidRPr="002C43E8" w14:paraId="00D035EE" w14:textId="77777777" w:rsidTr="008952D7">
        <w:tc>
          <w:tcPr>
            <w:tcW w:w="2721" w:type="dxa"/>
          </w:tcPr>
          <w:p w14:paraId="79FFEE95" w14:textId="77777777" w:rsidR="00D27D0A" w:rsidRPr="002C43E8" w:rsidRDefault="00D27D0A" w:rsidP="008952D7">
            <w:pPr>
              <w:pStyle w:val="Glossarytabletext"/>
              <w:rPr>
                <w:lang w:val="en-US" w:eastAsia="en-US"/>
              </w:rPr>
            </w:pPr>
          </w:p>
        </w:tc>
        <w:tc>
          <w:tcPr>
            <w:tcW w:w="3885" w:type="dxa"/>
          </w:tcPr>
          <w:p w14:paraId="6A70B4AD" w14:textId="77777777" w:rsidR="00D27D0A" w:rsidRPr="002C43E8" w:rsidRDefault="00D27D0A" w:rsidP="008952D7">
            <w:pPr>
              <w:pStyle w:val="Glossarytabletext"/>
              <w:rPr>
                <w:lang w:val="en-US" w:eastAsia="en-US"/>
              </w:rPr>
            </w:pPr>
          </w:p>
        </w:tc>
      </w:tr>
    </w:tbl>
    <w:p w14:paraId="4EB1A036" w14:textId="77777777" w:rsidR="00D27D0A" w:rsidRDefault="00D27D0A" w:rsidP="008952D7">
      <w:pPr>
        <w:sectPr w:rsidR="00D27D0A" w:rsidSect="008952D7">
          <w:headerReference w:type="even" r:id="rId15"/>
          <w:headerReference w:type="default" r:id="rId16"/>
          <w:footerReference w:type="even" r:id="rId17"/>
          <w:footerReference w:type="default" r:id="rId18"/>
          <w:footerReference w:type="first" r:id="rId19"/>
          <w:type w:val="oddPage"/>
          <w:pgSz w:w="11906" w:h="16838" w:code="9"/>
          <w:pgMar w:top="2466" w:right="2098" w:bottom="2466" w:left="2098" w:header="1559" w:footer="1899" w:gutter="0"/>
          <w:pgNumType w:start="1"/>
          <w:cols w:space="708"/>
          <w:titlePg/>
          <w:docGrid w:linePitch="360"/>
        </w:sectPr>
      </w:pPr>
    </w:p>
    <w:p w14:paraId="795DBC8A" w14:textId="77777777" w:rsidR="00D27D0A" w:rsidRPr="007439D0" w:rsidRDefault="00D27D0A" w:rsidP="007439D0"/>
    <w:p w14:paraId="59B90F07" w14:textId="788C183E" w:rsidR="00D27D0A" w:rsidRPr="00F51A71" w:rsidRDefault="00E04674" w:rsidP="00E04674">
      <w:pPr>
        <w:pStyle w:val="ChapterHeading"/>
        <w:numPr>
          <w:ilvl w:val="0"/>
          <w:numId w:val="0"/>
        </w:numPr>
      </w:pPr>
      <w:r>
        <w:t>Chapter</w:t>
      </w:r>
      <w:r w:rsidR="00D27D0A" w:rsidRPr="00F51A71">
        <w:br/>
      </w:r>
      <w:r>
        <w:t>Providing certainty for superannuation fund mergers</w:t>
      </w:r>
    </w:p>
    <w:p w14:paraId="2B8252A4" w14:textId="77777777" w:rsidR="00D27D0A" w:rsidRDefault="00D27D0A" w:rsidP="008952D7">
      <w:pPr>
        <w:pStyle w:val="Heading2"/>
      </w:pPr>
      <w:r>
        <w:t>Outline of chapter</w:t>
      </w:r>
    </w:p>
    <w:p w14:paraId="41A921EA" w14:textId="423E3390" w:rsidR="00D27D0A" w:rsidRDefault="00134A51" w:rsidP="008952D7">
      <w:pPr>
        <w:pStyle w:val="base-text-paragraph"/>
      </w:pPr>
      <w:r>
        <w:t>Sc</w:t>
      </w:r>
      <w:r w:rsidR="00666DB1">
        <w:t>hedule #</w:t>
      </w:r>
      <w:r w:rsidR="00BD5337">
        <w:t xml:space="preserve"> of the Bill will amend</w:t>
      </w:r>
      <w:r>
        <w:t xml:space="preserve"> the </w:t>
      </w:r>
      <w:r w:rsidRPr="007253C1">
        <w:rPr>
          <w:i/>
        </w:rPr>
        <w:t>Income Tax Assessment Act 1997</w:t>
      </w:r>
      <w:r>
        <w:t xml:space="preserve"> </w:t>
      </w:r>
      <w:r w:rsidR="00F537A5">
        <w:t xml:space="preserve">(ITAA 97) </w:t>
      </w:r>
      <w:r>
        <w:t>to ensure that individual</w:t>
      </w:r>
      <w:r w:rsidR="00753709">
        <w:t xml:space="preserve">s whose superannuation </w:t>
      </w:r>
      <w:r w:rsidR="007253C1">
        <w:t>benefits are involuntarily transf</w:t>
      </w:r>
      <w:r w:rsidR="00891EEA">
        <w:t>erred from one</w:t>
      </w:r>
      <w:r w:rsidR="00651399">
        <w:t xml:space="preserve"> superannuation plan</w:t>
      </w:r>
      <w:r w:rsidR="007253C1">
        <w:t xml:space="preserve"> to another </w:t>
      </w:r>
      <w:r w:rsidR="00651399">
        <w:t xml:space="preserve"> plan</w:t>
      </w:r>
      <w:r>
        <w:t xml:space="preserve"> without their request or consent are not disadvantaged</w:t>
      </w:r>
      <w:r w:rsidR="000101B2">
        <w:t xml:space="preserve"> through the application of the proportioning rule to their benefits</w:t>
      </w:r>
      <w:r>
        <w:t xml:space="preserve">. </w:t>
      </w:r>
      <w:r w:rsidR="00C64EE2">
        <w:t xml:space="preserve"> </w:t>
      </w:r>
      <w:r w:rsidR="00666DB1">
        <w:t xml:space="preserve"> Schedule #</w:t>
      </w:r>
      <w:r w:rsidR="006D6607">
        <w:t xml:space="preserve"> of the Bill will also amend</w:t>
      </w:r>
      <w:r w:rsidR="00C64EE2">
        <w:t xml:space="preserve"> the </w:t>
      </w:r>
      <w:r w:rsidR="00C64EE2" w:rsidRPr="007253C1">
        <w:rPr>
          <w:i/>
        </w:rPr>
        <w:t>Taxation Administration Act 1953</w:t>
      </w:r>
      <w:r w:rsidR="00F537A5">
        <w:rPr>
          <w:i/>
        </w:rPr>
        <w:t xml:space="preserve"> </w:t>
      </w:r>
      <w:r w:rsidR="00F537A5">
        <w:t>(TAA)</w:t>
      </w:r>
      <w:r w:rsidR="00C64EE2">
        <w:rPr>
          <w:i/>
        </w:rPr>
        <w:t xml:space="preserve"> </w:t>
      </w:r>
      <w:r w:rsidR="00011C44">
        <w:t>to remove</w:t>
      </w:r>
      <w:r w:rsidR="006D6607">
        <w:t xml:space="preserve"> the need for a</w:t>
      </w:r>
      <w:r w:rsidR="00C64EE2">
        <w:t xml:space="preserve"> roll</w:t>
      </w:r>
      <w:r w:rsidR="006D6607">
        <w:t>-</w:t>
      </w:r>
      <w:r w:rsidR="00C64EE2">
        <w:t xml:space="preserve">over benefit statement to be </w:t>
      </w:r>
      <w:r w:rsidR="00753709">
        <w:t>provided to an individual whose superannuation benefits are</w:t>
      </w:r>
      <w:r w:rsidR="006B0FDC">
        <w:t xml:space="preserve"> involuntarily</w:t>
      </w:r>
      <w:r w:rsidR="00753709">
        <w:t xml:space="preserve"> transferred</w:t>
      </w:r>
      <w:r w:rsidR="006D6607">
        <w:t>.</w:t>
      </w:r>
    </w:p>
    <w:p w14:paraId="1086DAAA" w14:textId="77777777" w:rsidR="00D27D0A" w:rsidRDefault="00D27D0A" w:rsidP="008952D7">
      <w:pPr>
        <w:pStyle w:val="Heading2"/>
      </w:pPr>
      <w:r>
        <w:t>Context of amendments</w:t>
      </w:r>
    </w:p>
    <w:p w14:paraId="01AAA1D5" w14:textId="59F59389" w:rsidR="00A428B9" w:rsidRPr="00A428B9" w:rsidRDefault="00A428B9" w:rsidP="00A428B9">
      <w:pPr>
        <w:pStyle w:val="base-text-paragraph"/>
      </w:pPr>
      <w:r>
        <w:t>An individual’s superannuation benefits may be transferred from one supe</w:t>
      </w:r>
      <w:r w:rsidR="005B0ABA">
        <w:t xml:space="preserve">rannuation plan to another plan in circumstances that may be outside the control of </w:t>
      </w:r>
      <w:r w:rsidR="00753709">
        <w:t xml:space="preserve">the </w:t>
      </w:r>
      <w:r w:rsidR="005B0ABA">
        <w:t>individual</w:t>
      </w:r>
      <w:r w:rsidR="006760BD">
        <w:t>,</w:t>
      </w:r>
      <w:r w:rsidR="005B0ABA">
        <w:t xml:space="preserve"> including as a result of a merger under a successor fund arrangement. </w:t>
      </w:r>
    </w:p>
    <w:p w14:paraId="0FB0539F" w14:textId="06397E03" w:rsidR="00FE315E" w:rsidRDefault="00FE315E" w:rsidP="00FE315E">
      <w:pPr>
        <w:pStyle w:val="base-text-paragraph"/>
      </w:pPr>
      <w:r>
        <w:t>The proportioning rule</w:t>
      </w:r>
      <w:r w:rsidR="006F6D3C">
        <w:t xml:space="preserve"> is</w:t>
      </w:r>
      <w:r>
        <w:t xml:space="preserve"> designed to remove an individual’s capacity to reduce their potential tax liability by manipulating the tax components of their superannuation benefits</w:t>
      </w:r>
      <w:r w:rsidR="006F6D3C">
        <w:t>.</w:t>
      </w:r>
      <w:r w:rsidR="005B0ABA">
        <w:t xml:space="preserve">  The rule determines the tax free and taxable components of a superann</w:t>
      </w:r>
      <w:r w:rsidR="001F42CE">
        <w:t>uation benefit, and is</w:t>
      </w:r>
      <w:r w:rsidR="005B0ABA">
        <w:t xml:space="preserve"> applied w</w:t>
      </w:r>
      <w:r w:rsidR="001F42CE">
        <w:t xml:space="preserve">hen a benefit is </w:t>
      </w:r>
      <w:r w:rsidR="005B0ABA">
        <w:t>paid from a superannuation plan</w:t>
      </w:r>
      <w:r w:rsidR="00DF4CED">
        <w:t>,</w:t>
      </w:r>
      <w:r w:rsidR="001F42CE">
        <w:t xml:space="preserve"> including by way of a roll-over</w:t>
      </w:r>
      <w:r w:rsidR="005B0ABA">
        <w:t>.</w:t>
      </w:r>
    </w:p>
    <w:p w14:paraId="19FB3CA2" w14:textId="02510D2F" w:rsidR="005B0ABA" w:rsidRDefault="005B0ABA" w:rsidP="00FE315E">
      <w:pPr>
        <w:pStyle w:val="base-text-paragraph"/>
      </w:pPr>
      <w:r>
        <w:t>The p</w:t>
      </w:r>
      <w:r w:rsidR="00925856">
        <w:t>roportioning rule</w:t>
      </w:r>
      <w:r w:rsidR="00C64EE2">
        <w:t xml:space="preserve"> </w:t>
      </w:r>
      <w:r w:rsidR="006D6607">
        <w:t>applies</w:t>
      </w:r>
      <w:r w:rsidR="00925856">
        <w:t xml:space="preserve"> to transfers</w:t>
      </w:r>
      <w:r>
        <w:t xml:space="preserve"> between superannuation </w:t>
      </w:r>
      <w:r w:rsidR="00925856">
        <w:t xml:space="preserve">plans (a superannuation </w:t>
      </w:r>
      <w:r w:rsidR="00155444">
        <w:t>fund, approved deposit fund or retirement savings account</w:t>
      </w:r>
      <w:r w:rsidR="00925856">
        <w:t xml:space="preserve">) </w:t>
      </w:r>
      <w:r w:rsidR="00C64EE2">
        <w:t xml:space="preserve"> that are made </w:t>
      </w:r>
      <w:r w:rsidR="00925856">
        <w:t>without a specific request</w:t>
      </w:r>
      <w:r w:rsidR="001F42CE">
        <w:t xml:space="preserve"> from</w:t>
      </w:r>
      <w:r w:rsidR="00925856">
        <w:t xml:space="preserve"> or consent</w:t>
      </w:r>
      <w:r w:rsidR="001F42CE">
        <w:t xml:space="preserve"> of</w:t>
      </w:r>
      <w:r w:rsidR="00925856">
        <w:t xml:space="preserve"> an individual</w:t>
      </w:r>
      <w:r w:rsidR="00893CEA">
        <w:t xml:space="preserve"> (‘involuntary transfer’)</w:t>
      </w:r>
      <w:r w:rsidR="00925856">
        <w:t xml:space="preserve">, as these transfers are payments of superannuation benefits and </w:t>
      </w:r>
      <w:r w:rsidR="001F42CE">
        <w:t xml:space="preserve">are </w:t>
      </w:r>
      <w:r w:rsidR="00925856">
        <w:t>also roll-over superannuation benefits</w:t>
      </w:r>
      <w:r w:rsidR="001F42CE">
        <w:t xml:space="preserve"> if the transfer</w:t>
      </w:r>
      <w:r w:rsidR="002D6161">
        <w:t>s</w:t>
      </w:r>
      <w:r w:rsidR="001F42CE">
        <w:t xml:space="preserve"> are between complying superannuation plans</w:t>
      </w:r>
      <w:r w:rsidR="00925856">
        <w:t xml:space="preserve">. </w:t>
      </w:r>
      <w:r w:rsidR="001F42CE">
        <w:t xml:space="preserve"> </w:t>
      </w:r>
      <w:r w:rsidR="0045284E">
        <w:t>An involuntary transfer of a superannuation benefit may occur under a successor fund arrangement, where there is a compulsory transfer of an accrued default amount to a MySuper product</w:t>
      </w:r>
      <w:r w:rsidR="001F42CE">
        <w:t xml:space="preserve"> in another complying </w:t>
      </w:r>
      <w:r w:rsidR="001F42CE">
        <w:lastRenderedPageBreak/>
        <w:t>superannuation plan</w:t>
      </w:r>
      <w:r w:rsidR="0045284E">
        <w:t>, or where a transfer is made to an eligible rollover fund.</w:t>
      </w:r>
    </w:p>
    <w:p w14:paraId="105F57F1" w14:textId="04F19AF0" w:rsidR="0045284E" w:rsidRDefault="0045284E" w:rsidP="00FE315E">
      <w:pPr>
        <w:pStyle w:val="base-text-paragraph"/>
      </w:pPr>
      <w:r>
        <w:t>In some circumstances an individual may be potentially disadvantaged through the application of the proportioning rule when their benefits are</w:t>
      </w:r>
      <w:r w:rsidR="00C64EE2">
        <w:t xml:space="preserve"> involuntarily</w:t>
      </w:r>
      <w:r>
        <w:t xml:space="preserve"> transferred into a new plan.  </w:t>
      </w:r>
    </w:p>
    <w:p w14:paraId="254790E7" w14:textId="48836647" w:rsidR="0045284E" w:rsidRPr="00FE315E" w:rsidRDefault="003B28FD" w:rsidP="00FE315E">
      <w:pPr>
        <w:pStyle w:val="base-text-paragraph"/>
      </w:pPr>
      <w:r>
        <w:t>Where</w:t>
      </w:r>
      <w:r w:rsidR="008E7DD4">
        <w:t xml:space="preserve"> an</w:t>
      </w:r>
      <w:r w:rsidR="00432BEE">
        <w:t xml:space="preserve"> individual’s</w:t>
      </w:r>
      <w:r w:rsidR="007D40E4">
        <w:t xml:space="preserve"> benefit</w:t>
      </w:r>
      <w:r>
        <w:t xml:space="preserve"> is</w:t>
      </w:r>
      <w:r w:rsidR="007D40E4">
        <w:t xml:space="preserve"> paid from a </w:t>
      </w:r>
      <w:r w:rsidR="003B6043">
        <w:t xml:space="preserve">superannuation interest </w:t>
      </w:r>
      <w:r w:rsidR="007D40E4">
        <w:t>not supporting an income stream</w:t>
      </w:r>
      <w:r w:rsidR="0045284E">
        <w:t>, the tax</w:t>
      </w:r>
      <w:r w:rsidR="00CC325D">
        <w:t xml:space="preserve"> free component of </w:t>
      </w:r>
      <w:r w:rsidR="00432BEE">
        <w:t>the interest</w:t>
      </w:r>
      <w:r w:rsidR="0045284E">
        <w:t xml:space="preserve"> is limited </w:t>
      </w:r>
      <w:r w:rsidR="00CC325D">
        <w:t>to the value of the interest</w:t>
      </w:r>
      <w:r w:rsidR="0021036A">
        <w:t xml:space="preserve"> at the time the transfer is made.  In circums</w:t>
      </w:r>
      <w:r w:rsidR="00A41AD8">
        <w:t xml:space="preserve">tances </w:t>
      </w:r>
      <w:r w:rsidR="00CC325D">
        <w:t>where the value of the</w:t>
      </w:r>
      <w:r w:rsidR="0021036A">
        <w:t xml:space="preserve"> </w:t>
      </w:r>
      <w:r w:rsidR="00CC325D">
        <w:t xml:space="preserve">interest </w:t>
      </w:r>
      <w:r w:rsidR="0021036A">
        <w:t>was le</w:t>
      </w:r>
      <w:r w:rsidR="003B6043">
        <w:t>ss than the</w:t>
      </w:r>
      <w:r w:rsidR="004E23FA">
        <w:t xml:space="preserve"> contributions and crystallised segments</w:t>
      </w:r>
      <w:r w:rsidR="003B6043">
        <w:t xml:space="preserve"> of the interest</w:t>
      </w:r>
      <w:r w:rsidR="0021036A">
        <w:t xml:space="preserve"> in the o</w:t>
      </w:r>
      <w:r w:rsidR="001B2A53">
        <w:t xml:space="preserve">riginal plan (because </w:t>
      </w:r>
      <w:r w:rsidR="0021036A">
        <w:t xml:space="preserve">the plan had incurred </w:t>
      </w:r>
      <w:r w:rsidR="00CC325D">
        <w:t>investme</w:t>
      </w:r>
      <w:r w:rsidR="00432BEE">
        <w:t>nt losses after the individual</w:t>
      </w:r>
      <w:r w:rsidR="0021036A">
        <w:t xml:space="preserve"> had </w:t>
      </w:r>
      <w:r w:rsidR="003B6043">
        <w:t>made personal contributions to the</w:t>
      </w:r>
      <w:r w:rsidR="0021036A">
        <w:t xml:space="preserve"> plan) an individual </w:t>
      </w:r>
      <w:r w:rsidR="00D34B6B">
        <w:t>could not</w:t>
      </w:r>
      <w:r w:rsidR="001B2A53">
        <w:t xml:space="preserve"> recoup</w:t>
      </w:r>
      <w:r w:rsidR="0021036A">
        <w:t xml:space="preserve"> this</w:t>
      </w:r>
      <w:r w:rsidR="001B2A53">
        <w:t xml:space="preserve"> difference</w:t>
      </w:r>
      <w:r w:rsidR="0021036A">
        <w:t xml:space="preserve"> in the</w:t>
      </w:r>
      <w:r w:rsidR="00DE44C6">
        <w:t xml:space="preserve"> tax free component of</w:t>
      </w:r>
      <w:r w:rsidR="0021036A">
        <w:t xml:space="preserve"> </w:t>
      </w:r>
      <w:r w:rsidR="00CC089C">
        <w:t>the</w:t>
      </w:r>
      <w:r w:rsidR="0021036A">
        <w:t xml:space="preserve"> new plan. </w:t>
      </w:r>
      <w:r w:rsidR="00A41AD8">
        <w:t xml:space="preserve"> By contrast, if the </w:t>
      </w:r>
      <w:r w:rsidR="00D34B6B">
        <w:t xml:space="preserve">individual </w:t>
      </w:r>
      <w:r w:rsidR="00F46B43">
        <w:t>had remained</w:t>
      </w:r>
      <w:r w:rsidR="00D34B6B">
        <w:t xml:space="preserve"> in the original plan</w:t>
      </w:r>
      <w:r w:rsidR="00A41AD8">
        <w:t>,</w:t>
      </w:r>
      <w:r w:rsidR="00D34B6B">
        <w:t xml:space="preserve"> they could recoup this difference through an increase in</w:t>
      </w:r>
      <w:r w:rsidR="00470AF1">
        <w:t xml:space="preserve"> the </w:t>
      </w:r>
      <w:r w:rsidR="00D34B6B">
        <w:t xml:space="preserve">value of their interest from future plan </w:t>
      </w:r>
      <w:r w:rsidR="00B044BE">
        <w:t>earning</w:t>
      </w:r>
      <w:r w:rsidR="00470AF1">
        <w:t xml:space="preserve">s. </w:t>
      </w:r>
      <w:r w:rsidR="00FD34B5">
        <w:t>T</w:t>
      </w:r>
      <w:r w:rsidR="00F46B43">
        <w:t xml:space="preserve">he amount of </w:t>
      </w:r>
      <w:r w:rsidR="0021036A">
        <w:t>tax fr</w:t>
      </w:r>
      <w:r w:rsidR="00470AF1">
        <w:t>ee component</w:t>
      </w:r>
      <w:r w:rsidR="00F46B43">
        <w:t xml:space="preserve"> </w:t>
      </w:r>
      <w:r w:rsidR="00FD34B5">
        <w:t>of the interest could then be greater</w:t>
      </w:r>
      <w:r w:rsidR="00F46B43">
        <w:t xml:space="preserve"> when a benefit</w:t>
      </w:r>
      <w:r w:rsidR="003B0660">
        <w:t xml:space="preserve"> was</w:t>
      </w:r>
      <w:r w:rsidR="00FD34B5">
        <w:t xml:space="preserve"> </w:t>
      </w:r>
      <w:r w:rsidR="003B0660">
        <w:t>paid</w:t>
      </w:r>
      <w:r w:rsidR="00F46B43">
        <w:t xml:space="preserve"> from the </w:t>
      </w:r>
      <w:r w:rsidR="00470AF1">
        <w:t>plan.</w:t>
      </w:r>
    </w:p>
    <w:p w14:paraId="55AC2D22" w14:textId="5CB4E99E" w:rsidR="00BD5337" w:rsidRDefault="00714B68" w:rsidP="00CA4A55">
      <w:pPr>
        <w:pStyle w:val="base-text-paragraph"/>
      </w:pPr>
      <w:r>
        <w:t>These amendments</w:t>
      </w:r>
      <w:r w:rsidR="008955F7">
        <w:t xml:space="preserve"> will</w:t>
      </w:r>
      <w:r w:rsidR="00134A51">
        <w:t xml:space="preserve"> </w:t>
      </w:r>
      <w:r w:rsidR="006F6FC6">
        <w:t xml:space="preserve">ensure that where an individual’s benefits </w:t>
      </w:r>
      <w:r w:rsidR="00651399">
        <w:t>in a superannuation plan</w:t>
      </w:r>
      <w:r w:rsidR="006F6FC6">
        <w:t xml:space="preserve"> are involuntarily</w:t>
      </w:r>
      <w:r w:rsidR="00FC1D7B">
        <w:t xml:space="preserve"> transferred</w:t>
      </w:r>
      <w:r>
        <w:t xml:space="preserve"> to a new superannuation </w:t>
      </w:r>
      <w:r w:rsidR="00651399">
        <w:t>plan</w:t>
      </w:r>
      <w:r w:rsidR="00E079E0">
        <w:t>,</w:t>
      </w:r>
      <w:r w:rsidR="006F6FC6">
        <w:t xml:space="preserve"> </w:t>
      </w:r>
      <w:r>
        <w:t>the individual will remain in the same taxation position, as</w:t>
      </w:r>
      <w:r w:rsidR="006F6FC6">
        <w:t xml:space="preserve"> if the transfer had not occurred. </w:t>
      </w:r>
      <w:r w:rsidR="006D6607">
        <w:t xml:space="preserve"> </w:t>
      </w:r>
      <w:r w:rsidR="002E38B3">
        <w:t>This will</w:t>
      </w:r>
      <w:r w:rsidR="00E079E0">
        <w:t xml:space="preserve"> also</w:t>
      </w:r>
      <w:r w:rsidR="002E38B3">
        <w:t xml:space="preserve"> remove a possible impediment to a fund merger or rationa</w:t>
      </w:r>
      <w:r w:rsidR="00C45FE3">
        <w:t>lisation arrangement proceeding that is in the interests of superannuation</w:t>
      </w:r>
      <w:r w:rsidR="00C6194C">
        <w:t xml:space="preserve"> plan members, depositors, or account holders as a whole, even if it </w:t>
      </w:r>
      <w:r w:rsidR="00352663">
        <w:t>would</w:t>
      </w:r>
      <w:r w:rsidR="00C6194C">
        <w:t xml:space="preserve"> not</w:t>
      </w:r>
      <w:r w:rsidR="00352663">
        <w:t xml:space="preserve"> otherwise be</w:t>
      </w:r>
      <w:r w:rsidR="00C6194C">
        <w:t xml:space="preserve"> in the interest of a</w:t>
      </w:r>
      <w:r w:rsidR="00C45FE3">
        <w:t xml:space="preserve"> given individual member</w:t>
      </w:r>
      <w:r w:rsidR="00C6194C">
        <w:t>, depositor</w:t>
      </w:r>
      <w:r w:rsidR="00C45FE3">
        <w:t xml:space="preserve"> or account holder.</w:t>
      </w:r>
    </w:p>
    <w:p w14:paraId="5B56DF8A" w14:textId="26B9E422" w:rsidR="006D6607" w:rsidRDefault="006F6FC6" w:rsidP="006E42A0">
      <w:pPr>
        <w:pStyle w:val="base-text-paragraph"/>
      </w:pPr>
      <w:r>
        <w:t xml:space="preserve">The amendments will also remove the </w:t>
      </w:r>
      <w:r w:rsidR="00BA2DD0">
        <w:t>unnecessary burden for the</w:t>
      </w:r>
      <w:r w:rsidR="00C7650F">
        <w:t xml:space="preserve"> </w:t>
      </w:r>
      <w:r w:rsidR="00BA2DD0">
        <w:t>original plan</w:t>
      </w:r>
      <w:r w:rsidR="00C7650F">
        <w:t xml:space="preserve"> provider</w:t>
      </w:r>
      <w:r w:rsidR="00BA2DD0">
        <w:t xml:space="preserve"> to give a roll-over </w:t>
      </w:r>
      <w:r w:rsidR="00C6194C">
        <w:t>benefit statement to</w:t>
      </w:r>
      <w:r w:rsidR="00822089">
        <w:t xml:space="preserve"> </w:t>
      </w:r>
      <w:r w:rsidR="00F20966">
        <w:t>each</w:t>
      </w:r>
      <w:r w:rsidR="00651399">
        <w:t xml:space="preserve"> former </w:t>
      </w:r>
      <w:r w:rsidR="009D192A">
        <w:t>member</w:t>
      </w:r>
      <w:r w:rsidR="00C6194C">
        <w:t>, depositor</w:t>
      </w:r>
      <w:r w:rsidR="00651399">
        <w:t xml:space="preserve"> or account holder</w:t>
      </w:r>
      <w:r w:rsidR="00C6194C">
        <w:t xml:space="preserve"> affected by the transfe</w:t>
      </w:r>
      <w:r w:rsidR="009252A3">
        <w:t>r</w:t>
      </w:r>
      <w:r w:rsidR="00EE776D">
        <w:t>.</w:t>
      </w:r>
      <w:r w:rsidR="00C64EE2">
        <w:t xml:space="preserve">  </w:t>
      </w:r>
      <w:r w:rsidR="00F20966">
        <w:t xml:space="preserve"> </w:t>
      </w:r>
      <w:r w:rsidR="009252A3">
        <w:t xml:space="preserve">These individuals will still receive information on the transfer in accordance with disclosure obligations </w:t>
      </w:r>
      <w:r w:rsidR="00F20966">
        <w:t xml:space="preserve">under the </w:t>
      </w:r>
      <w:r w:rsidR="00F20966" w:rsidRPr="00F20966">
        <w:rPr>
          <w:i/>
        </w:rPr>
        <w:t>Corporations Regulations 2001</w:t>
      </w:r>
      <w:r w:rsidR="00F20966">
        <w:t>.</w:t>
      </w:r>
    </w:p>
    <w:p w14:paraId="5069FE7F" w14:textId="77777777" w:rsidR="00D27D0A" w:rsidRDefault="00D27D0A" w:rsidP="000A0E4F">
      <w:pPr>
        <w:pStyle w:val="Heading2"/>
        <w:ind w:firstLine="1134"/>
      </w:pPr>
      <w:r>
        <w:t>Summary of new law</w:t>
      </w:r>
    </w:p>
    <w:p w14:paraId="3D67BCF3" w14:textId="38F63A06" w:rsidR="007A785C" w:rsidRDefault="00666DB1" w:rsidP="00184AF2">
      <w:pPr>
        <w:pStyle w:val="base-text-paragraph"/>
        <w:numPr>
          <w:ilvl w:val="1"/>
          <w:numId w:val="34"/>
        </w:numPr>
      </w:pPr>
      <w:r>
        <w:t>Schedule #</w:t>
      </w:r>
      <w:r w:rsidR="00184AF2">
        <w:t xml:space="preserve"> </w:t>
      </w:r>
      <w:r w:rsidR="008C7E19">
        <w:t>amend</w:t>
      </w:r>
      <w:r w:rsidR="00D10330">
        <w:t>s</w:t>
      </w:r>
      <w:r w:rsidR="00B164C2">
        <w:t xml:space="preserve"> the ITAA </w:t>
      </w:r>
      <w:r w:rsidR="008C7E19">
        <w:t>97 to</w:t>
      </w:r>
      <w:r w:rsidR="00184AF2">
        <w:t xml:space="preserve"> ensure that where</w:t>
      </w:r>
      <w:r w:rsidR="00C36BFA">
        <w:t xml:space="preserve"> an individual’s </w:t>
      </w:r>
      <w:r w:rsidR="00184AF2">
        <w:t>benefi</w:t>
      </w:r>
      <w:r w:rsidR="00C36BFA">
        <w:t>ts are involuntarily transferred</w:t>
      </w:r>
      <w:r w:rsidR="00184AF2">
        <w:t xml:space="preserve"> to</w:t>
      </w:r>
      <w:r w:rsidR="00C36BFA">
        <w:t xml:space="preserve"> a new superannuation plan </w:t>
      </w:r>
      <w:r w:rsidR="00184AF2">
        <w:t>the individual will remain in the same taxation</w:t>
      </w:r>
      <w:r w:rsidR="00F91EDF">
        <w:t xml:space="preserve"> </w:t>
      </w:r>
      <w:r w:rsidR="00C36BFA">
        <w:t>position, as if the transfer</w:t>
      </w:r>
      <w:r w:rsidR="00184AF2">
        <w:t xml:space="preserve"> had not occurred.  </w:t>
      </w:r>
      <w:r w:rsidR="00C36BFA">
        <w:t xml:space="preserve"> </w:t>
      </w:r>
      <w:r w:rsidR="00F26A3E">
        <w:t xml:space="preserve">For superannuation interests </w:t>
      </w:r>
      <w:r w:rsidR="00DA6C42">
        <w:t>not supporting an income stream</w:t>
      </w:r>
      <w:r w:rsidR="008E7DD4">
        <w:t>, the new superannuation plan will</w:t>
      </w:r>
      <w:r w:rsidR="007A785C">
        <w:t xml:space="preserve"> recognise the full value of the</w:t>
      </w:r>
      <w:r w:rsidR="008C7E19">
        <w:t xml:space="preserve"> individual’s</w:t>
      </w:r>
      <w:r w:rsidR="007A785C">
        <w:t xml:space="preserve"> contributi</w:t>
      </w:r>
      <w:r w:rsidR="008C7E19">
        <w:t>on</w:t>
      </w:r>
      <w:r w:rsidR="003934EF">
        <w:t xml:space="preserve"> segment</w:t>
      </w:r>
      <w:r w:rsidR="00FF0214">
        <w:t xml:space="preserve"> and crystallised segment</w:t>
      </w:r>
      <w:r w:rsidR="003934EF">
        <w:t xml:space="preserve"> in the </w:t>
      </w:r>
      <w:r w:rsidR="003934EF">
        <w:lastRenderedPageBreak/>
        <w:t>original plan</w:t>
      </w:r>
      <w:r w:rsidR="007A785C">
        <w:t>, immediately prior to the benefit p</w:t>
      </w:r>
      <w:r w:rsidR="008E7DD4">
        <w:t>ayment.  In the case of a superannuation interest supporting an income stream, the income stream commenced in the new plan will retain the same</w:t>
      </w:r>
      <w:r w:rsidR="00D10330">
        <w:t xml:space="preserve"> </w:t>
      </w:r>
      <w:r w:rsidR="003934EF">
        <w:t>tax components</w:t>
      </w:r>
      <w:r w:rsidR="008E7DD4">
        <w:t xml:space="preserve"> as the income stream in the original plan</w:t>
      </w:r>
      <w:r w:rsidR="003934EF">
        <w:t>.</w:t>
      </w:r>
    </w:p>
    <w:p w14:paraId="2C471092" w14:textId="3D403813" w:rsidR="00184AF2" w:rsidRDefault="00D10330" w:rsidP="00184AF2">
      <w:pPr>
        <w:pStyle w:val="base-text-paragraph"/>
        <w:numPr>
          <w:ilvl w:val="1"/>
          <w:numId w:val="34"/>
        </w:numPr>
      </w:pPr>
      <w:r>
        <w:t>A</w:t>
      </w:r>
      <w:r w:rsidR="00184AF2">
        <w:t>mendments</w:t>
      </w:r>
      <w:r w:rsidR="00BF659A">
        <w:t xml:space="preserve"> to the TAA</w:t>
      </w:r>
      <w:r>
        <w:t xml:space="preserve"> </w:t>
      </w:r>
      <w:r w:rsidR="00184AF2">
        <w:t xml:space="preserve">will also remove </w:t>
      </w:r>
      <w:r>
        <w:t>the need for the original superannuation plan</w:t>
      </w:r>
      <w:r w:rsidR="008E7DD4">
        <w:t xml:space="preserve"> to give</w:t>
      </w:r>
      <w:r w:rsidR="00184AF2">
        <w:t xml:space="preserve"> a roll-over benefit</w:t>
      </w:r>
      <w:r w:rsidR="008E7DD4">
        <w:t xml:space="preserve"> statement to </w:t>
      </w:r>
      <w:r w:rsidR="00184AF2">
        <w:t>each former member</w:t>
      </w:r>
      <w:r w:rsidR="008E7DD4">
        <w:t>, depositor or account holder affected by the transfer.</w:t>
      </w:r>
    </w:p>
    <w:p w14:paraId="16CBD4EB" w14:textId="77777777" w:rsidR="00D27D0A" w:rsidRDefault="00D27D0A" w:rsidP="008952D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27D0A" w:rsidRPr="004666B8" w14:paraId="694646BD" w14:textId="77777777" w:rsidTr="008952D7">
        <w:tc>
          <w:tcPr>
            <w:tcW w:w="3275" w:type="dxa"/>
          </w:tcPr>
          <w:p w14:paraId="24B3F55E" w14:textId="77777777" w:rsidR="00D27D0A" w:rsidRPr="004666B8" w:rsidRDefault="00D27D0A" w:rsidP="008952D7">
            <w:pPr>
              <w:pStyle w:val="tableheaderwithintable"/>
              <w:rPr>
                <w:lang w:val="en-US" w:eastAsia="en-US"/>
              </w:rPr>
            </w:pPr>
            <w:r w:rsidRPr="004666B8">
              <w:rPr>
                <w:lang w:val="en-US" w:eastAsia="en-US"/>
              </w:rPr>
              <w:t>New law</w:t>
            </w:r>
          </w:p>
        </w:tc>
        <w:tc>
          <w:tcPr>
            <w:tcW w:w="3276" w:type="dxa"/>
          </w:tcPr>
          <w:p w14:paraId="26D8E141" w14:textId="77777777" w:rsidR="00D27D0A" w:rsidRPr="004666B8" w:rsidRDefault="00D27D0A" w:rsidP="008952D7">
            <w:pPr>
              <w:pStyle w:val="tableheaderwithintable"/>
              <w:rPr>
                <w:lang w:val="en-US" w:eastAsia="en-US"/>
              </w:rPr>
            </w:pPr>
            <w:r w:rsidRPr="004666B8">
              <w:rPr>
                <w:lang w:val="en-US" w:eastAsia="en-US"/>
              </w:rPr>
              <w:t>Current law</w:t>
            </w:r>
          </w:p>
        </w:tc>
      </w:tr>
      <w:tr w:rsidR="00D27D0A" w:rsidRPr="004666B8" w14:paraId="06962CC3" w14:textId="77777777" w:rsidTr="008952D7">
        <w:tc>
          <w:tcPr>
            <w:tcW w:w="3275" w:type="dxa"/>
          </w:tcPr>
          <w:p w14:paraId="74C9320B" w14:textId="4E3C5997" w:rsidR="00283570" w:rsidRDefault="009936D7" w:rsidP="008952D7">
            <w:pPr>
              <w:pStyle w:val="tabletext"/>
              <w:rPr>
                <w:lang w:val="en-US" w:eastAsia="en-US"/>
              </w:rPr>
            </w:pPr>
            <w:r>
              <w:rPr>
                <w:lang w:val="en-US" w:eastAsia="en-US"/>
              </w:rPr>
              <w:t>The</w:t>
            </w:r>
            <w:r w:rsidR="00F26A3E">
              <w:rPr>
                <w:lang w:val="en-US" w:eastAsia="en-US"/>
              </w:rPr>
              <w:t xml:space="preserve"> amount of </w:t>
            </w:r>
            <w:r w:rsidR="00226981">
              <w:rPr>
                <w:lang w:val="en-US" w:eastAsia="en-US"/>
              </w:rPr>
              <w:t xml:space="preserve">the </w:t>
            </w:r>
            <w:r w:rsidR="00F26A3E">
              <w:rPr>
                <w:lang w:val="en-US" w:eastAsia="en-US"/>
              </w:rPr>
              <w:t>contributions</w:t>
            </w:r>
            <w:r w:rsidR="00847575">
              <w:rPr>
                <w:lang w:val="en-US" w:eastAsia="en-US"/>
              </w:rPr>
              <w:t xml:space="preserve"> segment </w:t>
            </w:r>
            <w:r w:rsidR="007E0703">
              <w:rPr>
                <w:lang w:val="en-US" w:eastAsia="en-US"/>
              </w:rPr>
              <w:t xml:space="preserve">and the crystallised segment </w:t>
            </w:r>
            <w:r>
              <w:rPr>
                <w:lang w:val="en-US" w:eastAsia="en-US"/>
              </w:rPr>
              <w:t>of an individual’s superannuation interest will no longer be limited to t</w:t>
            </w:r>
            <w:r w:rsidR="00F26A3E">
              <w:rPr>
                <w:lang w:val="en-US" w:eastAsia="en-US"/>
              </w:rPr>
              <w:t>he value of their interest at any particular time.</w:t>
            </w:r>
          </w:p>
          <w:p w14:paraId="75B4C574" w14:textId="77777777" w:rsidR="000E3F06" w:rsidRDefault="000E3F06" w:rsidP="008952D7">
            <w:pPr>
              <w:pStyle w:val="tabletext"/>
              <w:rPr>
                <w:lang w:val="en-US" w:eastAsia="en-US"/>
              </w:rPr>
            </w:pPr>
          </w:p>
          <w:p w14:paraId="3884F39A" w14:textId="6E2B01B6" w:rsidR="00F26A3E" w:rsidRDefault="00E32572" w:rsidP="008952D7">
            <w:pPr>
              <w:pStyle w:val="tabletext"/>
              <w:rPr>
                <w:lang w:val="en-US" w:eastAsia="en-US"/>
              </w:rPr>
            </w:pPr>
            <w:r>
              <w:rPr>
                <w:lang w:val="en-US" w:eastAsia="en-US"/>
              </w:rPr>
              <w:t>When an involuntary rollover superannuation benefit for a superannuation interest not supporting an income stream is paid to a new superan</w:t>
            </w:r>
            <w:r w:rsidR="00C16CDA">
              <w:rPr>
                <w:lang w:val="en-US" w:eastAsia="en-US"/>
              </w:rPr>
              <w:t>nuation plan</w:t>
            </w:r>
            <w:r w:rsidR="00395CCA">
              <w:rPr>
                <w:lang w:val="en-US" w:eastAsia="en-US"/>
              </w:rPr>
              <w:t>,</w:t>
            </w:r>
            <w:r w:rsidR="00C16CDA">
              <w:rPr>
                <w:lang w:val="en-US" w:eastAsia="en-US"/>
              </w:rPr>
              <w:t xml:space="preserve"> the contributions </w:t>
            </w:r>
            <w:r>
              <w:rPr>
                <w:lang w:val="en-US" w:eastAsia="en-US"/>
              </w:rPr>
              <w:t>segment in the new plan will include an amount equal to the contributions and crystallised segment in the original plan immediately  before the involuntary roll-over superannuation benefit payment.</w:t>
            </w:r>
          </w:p>
          <w:p w14:paraId="4270E392" w14:textId="77777777" w:rsidR="00E32572" w:rsidRDefault="00E32572" w:rsidP="008952D7">
            <w:pPr>
              <w:pStyle w:val="tabletext"/>
              <w:rPr>
                <w:lang w:val="en-US" w:eastAsia="en-US"/>
              </w:rPr>
            </w:pPr>
          </w:p>
          <w:p w14:paraId="479EA877" w14:textId="4663E1A8" w:rsidR="00B836EA" w:rsidRDefault="00B836EA" w:rsidP="008952D7">
            <w:pPr>
              <w:pStyle w:val="tabletext"/>
              <w:rPr>
                <w:lang w:val="en-US" w:eastAsia="en-US"/>
              </w:rPr>
            </w:pPr>
          </w:p>
          <w:p w14:paraId="3E5ECC48" w14:textId="77777777" w:rsidR="00226981" w:rsidRDefault="00226981" w:rsidP="008952D7">
            <w:pPr>
              <w:pStyle w:val="tabletext"/>
              <w:rPr>
                <w:lang w:val="en-US" w:eastAsia="en-US"/>
              </w:rPr>
            </w:pPr>
          </w:p>
          <w:p w14:paraId="226B1B6B" w14:textId="02ED9696" w:rsidR="00C00390" w:rsidRDefault="00C557EF" w:rsidP="008952D7">
            <w:pPr>
              <w:pStyle w:val="tabletext"/>
              <w:rPr>
                <w:lang w:val="en-US" w:eastAsia="en-US"/>
              </w:rPr>
            </w:pPr>
            <w:r>
              <w:rPr>
                <w:lang w:val="en-US" w:eastAsia="en-US"/>
              </w:rPr>
              <w:t>I</w:t>
            </w:r>
            <w:r w:rsidR="00283570">
              <w:rPr>
                <w:lang w:val="en-US" w:eastAsia="en-US"/>
              </w:rPr>
              <w:t xml:space="preserve">f an involuntary roll-over superannuation benefit </w:t>
            </w:r>
            <w:r w:rsidR="00A05CE1">
              <w:rPr>
                <w:lang w:val="en-US" w:eastAsia="en-US"/>
              </w:rPr>
              <w:t xml:space="preserve">is paid from a superannuation </w:t>
            </w:r>
            <w:r w:rsidR="004740EC">
              <w:rPr>
                <w:lang w:val="en-US" w:eastAsia="en-US"/>
              </w:rPr>
              <w:t>interest supporting an income stream, the</w:t>
            </w:r>
            <w:r w:rsidR="00765438">
              <w:rPr>
                <w:lang w:val="en-US" w:eastAsia="en-US"/>
              </w:rPr>
              <w:t xml:space="preserve"> proportions of the </w:t>
            </w:r>
            <w:r w:rsidR="004740EC">
              <w:rPr>
                <w:lang w:val="en-US" w:eastAsia="en-US"/>
              </w:rPr>
              <w:t>tax free and taxable components</w:t>
            </w:r>
            <w:r w:rsidR="00765438">
              <w:rPr>
                <w:lang w:val="en-US" w:eastAsia="en-US"/>
              </w:rPr>
              <w:t xml:space="preserve"> of </w:t>
            </w:r>
            <w:r w:rsidR="00283570">
              <w:rPr>
                <w:lang w:val="en-US" w:eastAsia="en-US"/>
              </w:rPr>
              <w:t xml:space="preserve">the </w:t>
            </w:r>
            <w:r w:rsidR="00765438">
              <w:rPr>
                <w:lang w:val="en-US" w:eastAsia="en-US"/>
              </w:rPr>
              <w:t xml:space="preserve">income stream commenced in </w:t>
            </w:r>
            <w:r w:rsidR="00283570">
              <w:rPr>
                <w:lang w:val="en-US" w:eastAsia="en-US"/>
              </w:rPr>
              <w:t>the new plan</w:t>
            </w:r>
            <w:r w:rsidR="000E3F06">
              <w:rPr>
                <w:lang w:val="en-US" w:eastAsia="en-US"/>
              </w:rPr>
              <w:t xml:space="preserve"> will </w:t>
            </w:r>
            <w:r w:rsidR="009D396E">
              <w:rPr>
                <w:lang w:val="en-US" w:eastAsia="en-US"/>
              </w:rPr>
              <w:t xml:space="preserve">be the same as </w:t>
            </w:r>
            <w:r w:rsidR="00CA274B">
              <w:rPr>
                <w:lang w:val="en-US" w:eastAsia="en-US"/>
              </w:rPr>
              <w:t>the income</w:t>
            </w:r>
            <w:r w:rsidR="00765438">
              <w:rPr>
                <w:lang w:val="en-US" w:eastAsia="en-US"/>
              </w:rPr>
              <w:t xml:space="preserve"> stream</w:t>
            </w:r>
            <w:r w:rsidR="009D396E">
              <w:rPr>
                <w:lang w:val="en-US" w:eastAsia="en-US"/>
              </w:rPr>
              <w:t xml:space="preserve"> in the original plan</w:t>
            </w:r>
            <w:r w:rsidR="00765438">
              <w:rPr>
                <w:lang w:val="en-US" w:eastAsia="en-US"/>
              </w:rPr>
              <w:t>.</w:t>
            </w:r>
          </w:p>
          <w:p w14:paraId="7BE5C0C1" w14:textId="77777777" w:rsidR="0031332C" w:rsidRDefault="0031332C" w:rsidP="008952D7">
            <w:pPr>
              <w:pStyle w:val="tabletext"/>
              <w:rPr>
                <w:lang w:val="en-US" w:eastAsia="en-US"/>
              </w:rPr>
            </w:pPr>
          </w:p>
          <w:p w14:paraId="0280D7A5" w14:textId="77777777" w:rsidR="00792E75" w:rsidRDefault="00792E75" w:rsidP="008952D7">
            <w:pPr>
              <w:pStyle w:val="tabletext"/>
              <w:rPr>
                <w:lang w:val="en-US" w:eastAsia="en-US"/>
              </w:rPr>
            </w:pPr>
          </w:p>
          <w:p w14:paraId="76C07167" w14:textId="39550356" w:rsidR="00283570" w:rsidRDefault="008B45F6" w:rsidP="008952D7">
            <w:pPr>
              <w:pStyle w:val="tabletext"/>
              <w:rPr>
                <w:lang w:val="en-US" w:eastAsia="en-US"/>
              </w:rPr>
            </w:pPr>
            <w:r>
              <w:rPr>
                <w:lang w:val="en-US" w:eastAsia="en-US"/>
              </w:rPr>
              <w:lastRenderedPageBreak/>
              <w:t>Transferring superannuation plans will not be required to give r</w:t>
            </w:r>
            <w:r w:rsidR="00283570">
              <w:rPr>
                <w:lang w:val="en-US" w:eastAsia="en-US"/>
              </w:rPr>
              <w:t xml:space="preserve">oll-over superannuation benefit statements </w:t>
            </w:r>
            <w:r w:rsidR="00226981">
              <w:rPr>
                <w:lang w:val="en-US" w:eastAsia="en-US"/>
              </w:rPr>
              <w:t xml:space="preserve">to </w:t>
            </w:r>
            <w:r w:rsidR="00B836EA">
              <w:rPr>
                <w:lang w:val="en-US" w:eastAsia="en-US"/>
              </w:rPr>
              <w:t>members, depositors, or account holders</w:t>
            </w:r>
            <w:r w:rsidR="00283570">
              <w:rPr>
                <w:lang w:val="en-US" w:eastAsia="en-US"/>
              </w:rPr>
              <w:t xml:space="preserve"> for involuntary roll-over superannuation benefits.</w:t>
            </w:r>
          </w:p>
          <w:p w14:paraId="19D9B8A5" w14:textId="77777777" w:rsidR="00C00390" w:rsidRDefault="00C00390" w:rsidP="008952D7">
            <w:pPr>
              <w:pStyle w:val="tabletext"/>
              <w:rPr>
                <w:lang w:val="en-US" w:eastAsia="en-US"/>
              </w:rPr>
            </w:pPr>
          </w:p>
          <w:p w14:paraId="508D529B" w14:textId="77777777" w:rsidR="00C00390" w:rsidRDefault="00C00390" w:rsidP="008952D7">
            <w:pPr>
              <w:pStyle w:val="tabletext"/>
              <w:rPr>
                <w:lang w:val="en-US" w:eastAsia="en-US"/>
              </w:rPr>
            </w:pPr>
          </w:p>
          <w:p w14:paraId="58A6D4C8" w14:textId="77777777" w:rsidR="00C00390" w:rsidRDefault="00C00390" w:rsidP="008952D7">
            <w:pPr>
              <w:pStyle w:val="tabletext"/>
              <w:rPr>
                <w:lang w:val="en-US" w:eastAsia="en-US"/>
              </w:rPr>
            </w:pPr>
          </w:p>
          <w:p w14:paraId="4814AF7B" w14:textId="0207A2BB" w:rsidR="00C00390" w:rsidRPr="004666B8" w:rsidRDefault="00C00390" w:rsidP="008952D7">
            <w:pPr>
              <w:pStyle w:val="tabletext"/>
              <w:rPr>
                <w:lang w:val="en-US" w:eastAsia="en-US"/>
              </w:rPr>
            </w:pPr>
          </w:p>
        </w:tc>
        <w:tc>
          <w:tcPr>
            <w:tcW w:w="3276" w:type="dxa"/>
          </w:tcPr>
          <w:p w14:paraId="67662D00" w14:textId="7C45DA08" w:rsidR="00283570" w:rsidRDefault="009A49E6" w:rsidP="008952D7">
            <w:pPr>
              <w:pStyle w:val="tabletext"/>
              <w:rPr>
                <w:lang w:val="en-US" w:eastAsia="en-US"/>
              </w:rPr>
            </w:pPr>
            <w:r>
              <w:rPr>
                <w:lang w:val="en-US" w:eastAsia="en-US"/>
              </w:rPr>
              <w:lastRenderedPageBreak/>
              <w:t>T</w:t>
            </w:r>
            <w:r w:rsidR="00847575">
              <w:rPr>
                <w:lang w:val="en-US" w:eastAsia="en-US"/>
              </w:rPr>
              <w:t>he</w:t>
            </w:r>
            <w:r w:rsidR="00F26A3E">
              <w:rPr>
                <w:lang w:val="en-US" w:eastAsia="en-US"/>
              </w:rPr>
              <w:t xml:space="preserve"> amount of </w:t>
            </w:r>
            <w:r w:rsidR="00226981">
              <w:rPr>
                <w:lang w:val="en-US" w:eastAsia="en-US"/>
              </w:rPr>
              <w:t xml:space="preserve">the </w:t>
            </w:r>
            <w:r w:rsidR="00F26A3E">
              <w:rPr>
                <w:lang w:val="en-US" w:eastAsia="en-US"/>
              </w:rPr>
              <w:t>contributions</w:t>
            </w:r>
            <w:r w:rsidR="007E0703">
              <w:rPr>
                <w:lang w:val="en-US" w:eastAsia="en-US"/>
              </w:rPr>
              <w:t xml:space="preserve"> segme</w:t>
            </w:r>
            <w:r w:rsidR="00F26A3E">
              <w:rPr>
                <w:lang w:val="en-US" w:eastAsia="en-US"/>
              </w:rPr>
              <w:t>nt and the crystallised segment</w:t>
            </w:r>
            <w:r w:rsidR="00C96393">
              <w:rPr>
                <w:lang w:val="en-US" w:eastAsia="en-US"/>
              </w:rPr>
              <w:t xml:space="preserve"> of an individual’</w:t>
            </w:r>
            <w:r w:rsidR="008B7AA6">
              <w:rPr>
                <w:lang w:val="en-US" w:eastAsia="en-US"/>
              </w:rPr>
              <w:t>s superannuation interest is</w:t>
            </w:r>
            <w:r w:rsidR="00C96393">
              <w:rPr>
                <w:lang w:val="en-US" w:eastAsia="en-US"/>
              </w:rPr>
              <w:t xml:space="preserve"> limited to the overall value of their </w:t>
            </w:r>
            <w:r w:rsidR="00F26A3E">
              <w:rPr>
                <w:lang w:val="en-US" w:eastAsia="en-US"/>
              </w:rPr>
              <w:t>superannuation interest</w:t>
            </w:r>
            <w:r w:rsidR="00C96393">
              <w:rPr>
                <w:lang w:val="en-US" w:eastAsia="en-US"/>
              </w:rPr>
              <w:t xml:space="preserve"> at </w:t>
            </w:r>
            <w:r w:rsidR="00F26A3E">
              <w:rPr>
                <w:lang w:val="en-US" w:eastAsia="en-US"/>
              </w:rPr>
              <w:t>any particular time</w:t>
            </w:r>
            <w:r w:rsidR="00C96393">
              <w:rPr>
                <w:lang w:val="en-US" w:eastAsia="en-US"/>
              </w:rPr>
              <w:t>.</w:t>
            </w:r>
          </w:p>
          <w:p w14:paraId="3A4CB706" w14:textId="77777777" w:rsidR="00865846" w:rsidRDefault="00865846" w:rsidP="008952D7">
            <w:pPr>
              <w:pStyle w:val="tabletext"/>
              <w:rPr>
                <w:lang w:val="en-US" w:eastAsia="en-US"/>
              </w:rPr>
            </w:pPr>
          </w:p>
          <w:p w14:paraId="4F1375D4" w14:textId="46C23B46" w:rsidR="00847575" w:rsidRDefault="00F26A3E" w:rsidP="008952D7">
            <w:pPr>
              <w:pStyle w:val="tabletext"/>
              <w:rPr>
                <w:lang w:val="en-US" w:eastAsia="en-US"/>
              </w:rPr>
            </w:pPr>
            <w:r>
              <w:rPr>
                <w:lang w:val="en-US" w:eastAsia="en-US"/>
              </w:rPr>
              <w:t>When an involuntary rollover superannuation benefit for a superannuation interest not supporting an income stream is paid to a new superannuation plan, the contributions segment in the new plan equal</w:t>
            </w:r>
            <w:r w:rsidR="00E32572">
              <w:rPr>
                <w:lang w:val="en-US" w:eastAsia="en-US"/>
              </w:rPr>
              <w:t>s</w:t>
            </w:r>
            <w:r>
              <w:rPr>
                <w:lang w:val="en-US" w:eastAsia="en-US"/>
              </w:rPr>
              <w:t xml:space="preserve"> the tax free component of the involuntary roll-over superannuation benefit.</w:t>
            </w:r>
          </w:p>
          <w:p w14:paraId="7297F814" w14:textId="77777777" w:rsidR="00847575" w:rsidRDefault="00847575" w:rsidP="008952D7">
            <w:pPr>
              <w:pStyle w:val="tabletext"/>
              <w:rPr>
                <w:lang w:val="en-US" w:eastAsia="en-US"/>
              </w:rPr>
            </w:pPr>
          </w:p>
          <w:p w14:paraId="00A5A5A0" w14:textId="77777777" w:rsidR="00847575" w:rsidRDefault="00847575" w:rsidP="008952D7">
            <w:pPr>
              <w:pStyle w:val="tabletext"/>
              <w:rPr>
                <w:lang w:val="en-US" w:eastAsia="en-US"/>
              </w:rPr>
            </w:pPr>
          </w:p>
          <w:p w14:paraId="065816D5" w14:textId="77777777" w:rsidR="004740EC" w:rsidRDefault="004740EC" w:rsidP="008952D7">
            <w:pPr>
              <w:pStyle w:val="tabletext"/>
              <w:rPr>
                <w:lang w:val="en-US" w:eastAsia="en-US"/>
              </w:rPr>
            </w:pPr>
          </w:p>
          <w:p w14:paraId="59244385" w14:textId="77777777" w:rsidR="0031332C" w:rsidRDefault="0031332C" w:rsidP="008952D7">
            <w:pPr>
              <w:pStyle w:val="tabletext"/>
              <w:rPr>
                <w:lang w:val="en-US" w:eastAsia="en-US"/>
              </w:rPr>
            </w:pPr>
          </w:p>
          <w:p w14:paraId="489136FB" w14:textId="77777777" w:rsidR="00765438" w:rsidRDefault="00765438" w:rsidP="008952D7">
            <w:pPr>
              <w:pStyle w:val="tabletext"/>
              <w:rPr>
                <w:lang w:val="en-US" w:eastAsia="en-US"/>
              </w:rPr>
            </w:pPr>
          </w:p>
          <w:p w14:paraId="7DE28D85" w14:textId="40E59612" w:rsidR="00A05CE1" w:rsidRDefault="00A05CE1" w:rsidP="008952D7">
            <w:pPr>
              <w:pStyle w:val="tabletext"/>
              <w:rPr>
                <w:lang w:val="en-US" w:eastAsia="en-US"/>
              </w:rPr>
            </w:pPr>
            <w:r>
              <w:rPr>
                <w:lang w:val="en-US" w:eastAsia="en-US"/>
              </w:rPr>
              <w:t xml:space="preserve">If an involuntary transfer is paid from a superannuation interest supporting an income stream, the income stream ceases immediately prior to the transfer.  The law does not provide clear guidance on how the tax free and taxable </w:t>
            </w:r>
            <w:r w:rsidR="00705BAC">
              <w:rPr>
                <w:lang w:val="en-US" w:eastAsia="en-US"/>
              </w:rPr>
              <w:t>components of the benefit payment to the new plan are</w:t>
            </w:r>
            <w:r w:rsidR="00226981">
              <w:rPr>
                <w:lang w:val="en-US" w:eastAsia="en-US"/>
              </w:rPr>
              <w:t xml:space="preserve"> determined.</w:t>
            </w:r>
          </w:p>
          <w:p w14:paraId="223A4F89" w14:textId="77777777" w:rsidR="00A05CE1" w:rsidRDefault="00A05CE1" w:rsidP="008952D7">
            <w:pPr>
              <w:pStyle w:val="tabletext"/>
              <w:rPr>
                <w:lang w:val="en-US" w:eastAsia="en-US"/>
              </w:rPr>
            </w:pPr>
          </w:p>
          <w:p w14:paraId="146319DB" w14:textId="77777777" w:rsidR="009D66AC" w:rsidRDefault="009D66AC" w:rsidP="00B836EA">
            <w:pPr>
              <w:pStyle w:val="tabletext"/>
              <w:rPr>
                <w:lang w:val="en-US" w:eastAsia="en-US"/>
              </w:rPr>
            </w:pPr>
          </w:p>
          <w:p w14:paraId="5C9CCDF6" w14:textId="0D0AEA91" w:rsidR="00D27D0A" w:rsidRPr="004666B8" w:rsidRDefault="00CF6245" w:rsidP="00B836EA">
            <w:pPr>
              <w:pStyle w:val="tabletext"/>
              <w:rPr>
                <w:lang w:val="en-US" w:eastAsia="en-US"/>
              </w:rPr>
            </w:pPr>
            <w:r>
              <w:rPr>
                <w:lang w:val="en-US" w:eastAsia="en-US"/>
              </w:rPr>
              <w:lastRenderedPageBreak/>
              <w:t>Transferring superannuation plans</w:t>
            </w:r>
            <w:r w:rsidR="00D75614">
              <w:rPr>
                <w:lang w:val="en-US" w:eastAsia="en-US"/>
              </w:rPr>
              <w:t xml:space="preserve"> are requir</w:t>
            </w:r>
            <w:r w:rsidR="00251453">
              <w:rPr>
                <w:lang w:val="en-US" w:eastAsia="en-US"/>
              </w:rPr>
              <w:t>ed to giv</w:t>
            </w:r>
            <w:r w:rsidR="00226981">
              <w:rPr>
                <w:lang w:val="en-US" w:eastAsia="en-US"/>
              </w:rPr>
              <w:t>e</w:t>
            </w:r>
            <w:r w:rsidR="00A75926">
              <w:rPr>
                <w:lang w:val="en-US" w:eastAsia="en-US"/>
              </w:rPr>
              <w:t xml:space="preserve"> </w:t>
            </w:r>
            <w:r w:rsidR="001502DC">
              <w:rPr>
                <w:lang w:val="en-US" w:eastAsia="en-US"/>
              </w:rPr>
              <w:t>a roll-over benefit statement</w:t>
            </w:r>
            <w:r w:rsidR="00B836EA">
              <w:rPr>
                <w:lang w:val="en-US" w:eastAsia="en-US"/>
              </w:rPr>
              <w:t xml:space="preserve"> to </w:t>
            </w:r>
            <w:r w:rsidR="00251453">
              <w:rPr>
                <w:lang w:val="en-US" w:eastAsia="en-US"/>
              </w:rPr>
              <w:t>each f</w:t>
            </w:r>
            <w:r w:rsidR="001502DC">
              <w:rPr>
                <w:lang w:val="en-US" w:eastAsia="en-US"/>
              </w:rPr>
              <w:t>ormer member</w:t>
            </w:r>
            <w:r w:rsidR="00B836EA">
              <w:rPr>
                <w:lang w:val="en-US" w:eastAsia="en-US"/>
              </w:rPr>
              <w:t>, depositor</w:t>
            </w:r>
            <w:r w:rsidR="001502DC">
              <w:rPr>
                <w:lang w:val="en-US" w:eastAsia="en-US"/>
              </w:rPr>
              <w:t xml:space="preserve"> or account member </w:t>
            </w:r>
            <w:r w:rsidR="00B836EA">
              <w:rPr>
                <w:lang w:val="en-US" w:eastAsia="en-US"/>
              </w:rPr>
              <w:t xml:space="preserve">of </w:t>
            </w:r>
            <w:r w:rsidR="00862709">
              <w:rPr>
                <w:lang w:val="en-US" w:eastAsia="en-US"/>
              </w:rPr>
              <w:t>the plan</w:t>
            </w:r>
            <w:r w:rsidR="00D75614">
              <w:rPr>
                <w:lang w:val="en-US" w:eastAsia="en-US"/>
              </w:rPr>
              <w:t>.</w:t>
            </w:r>
            <w:r w:rsidR="00E806E7">
              <w:rPr>
                <w:lang w:val="en-US" w:eastAsia="en-US"/>
              </w:rPr>
              <w:t xml:space="preserve">  </w:t>
            </w:r>
          </w:p>
        </w:tc>
      </w:tr>
    </w:tbl>
    <w:p w14:paraId="4A3FF8E0" w14:textId="77777777" w:rsidR="00D27D0A" w:rsidRDefault="00D27D0A" w:rsidP="008952D7">
      <w:pPr>
        <w:pStyle w:val="Heading2"/>
      </w:pPr>
      <w:r>
        <w:lastRenderedPageBreak/>
        <w:t>Detailed explanation of new law</w:t>
      </w:r>
    </w:p>
    <w:p w14:paraId="45EF8E10" w14:textId="288BEBBA" w:rsidR="009A49E6" w:rsidRDefault="00845D88" w:rsidP="00184AF2">
      <w:pPr>
        <w:pStyle w:val="base-text-paragraph"/>
        <w:numPr>
          <w:ilvl w:val="1"/>
          <w:numId w:val="33"/>
        </w:numPr>
      </w:pPr>
      <w:r>
        <w:t>All superannuation benefit payments, including rollover sup</w:t>
      </w:r>
      <w:r w:rsidR="00862709">
        <w:t>erannuation benefit payments may be</w:t>
      </w:r>
      <w:r>
        <w:t xml:space="preserve"> made up of two components</w:t>
      </w:r>
      <w:r w:rsidR="00CA4A55">
        <w:t>,</w:t>
      </w:r>
      <w:r>
        <w:t xml:space="preserve"> a tax free component and a taxable component.</w:t>
      </w:r>
    </w:p>
    <w:p w14:paraId="75919B5A" w14:textId="77DB6624" w:rsidR="005C384E" w:rsidRPr="005C384E" w:rsidRDefault="005C384E" w:rsidP="005C384E">
      <w:pPr>
        <w:pStyle w:val="base-text-paragraph"/>
        <w:numPr>
          <w:ilvl w:val="1"/>
          <w:numId w:val="33"/>
        </w:numPr>
      </w:pPr>
      <w:r w:rsidRPr="005C384E">
        <w:t xml:space="preserve">The proportioning rule (section 307-125 of the ITAA 97) specifies how to </w:t>
      </w:r>
      <w:r w:rsidR="00DE737F">
        <w:t>calculate</w:t>
      </w:r>
      <w:r w:rsidRPr="005C384E">
        <w:t xml:space="preserve"> the tax free and taxable components for most superannuation benefits.  </w:t>
      </w:r>
    </w:p>
    <w:p w14:paraId="6C2543FD" w14:textId="66F3FE5B" w:rsidR="00845D88" w:rsidRDefault="00226138" w:rsidP="005C384E">
      <w:pPr>
        <w:pStyle w:val="base-text-paragraph"/>
        <w:numPr>
          <w:ilvl w:val="1"/>
          <w:numId w:val="33"/>
        </w:numPr>
      </w:pPr>
      <w:r>
        <w:t xml:space="preserve">For benefits paid from a superannuation interest not supporting an income stream, </w:t>
      </w:r>
      <w:r w:rsidR="005C384E" w:rsidRPr="005C384E">
        <w:t>the value of the interest and its components must be worked out at the ti</w:t>
      </w:r>
      <w:r w:rsidR="00617083">
        <w:t>me the benefit is paid.  For benefits paid from an interest supporting an</w:t>
      </w:r>
      <w:r w:rsidR="005C384E" w:rsidRPr="005C384E">
        <w:t xml:space="preserve"> income stream, the v</w:t>
      </w:r>
      <w:r w:rsidR="00617083">
        <w:t>alue of the interest</w:t>
      </w:r>
      <w:r w:rsidR="005C384E" w:rsidRPr="005C384E">
        <w:t xml:space="preserve"> and its components must be determined at the time the income stream commenced</w:t>
      </w:r>
      <w:r w:rsidR="00E021B5">
        <w:t>.</w:t>
      </w:r>
    </w:p>
    <w:p w14:paraId="4852A905" w14:textId="70A88CBF" w:rsidR="00D051FA" w:rsidRDefault="00223240" w:rsidP="00D051FA">
      <w:pPr>
        <w:pStyle w:val="base-text-paragraph"/>
      </w:pPr>
      <w:r>
        <w:t>Under section 307-210 of the ITAA 97, the tax free component of a superannuation interest is so much of the value of the interest as consists of the contributions segments and the crystallised segment of the interest.</w:t>
      </w:r>
      <w:r w:rsidRPr="00223240">
        <w:t xml:space="preserve"> The contributions segment of the interest will include the tax free component of any roll-over superannuation benefits that have been paid into t</w:t>
      </w:r>
      <w:r w:rsidR="00280002">
        <w:t>he interest</w:t>
      </w:r>
      <w:r w:rsidR="00617083">
        <w:t xml:space="preserve"> from another superannuation plan</w:t>
      </w:r>
      <w:r w:rsidR="00280002">
        <w:t xml:space="preserve"> (see subsection 307-</w:t>
      </w:r>
      <w:r w:rsidRPr="00223240">
        <w:t>220(2) of the ITAA 97).</w:t>
      </w:r>
      <w:r w:rsidR="00D051FA" w:rsidRPr="00D051FA">
        <w:t xml:space="preserve"> </w:t>
      </w:r>
    </w:p>
    <w:p w14:paraId="58CED7D8" w14:textId="6E55582D" w:rsidR="00D051FA" w:rsidRDefault="00617083" w:rsidP="00D051FA">
      <w:pPr>
        <w:pStyle w:val="base-text-paragraph"/>
      </w:pPr>
      <w:r>
        <w:t>The taxable component of a superannuation interest is the value of the interest less the tax free component of the interest</w:t>
      </w:r>
      <w:r w:rsidR="00D051FA" w:rsidRPr="00D051FA">
        <w:t xml:space="preserve"> (see section 307-215 of the ITAA 97). </w:t>
      </w:r>
    </w:p>
    <w:p w14:paraId="085116E0" w14:textId="31819499" w:rsidR="00D051FA" w:rsidRDefault="00D051FA" w:rsidP="00D051FA">
      <w:pPr>
        <w:pStyle w:val="base-text-paragraph"/>
      </w:pPr>
      <w:r>
        <w:t>The application of the proportioning rule to certain involuntary roll-over</w:t>
      </w:r>
      <w:r w:rsidR="00DB513D">
        <w:t>s</w:t>
      </w:r>
      <w:r>
        <w:t xml:space="preserve"> could disadvantage </w:t>
      </w:r>
      <w:r w:rsidR="000E5564">
        <w:t xml:space="preserve">some individuals. </w:t>
      </w:r>
    </w:p>
    <w:p w14:paraId="4ACD299F" w14:textId="0218891A" w:rsidR="00E4020E" w:rsidRPr="00FE315E" w:rsidRDefault="00D051FA" w:rsidP="00E4020E">
      <w:pPr>
        <w:pStyle w:val="base-text-paragraph"/>
      </w:pPr>
      <w:r w:rsidRPr="00D051FA">
        <w:t>In the case of an involunt</w:t>
      </w:r>
      <w:r w:rsidR="00617083">
        <w:t>ary transfer of benefits from an interest not supporting an income stream</w:t>
      </w:r>
      <w:r w:rsidR="00295934">
        <w:t>,</w:t>
      </w:r>
      <w:r w:rsidR="00617083">
        <w:t xml:space="preserve"> where the sum of the contributions </w:t>
      </w:r>
      <w:r w:rsidR="00617083">
        <w:lastRenderedPageBreak/>
        <w:t>segment and the crystallised segment of the interest exceeds the value of the interest at the time of a transfer,</w:t>
      </w:r>
      <w:r w:rsidR="00295934">
        <w:t xml:space="preserve"> an individual</w:t>
      </w:r>
      <w:r w:rsidR="00617083">
        <w:t>’s new</w:t>
      </w:r>
      <w:r w:rsidRPr="00D051FA">
        <w:t xml:space="preserve"> tax free </w:t>
      </w:r>
      <w:r w:rsidR="00617083" w:rsidRPr="00D051FA">
        <w:t xml:space="preserve">component </w:t>
      </w:r>
      <w:r w:rsidR="00617083">
        <w:t xml:space="preserve">in the receiving plan will be limited to the value of their interest in the original plan </w:t>
      </w:r>
      <w:r w:rsidR="003B6043">
        <w:t xml:space="preserve">at the time of the transfer.  </w:t>
      </w:r>
      <w:r w:rsidRPr="00D051FA">
        <w:t xml:space="preserve"> This could oc</w:t>
      </w:r>
      <w:r w:rsidR="00295934">
        <w:t xml:space="preserve">cur where the original plan </w:t>
      </w:r>
      <w:r w:rsidRPr="00D051FA">
        <w:t>experience</w:t>
      </w:r>
      <w:r w:rsidR="00295934">
        <w:t>d investment losses after personal contributions were made</w:t>
      </w:r>
      <w:r w:rsidRPr="00D051FA">
        <w:t xml:space="preserve"> to the </w:t>
      </w:r>
      <w:r w:rsidR="003B6043">
        <w:t xml:space="preserve">plan.  The amount by which the sum of the segments exceeds the value of the interest in the original plan </w:t>
      </w:r>
      <w:r w:rsidR="00295934">
        <w:t>would not be re</w:t>
      </w:r>
      <w:r w:rsidR="003B6043">
        <w:t>couped by</w:t>
      </w:r>
      <w:r w:rsidR="00CE7C35">
        <w:t xml:space="preserve"> earnings in the receiving plan</w:t>
      </w:r>
      <w:r w:rsidR="003B6043">
        <w:t>.  By</w:t>
      </w:r>
      <w:r w:rsidRPr="00D051FA">
        <w:t xml:space="preserve"> contrast, if </w:t>
      </w:r>
      <w:r w:rsidR="003B6043">
        <w:t xml:space="preserve">there had been no involuntary transfer, </w:t>
      </w:r>
      <w:r w:rsidR="00E4020E">
        <w:t xml:space="preserve">the individual could recoup this excess through new earnings to the plan. The amount of tax free component of the interest could then be greater when a benefit </w:t>
      </w:r>
      <w:r w:rsidR="00DE737F">
        <w:t>i</w:t>
      </w:r>
      <w:r w:rsidR="00E4020E">
        <w:t>s paid from the plan.</w:t>
      </w:r>
    </w:p>
    <w:p w14:paraId="58F0160C" w14:textId="6D8AA743" w:rsidR="00CE7C35" w:rsidRDefault="00E95B8D" w:rsidP="00CE7C35">
      <w:pPr>
        <w:pStyle w:val="ExampleHeading"/>
      </w:pPr>
      <w:r>
        <w:t>– Loss of a tax free component</w:t>
      </w:r>
      <w:r w:rsidR="00B93031">
        <w:t xml:space="preserve"> through an involuntary roll</w:t>
      </w:r>
      <w:r w:rsidR="004A3459">
        <w:t>-</w:t>
      </w:r>
      <w:r w:rsidR="00E4020E">
        <w:t>over under the current l</w:t>
      </w:r>
      <w:r w:rsidR="00B93031">
        <w:t>aw</w:t>
      </w:r>
    </w:p>
    <w:p w14:paraId="36D787E2" w14:textId="1CEA14AD" w:rsidR="00B20F61" w:rsidRDefault="00B20F61" w:rsidP="00B20F61">
      <w:pPr>
        <w:pStyle w:val="base-text-paragraph"/>
        <w:numPr>
          <w:ilvl w:val="0"/>
          <w:numId w:val="0"/>
        </w:numPr>
        <w:ind w:left="1440"/>
      </w:pPr>
      <w:r>
        <w:t>Since 1 July 2007, Harry h</w:t>
      </w:r>
      <w:r w:rsidR="00E709C4">
        <w:t>as made $500,000 in personal</w:t>
      </w:r>
      <w:r w:rsidR="00295934">
        <w:t xml:space="preserve"> contributions</w:t>
      </w:r>
      <w:r w:rsidR="005B6827">
        <w:t>, from his after tax earnings,</w:t>
      </w:r>
      <w:r w:rsidR="00295934">
        <w:t xml:space="preserve"> to </w:t>
      </w:r>
      <w:r w:rsidR="00E709C4">
        <w:t>Village</w:t>
      </w:r>
      <w:r>
        <w:t xml:space="preserve"> Super.</w:t>
      </w:r>
      <w:r w:rsidR="00E4020E">
        <w:t xml:space="preserve"> Harry has not commenced an income stream with Village Super.   Harry’s</w:t>
      </w:r>
      <w:r>
        <w:t xml:space="preserve"> su</w:t>
      </w:r>
      <w:r w:rsidR="00E709C4">
        <w:t>perannuation interest in Village</w:t>
      </w:r>
      <w:r w:rsidR="00E4020E">
        <w:t xml:space="preserve"> Super therefore</w:t>
      </w:r>
      <w:r w:rsidR="00425326">
        <w:t xml:space="preserve"> has a </w:t>
      </w:r>
      <w:r w:rsidR="00E4020E">
        <w:t>possible</w:t>
      </w:r>
      <w:r w:rsidR="00425326">
        <w:t xml:space="preserve"> maximum</w:t>
      </w:r>
      <w:r>
        <w:t xml:space="preserve"> contributions segment of $500,000. </w:t>
      </w:r>
    </w:p>
    <w:p w14:paraId="287965A1" w14:textId="292F064C" w:rsidR="00824A17" w:rsidRDefault="00824A17" w:rsidP="00824A17">
      <w:pPr>
        <w:pStyle w:val="base-text-paragraph"/>
        <w:numPr>
          <w:ilvl w:val="0"/>
          <w:numId w:val="0"/>
        </w:numPr>
        <w:ind w:left="1440"/>
      </w:pPr>
      <w:r>
        <w:t>The trustees of Village Super agree with the trustees o</w:t>
      </w:r>
      <w:r w:rsidR="00E4020E">
        <w:t>f Civic Super to merge Village S</w:t>
      </w:r>
      <w:r>
        <w:t xml:space="preserve">uper into Civic Super on 1 July 2015.  Before the merger the two trustees also agree that Civic Super will provide members with equivalent rights to those in Village Super.  At the merger date, Harry’s interest in Village Super is valued at only $450,000. </w:t>
      </w:r>
    </w:p>
    <w:p w14:paraId="51206A42" w14:textId="38CAD781" w:rsidR="00B20F61" w:rsidRDefault="00B20F61" w:rsidP="00B20F61">
      <w:pPr>
        <w:pStyle w:val="base-text-paragraph"/>
        <w:numPr>
          <w:ilvl w:val="0"/>
          <w:numId w:val="0"/>
        </w:numPr>
        <w:ind w:left="1440"/>
      </w:pPr>
      <w:r>
        <w:t xml:space="preserve">The roll-over </w:t>
      </w:r>
      <w:r w:rsidR="00E709C4">
        <w:t>of Harry’s benefits from Village Super to Civic</w:t>
      </w:r>
      <w:r>
        <w:t xml:space="preserve"> Super</w:t>
      </w:r>
      <w:r w:rsidR="00824A17">
        <w:t>, on 1 July 2015,</w:t>
      </w:r>
      <w:r>
        <w:t xml:space="preserve"> would result in Harry losing $50,000 of the value of his </w:t>
      </w:r>
      <w:r w:rsidR="00E709C4">
        <w:t>contributions segment in Village Super</w:t>
      </w:r>
      <w:r>
        <w:t>. While the tax free component of the roll</w:t>
      </w:r>
      <w:r>
        <w:noBreakHyphen/>
        <w:t>over su</w:t>
      </w:r>
      <w:r w:rsidR="00E709C4">
        <w:t>perannuation benefit paid to Civic</w:t>
      </w:r>
      <w:r>
        <w:t xml:space="preserve"> Super would be the full amount of that benefit, this benefit is only $450,000, not the full $500,000 that could potentially be tax free.  As a result, his contributions segment in</w:t>
      </w:r>
      <w:r w:rsidR="00E709C4">
        <w:t xml:space="preserve"> Civic Super</w:t>
      </w:r>
      <w:r w:rsidR="00824A17">
        <w:t>, following the merger</w:t>
      </w:r>
      <w:r>
        <w:t xml:space="preserve"> is only $450,000. </w:t>
      </w:r>
    </w:p>
    <w:p w14:paraId="300D696C" w14:textId="44D7FAF0" w:rsidR="00CE7C35" w:rsidRDefault="00B20F61" w:rsidP="00824A17">
      <w:pPr>
        <w:pStyle w:val="base-text-paragraph"/>
        <w:numPr>
          <w:ilvl w:val="0"/>
          <w:numId w:val="0"/>
        </w:numPr>
        <w:ind w:left="1440"/>
      </w:pPr>
      <w:r>
        <w:t xml:space="preserve">If Harry’s </w:t>
      </w:r>
      <w:r w:rsidR="00E709C4">
        <w:t>benefits had remained in Village</w:t>
      </w:r>
      <w:r>
        <w:t xml:space="preserve"> Super </w:t>
      </w:r>
      <w:r w:rsidR="00824A17">
        <w:t>his</w:t>
      </w:r>
      <w:r w:rsidR="009E5291">
        <w:t xml:space="preserve"> contributions segment</w:t>
      </w:r>
      <w:r w:rsidR="00425326">
        <w:t xml:space="preserve"> could have remained at $500,000</w:t>
      </w:r>
      <w:r w:rsidR="00824A17">
        <w:t xml:space="preserve"> and</w:t>
      </w:r>
      <w:r w:rsidR="009E5291">
        <w:t xml:space="preserve"> might have been recouped by future earnings</w:t>
      </w:r>
      <w:r w:rsidR="00E709C4">
        <w:t xml:space="preserve"> in Village</w:t>
      </w:r>
      <w:r w:rsidR="009E5291">
        <w:t xml:space="preserve"> Super.</w:t>
      </w:r>
    </w:p>
    <w:p w14:paraId="403EF9B3" w14:textId="30379FBB" w:rsidR="00F30CAC" w:rsidRDefault="002A3B22" w:rsidP="00F30CAC">
      <w:pPr>
        <w:pStyle w:val="base-text-paragraph"/>
      </w:pPr>
      <w:r>
        <w:t>I</w:t>
      </w:r>
      <w:r w:rsidR="00F30CAC">
        <w:t xml:space="preserve">n the case of </w:t>
      </w:r>
      <w:r>
        <w:t>an</w:t>
      </w:r>
      <w:r w:rsidR="00F30CAC">
        <w:t xml:space="preserve"> involuntarily transfer</w:t>
      </w:r>
      <w:r>
        <w:t xml:space="preserve"> of benefits from a superannuation interest supporting an income stream immediately before the transfer, the income s</w:t>
      </w:r>
      <w:r w:rsidR="00354E59">
        <w:t>tream in the original plan</w:t>
      </w:r>
      <w:r>
        <w:t xml:space="preserve"> cease</w:t>
      </w:r>
      <w:r w:rsidR="00354E59">
        <w:t>s before the transfer is paid</w:t>
      </w:r>
      <w:r>
        <w:t xml:space="preserve">. </w:t>
      </w:r>
      <w:r w:rsidR="00354E59">
        <w:t xml:space="preserve"> </w:t>
      </w:r>
      <w:r w:rsidR="00D07034">
        <w:t>The current law</w:t>
      </w:r>
      <w:r w:rsidR="00354E59">
        <w:t xml:space="preserve"> does not provide clear guidance on how the tax free and taxable component</w:t>
      </w:r>
      <w:r w:rsidR="008B6CD4">
        <w:t>s of the benefit paid to the receiving</w:t>
      </w:r>
      <w:r w:rsidR="00354E59">
        <w:t xml:space="preserve"> plan</w:t>
      </w:r>
      <w:r w:rsidR="002E149C">
        <w:t xml:space="preserve"> as part of an involuntary transfer</w:t>
      </w:r>
      <w:r w:rsidR="00354E59">
        <w:t xml:space="preserve"> are determined as existing </w:t>
      </w:r>
      <w:r w:rsidR="00354E59">
        <w:lastRenderedPageBreak/>
        <w:t>paragra</w:t>
      </w:r>
      <w:r w:rsidR="008B6CD4">
        <w:t>ph 307-125(3)</w:t>
      </w:r>
      <w:r w:rsidR="00354E59">
        <w:t>(c) of the ITAA</w:t>
      </w:r>
      <w:r w:rsidR="00D07034">
        <w:t xml:space="preserve"> 97</w:t>
      </w:r>
      <w:r w:rsidR="00354E59">
        <w:t xml:space="preserve"> </w:t>
      </w:r>
      <w:r w:rsidR="006C6CAD">
        <w:t>only applies to commutations</w:t>
      </w:r>
      <w:r w:rsidR="00354E59">
        <w:t>.</w:t>
      </w:r>
      <w:r w:rsidR="00F30CAC">
        <w:t xml:space="preserve">  </w:t>
      </w:r>
      <w:r w:rsidR="00354E59">
        <w:t>This contrasts with</w:t>
      </w:r>
      <w:r w:rsidR="00F30CAC">
        <w:t xml:space="preserve"> the situation</w:t>
      </w:r>
      <w:r w:rsidR="00354E59">
        <w:t xml:space="preserve"> where an income stream </w:t>
      </w:r>
      <w:r w:rsidR="00F30CAC">
        <w:t>is commuted in the original plan (through a roll</w:t>
      </w:r>
      <w:r w:rsidR="00354E59">
        <w:t>-over request from the income stream holder</w:t>
      </w:r>
      <w:r w:rsidR="008B6CD4">
        <w:t xml:space="preserve">) and </w:t>
      </w:r>
      <w:r w:rsidR="00F30CAC">
        <w:t xml:space="preserve">the commuted balance is used to commence a new pension in </w:t>
      </w:r>
      <w:r w:rsidR="008B6CD4">
        <w:t xml:space="preserve">a receiving plan.  In this </w:t>
      </w:r>
      <w:r w:rsidR="00F30CAC">
        <w:t>situation the tax free and taxable component proportions</w:t>
      </w:r>
      <w:r w:rsidR="008B6CD4">
        <w:t xml:space="preserve"> of the income stream paid from the receiving plan </w:t>
      </w:r>
      <w:r w:rsidR="00D267D1">
        <w:t xml:space="preserve">would be the </w:t>
      </w:r>
      <w:r w:rsidR="00F30CAC">
        <w:t>same as</w:t>
      </w:r>
      <w:r w:rsidR="008B6CD4">
        <w:t xml:space="preserve"> the proportions for the income stream</w:t>
      </w:r>
      <w:r w:rsidR="00F30CAC">
        <w:t xml:space="preserve"> in the original plan.</w:t>
      </w:r>
    </w:p>
    <w:p w14:paraId="2ED07F67" w14:textId="229B4942" w:rsidR="00824A17" w:rsidRDefault="00CE0BCE" w:rsidP="00824A17">
      <w:pPr>
        <w:pStyle w:val="base-text-paragraph"/>
      </w:pPr>
      <w:r>
        <w:t>S</w:t>
      </w:r>
      <w:r w:rsidR="00D267D1">
        <w:t>chedule</w:t>
      </w:r>
      <w:r>
        <w:t xml:space="preserve"> #</w:t>
      </w:r>
      <w:r w:rsidR="00D267D1">
        <w:t xml:space="preserve"> introduces a new definition to identify a particular form </w:t>
      </w:r>
      <w:r w:rsidR="00824A17">
        <w:t>of a roll-over superannuation benefit being an involuntary roll-over superannuation benefit.  An involuntary roll-over superannuation benefit is</w:t>
      </w:r>
      <w:r w:rsidR="000036CB">
        <w:t>:</w:t>
      </w:r>
      <w:r w:rsidR="00824A17">
        <w:t xml:space="preserve"> a payment</w:t>
      </w:r>
      <w:r>
        <w:t xml:space="preserve"> transferring an interest of a member of a</w:t>
      </w:r>
      <w:r w:rsidR="00824A17">
        <w:t xml:space="preserve"> superannuation fund</w:t>
      </w:r>
      <w:r w:rsidR="001E10E7">
        <w:t xml:space="preserve">, </w:t>
      </w:r>
      <w:r>
        <w:t xml:space="preserve"> a depositor with an </w:t>
      </w:r>
      <w:r w:rsidR="001E10E7">
        <w:t>approved deposit fund</w:t>
      </w:r>
      <w:r w:rsidR="00824A17">
        <w:t xml:space="preserve"> or</w:t>
      </w:r>
      <w:r w:rsidR="002C219E">
        <w:t xml:space="preserve"> holder of a retirement savings account  (RSA) </w:t>
      </w:r>
      <w:r w:rsidR="00824A17">
        <w:t>to</w:t>
      </w:r>
      <w:r w:rsidR="002C219E">
        <w:t xml:space="preserve"> a</w:t>
      </w:r>
      <w:r w:rsidR="00824A17">
        <w:t xml:space="preserve"> successor fund</w:t>
      </w:r>
      <w:r w:rsidR="001E10E7">
        <w:t xml:space="preserve"> (other than a self managed superannuation fund)</w:t>
      </w:r>
      <w:r w:rsidR="006C75A4">
        <w:t>; or</w:t>
      </w:r>
      <w:r w:rsidR="00873057">
        <w:t xml:space="preserve"> a payment</w:t>
      </w:r>
      <w:r w:rsidR="00824A17">
        <w:t xml:space="preserve"> transfer</w:t>
      </w:r>
      <w:r>
        <w:t>ring</w:t>
      </w:r>
      <w:r w:rsidR="00824A17">
        <w:t xml:space="preserve"> an accrued default amount</w:t>
      </w:r>
      <w:r>
        <w:t xml:space="preserve"> of a member</w:t>
      </w:r>
      <w:r w:rsidR="00F722F0">
        <w:t xml:space="preserve"> from a complying fund to a MyS</w:t>
      </w:r>
      <w:r w:rsidR="00824A17">
        <w:t xml:space="preserve">uper product through an election made under the </w:t>
      </w:r>
      <w:r w:rsidR="00824A17" w:rsidRPr="00824A17">
        <w:rPr>
          <w:i/>
        </w:rPr>
        <w:t>Superannuation Industry (Supervision) Act 1993</w:t>
      </w:r>
      <w:r w:rsidR="00824A17">
        <w:t xml:space="preserve"> (SISA)</w:t>
      </w:r>
      <w:r w:rsidR="000036CB">
        <w:t>; or</w:t>
      </w:r>
      <w:r w:rsidR="00824A17">
        <w:t xml:space="preserve"> a payment for the issue of a superannuation interest in an eligible rollover fund u</w:t>
      </w:r>
      <w:r>
        <w:t>nder section 243 of the SISA.  The three circumstances involve</w:t>
      </w:r>
      <w:r w:rsidR="00922A5B">
        <w:t xml:space="preserve"> a transfer</w:t>
      </w:r>
      <w:r w:rsidR="00824A17">
        <w:t xml:space="preserve"> of an individual’s</w:t>
      </w:r>
      <w:r>
        <w:t xml:space="preserve"> </w:t>
      </w:r>
      <w:r w:rsidR="00824A17">
        <w:t>benefits between superannuation plans made without a re</w:t>
      </w:r>
      <w:r>
        <w:t>quest from</w:t>
      </w:r>
      <w:r w:rsidR="007C7B50">
        <w:t xml:space="preserve"> the individual concerned</w:t>
      </w:r>
      <w:r w:rsidR="00824A17">
        <w:t>.</w:t>
      </w:r>
      <w:r w:rsidR="00AC139F">
        <w:t xml:space="preserve">  </w:t>
      </w:r>
      <w:r w:rsidR="000A7E60">
        <w:rPr>
          <w:b/>
          <w:i/>
          <w:sz w:val="20"/>
        </w:rPr>
        <w:t>[Schedule #</w:t>
      </w:r>
      <w:r w:rsidR="00AC139F">
        <w:rPr>
          <w:b/>
          <w:i/>
          <w:sz w:val="20"/>
        </w:rPr>
        <w:t>, item</w:t>
      </w:r>
      <w:r w:rsidR="00514012">
        <w:rPr>
          <w:b/>
          <w:i/>
          <w:sz w:val="20"/>
        </w:rPr>
        <w:t>s</w:t>
      </w:r>
      <w:r w:rsidR="00AC139F">
        <w:rPr>
          <w:b/>
          <w:i/>
          <w:sz w:val="20"/>
        </w:rPr>
        <w:t xml:space="preserve"> 1</w:t>
      </w:r>
      <w:r w:rsidR="00514012">
        <w:rPr>
          <w:b/>
          <w:i/>
          <w:sz w:val="20"/>
        </w:rPr>
        <w:t xml:space="preserve"> and 9</w:t>
      </w:r>
      <w:r w:rsidR="00AC139F">
        <w:rPr>
          <w:b/>
          <w:i/>
          <w:sz w:val="20"/>
        </w:rPr>
        <w:t>]</w:t>
      </w:r>
      <w:r w:rsidR="00824A17">
        <w:t xml:space="preserve"> </w:t>
      </w:r>
    </w:p>
    <w:p w14:paraId="459D11F2" w14:textId="37788583" w:rsidR="0064515F" w:rsidRPr="006A0D63" w:rsidRDefault="0064515F" w:rsidP="00824A17">
      <w:pPr>
        <w:pStyle w:val="base-text-paragraph"/>
      </w:pPr>
      <w:r>
        <w:t>The schedule</w:t>
      </w:r>
      <w:r w:rsidR="00A6490C">
        <w:t xml:space="preserve"> also</w:t>
      </w:r>
      <w:r>
        <w:t xml:space="preserve"> </w:t>
      </w:r>
      <w:r w:rsidR="00F86498">
        <w:t>replaces</w:t>
      </w:r>
      <w:r>
        <w:t xml:space="preserve"> the</w:t>
      </w:r>
      <w:r w:rsidR="00A6490C">
        <w:t xml:space="preserve"> current</w:t>
      </w:r>
      <w:r>
        <w:t xml:space="preserve"> definition of successor fund in subsection 955-1(1</w:t>
      </w:r>
      <w:r w:rsidR="00F86498">
        <w:t>) of the ITAA 97 with a new definition that</w:t>
      </w:r>
      <w:r>
        <w:t xml:space="preserve"> include</w:t>
      </w:r>
      <w:r w:rsidR="00F86498">
        <w:t>s</w:t>
      </w:r>
      <w:r>
        <w:t xml:space="preserve"> a transfer of a superannuation interest of a depositor with an approved deposit fund to another superannuation fund, approved deposit fund or RSA</w:t>
      </w:r>
      <w:r w:rsidR="00A6490C">
        <w:t xml:space="preserve"> (being the successor fund).  </w:t>
      </w:r>
      <w:r w:rsidR="000A7E60">
        <w:rPr>
          <w:b/>
          <w:i/>
          <w:sz w:val="20"/>
        </w:rPr>
        <w:t xml:space="preserve">[Schedule #, item 10] </w:t>
      </w:r>
    </w:p>
    <w:p w14:paraId="6DBEF314" w14:textId="77777777" w:rsidR="006A0D63" w:rsidRDefault="006A0D63" w:rsidP="006A0D63">
      <w:pPr>
        <w:pStyle w:val="base-text-paragraph"/>
      </w:pPr>
      <w:r>
        <w:t xml:space="preserve">The amendments remove the limitation that the crystallised and the contributions segment of a superannuation interest cannot individually or cumulatively exceed the value of the interest. The tax free component of a superannuation interest in section 307-210 of the ITAA 97 remains limited to so much of the value of the interest as consists of the contributions segment and crystallised segment.  </w:t>
      </w:r>
      <w:r w:rsidRPr="006A0D63">
        <w:rPr>
          <w:b/>
          <w:i/>
          <w:sz w:val="20"/>
        </w:rPr>
        <w:t>[Schedule #, items 6 and 7]</w:t>
      </w:r>
      <w:r>
        <w:t xml:space="preserve"> </w:t>
      </w:r>
    </w:p>
    <w:p w14:paraId="1AC28F28" w14:textId="18943F71" w:rsidR="007A5388" w:rsidRDefault="00182507" w:rsidP="00F30CAC">
      <w:pPr>
        <w:pStyle w:val="base-text-paragraph"/>
      </w:pPr>
      <w:r>
        <w:t>The note to section 307-210</w:t>
      </w:r>
      <w:r w:rsidR="0012665B">
        <w:t xml:space="preserve"> of the ITAA 97</w:t>
      </w:r>
      <w:r w:rsidR="00280002">
        <w:t xml:space="preserve"> has </w:t>
      </w:r>
      <w:r w:rsidR="00861566">
        <w:t xml:space="preserve">been </w:t>
      </w:r>
      <w:r w:rsidR="008D65F3">
        <w:t>replaced with</w:t>
      </w:r>
      <w:r w:rsidR="00B10A9B">
        <w:t xml:space="preserve"> </w:t>
      </w:r>
      <w:r w:rsidR="00280002">
        <w:t>new sub-section</w:t>
      </w:r>
      <w:r w:rsidR="00B10A9B">
        <w:t xml:space="preserve"> 301-210(2)</w:t>
      </w:r>
      <w:r w:rsidR="00280002">
        <w:t xml:space="preserve"> </w:t>
      </w:r>
      <w:r w:rsidR="003967D6">
        <w:t xml:space="preserve">confirming how </w:t>
      </w:r>
      <w:r>
        <w:t xml:space="preserve">the tax free component of an </w:t>
      </w:r>
      <w:r w:rsidR="009E3A62">
        <w:t>interest is</w:t>
      </w:r>
      <w:r w:rsidR="003967D6">
        <w:t xml:space="preserve"> reduced </w:t>
      </w:r>
      <w:r>
        <w:t xml:space="preserve">when a superannuation </w:t>
      </w:r>
      <w:r w:rsidR="00280002">
        <w:t>benefit is paid</w:t>
      </w:r>
      <w:r w:rsidR="003967D6">
        <w:t xml:space="preserve"> from the interest</w:t>
      </w:r>
      <w:r w:rsidR="00280002">
        <w:t>.  This is done by firstly reducin</w:t>
      </w:r>
      <w:r w:rsidR="003967D6">
        <w:t>g the crystallised segment of the</w:t>
      </w:r>
      <w:r w:rsidR="00280002">
        <w:t xml:space="preserve"> interest (but not below zero) </w:t>
      </w:r>
      <w:r>
        <w:t>by an amount equal to the tax free component of the superannuation benefit.</w:t>
      </w:r>
      <w:r w:rsidR="00280002">
        <w:t xml:space="preserve">  If any</w:t>
      </w:r>
      <w:r w:rsidR="003967D6">
        <w:t xml:space="preserve"> of </w:t>
      </w:r>
      <w:r w:rsidR="00280002">
        <w:t>amount</w:t>
      </w:r>
      <w:r w:rsidR="003967D6">
        <w:t xml:space="preserve"> of the tax free component of the superannuation benefit</w:t>
      </w:r>
      <w:r w:rsidR="00280002">
        <w:t xml:space="preserve"> remain</w:t>
      </w:r>
      <w:r w:rsidR="00861566">
        <w:t>s</w:t>
      </w:r>
      <w:r w:rsidR="00280002">
        <w:t xml:space="preserve"> after the reduction</w:t>
      </w:r>
      <w:r w:rsidR="00861566">
        <w:t xml:space="preserve"> of the crystallised segment</w:t>
      </w:r>
      <w:r w:rsidR="003967D6">
        <w:t xml:space="preserve"> (if the interest has one)</w:t>
      </w:r>
      <w:r w:rsidR="00861566">
        <w:t xml:space="preserve">, </w:t>
      </w:r>
      <w:r w:rsidR="00280002">
        <w:t>then</w:t>
      </w:r>
      <w:r w:rsidR="003967D6">
        <w:t xml:space="preserve"> the contribution</w:t>
      </w:r>
      <w:r w:rsidR="00861566">
        <w:t>s segment is</w:t>
      </w:r>
      <w:r w:rsidR="003967D6">
        <w:t xml:space="preserve"> reduced by this</w:t>
      </w:r>
      <w:r w:rsidR="00280002">
        <w:t xml:space="preserve"> remaining amount.  This has the ef</w:t>
      </w:r>
      <w:r w:rsidR="003967D6">
        <w:t xml:space="preserve">fect of reducing the </w:t>
      </w:r>
      <w:r w:rsidR="00280002">
        <w:t>tax free component</w:t>
      </w:r>
      <w:r w:rsidR="003967D6">
        <w:t xml:space="preserve"> of the interest</w:t>
      </w:r>
      <w:r w:rsidR="00280002">
        <w:t xml:space="preserve"> by the</w:t>
      </w:r>
      <w:r w:rsidR="009E3A62">
        <w:t xml:space="preserve"> amount of the</w:t>
      </w:r>
      <w:r w:rsidR="008D65F3">
        <w:t xml:space="preserve"> </w:t>
      </w:r>
      <w:r w:rsidR="00280002">
        <w:t>tax free component</w:t>
      </w:r>
      <w:r w:rsidR="00C51561">
        <w:t xml:space="preserve"> of the benefit</w:t>
      </w:r>
      <w:r w:rsidR="008D65F3">
        <w:t>.</w:t>
      </w:r>
      <w:r w:rsidR="00C51561">
        <w:t xml:space="preserve">  </w:t>
      </w:r>
      <w:r w:rsidR="00C51561">
        <w:rPr>
          <w:b/>
          <w:i/>
          <w:sz w:val="20"/>
        </w:rPr>
        <w:t>[Schedule #, items 4,5, and 8]</w:t>
      </w:r>
    </w:p>
    <w:p w14:paraId="1693008F" w14:textId="566523BA" w:rsidR="008D7BCB" w:rsidRDefault="007A5388" w:rsidP="00F30CAC">
      <w:pPr>
        <w:pStyle w:val="base-text-paragraph"/>
      </w:pPr>
      <w:r>
        <w:lastRenderedPageBreak/>
        <w:t xml:space="preserve"> T</w:t>
      </w:r>
      <w:r w:rsidR="00B97764">
        <w:t>he</w:t>
      </w:r>
      <w:r w:rsidR="00141C4E">
        <w:t xml:space="preserve"> method for determining the contributions segment of a superannuation</w:t>
      </w:r>
      <w:r w:rsidR="009824D2">
        <w:t xml:space="preserve"> </w:t>
      </w:r>
      <w:r w:rsidR="00B97764">
        <w:t>interest</w:t>
      </w:r>
      <w:r w:rsidR="00DB394B">
        <w:t xml:space="preserve"> in section 307-220 of the ITAA 97 </w:t>
      </w:r>
      <w:r>
        <w:t xml:space="preserve"> is</w:t>
      </w:r>
      <w:r w:rsidR="00B97764">
        <w:t xml:space="preserve"> </w:t>
      </w:r>
      <w:r>
        <w:t>modified</w:t>
      </w:r>
      <w:r w:rsidR="009824D2">
        <w:t xml:space="preserve"> to disregard the tax </w:t>
      </w:r>
      <w:r w:rsidR="00141C4E">
        <w:t>free component of an involuntary roll-over superannuation</w:t>
      </w:r>
      <w:r w:rsidR="0005649C">
        <w:t xml:space="preserve"> benefit </w:t>
      </w:r>
      <w:r w:rsidR="00141C4E">
        <w:t>paid into the interest from an earlier interest (ot</w:t>
      </w:r>
      <w:r w:rsidR="0005649C">
        <w:t>her than one</w:t>
      </w:r>
      <w:r w:rsidR="00141C4E">
        <w:t xml:space="preserve"> </w:t>
      </w:r>
      <w:r w:rsidR="00191E76">
        <w:t xml:space="preserve">supporting an income stream).  </w:t>
      </w:r>
      <w:r w:rsidR="00141C4E">
        <w:t xml:space="preserve">An amount equal to the </w:t>
      </w:r>
      <w:r w:rsidR="00191E76">
        <w:t xml:space="preserve">sum of the </w:t>
      </w:r>
      <w:r w:rsidR="00141C4E">
        <w:t>contributions</w:t>
      </w:r>
      <w:r w:rsidR="00191E76">
        <w:t xml:space="preserve"> segment</w:t>
      </w:r>
      <w:r w:rsidR="00141C4E">
        <w:t xml:space="preserve"> and crystallised segment</w:t>
      </w:r>
      <w:r w:rsidR="00B97764">
        <w:t xml:space="preserve"> of the earlier interest is</w:t>
      </w:r>
      <w:r w:rsidR="00141C4E">
        <w:t xml:space="preserve"> then included in</w:t>
      </w:r>
      <w:r w:rsidR="00191E76">
        <w:t xml:space="preserve"> the</w:t>
      </w:r>
      <w:r w:rsidR="00141C4E">
        <w:t xml:space="preserve"> contributions segment of the new interest.</w:t>
      </w:r>
      <w:r w:rsidR="00A77B97">
        <w:t xml:space="preserve">  </w:t>
      </w:r>
      <w:r w:rsidR="00A77B97">
        <w:rPr>
          <w:b/>
          <w:i/>
          <w:sz w:val="20"/>
        </w:rPr>
        <w:t>[Schedule #, item 6]</w:t>
      </w:r>
    </w:p>
    <w:p w14:paraId="2F5D9951" w14:textId="0440B924" w:rsidR="00141C4E" w:rsidRDefault="000C62EA" w:rsidP="00F30CAC">
      <w:pPr>
        <w:pStyle w:val="base-text-paragraph"/>
      </w:pPr>
      <w:r>
        <w:tab/>
      </w:r>
      <w:r w:rsidR="00141C4E">
        <w:t xml:space="preserve">  </w:t>
      </w:r>
      <w:r w:rsidR="008952D7">
        <w:t>The effect of these amendments</w:t>
      </w:r>
      <w:r w:rsidR="00346ECB">
        <w:t xml:space="preserve">, for an involuntary roll-over of an interest not supporting an income stream, </w:t>
      </w:r>
      <w:r w:rsidR="008952D7">
        <w:t xml:space="preserve"> is that the tax free component of the new interest will no</w:t>
      </w:r>
      <w:r w:rsidR="00233042">
        <w:t>t be limited by the value of</w:t>
      </w:r>
      <w:r w:rsidR="00346ECB">
        <w:t xml:space="preserve"> the earlier</w:t>
      </w:r>
      <w:r w:rsidR="008952D7">
        <w:t xml:space="preserve"> interest in the original plan immediately before the involuntary roll-over occurred.  </w:t>
      </w:r>
      <w:r w:rsidR="00141C4E">
        <w:t xml:space="preserve"> </w:t>
      </w:r>
      <w:r w:rsidR="00D92746">
        <w:t>In circumstances whe</w:t>
      </w:r>
      <w:r w:rsidR="00057004">
        <w:t>re</w:t>
      </w:r>
      <w:r w:rsidR="00D92746">
        <w:t xml:space="preserve"> investment losses in the </w:t>
      </w:r>
      <w:r w:rsidR="006F67B4">
        <w:t>original plan are effectively ‘</w:t>
      </w:r>
      <w:r w:rsidR="00D92746">
        <w:t>recovered</w:t>
      </w:r>
      <w:r w:rsidR="006F67B4">
        <w:t>’</w:t>
      </w:r>
      <w:r w:rsidR="00D92746">
        <w:t xml:space="preserve"> in the </w:t>
      </w:r>
      <w:r w:rsidR="006F67B4">
        <w:t>receiving</w:t>
      </w:r>
      <w:r w:rsidR="00057004">
        <w:t xml:space="preserve"> plan</w:t>
      </w:r>
      <w:r w:rsidR="004A3459">
        <w:t xml:space="preserve">, any tax </w:t>
      </w:r>
      <w:r w:rsidR="00D92746">
        <w:t>free component</w:t>
      </w:r>
      <w:r w:rsidR="00057004">
        <w:t xml:space="preserve"> otherwise</w:t>
      </w:r>
      <w:r w:rsidR="00CE4596">
        <w:t xml:space="preserve"> lost through the involuntary roll-over</w:t>
      </w:r>
      <w:r w:rsidR="000E583F">
        <w:t xml:space="preserve"> could</w:t>
      </w:r>
      <w:r w:rsidR="00CE4596">
        <w:t xml:space="preserve"> then</w:t>
      </w:r>
      <w:r w:rsidR="000E583F">
        <w:t xml:space="preserve"> </w:t>
      </w:r>
      <w:r w:rsidR="00057004">
        <w:t>be recouped</w:t>
      </w:r>
      <w:r w:rsidR="004A3459">
        <w:t xml:space="preserve"> on a</w:t>
      </w:r>
      <w:r w:rsidR="00D92746">
        <w:t xml:space="preserve"> b</w:t>
      </w:r>
      <w:r w:rsidR="00B97764">
        <w:t>enefit payment from the new plan</w:t>
      </w:r>
      <w:r w:rsidR="00D92746">
        <w:t>.</w:t>
      </w:r>
    </w:p>
    <w:p w14:paraId="7399F9D6" w14:textId="0E99ACE9" w:rsidR="00E95B8D" w:rsidRDefault="00B93031" w:rsidP="00E95B8D">
      <w:pPr>
        <w:pStyle w:val="ExampleHeading"/>
      </w:pPr>
      <w:r>
        <w:t xml:space="preserve">  - Treatment of the contributions segment through an involuntary roll</w:t>
      </w:r>
      <w:r w:rsidR="004A3459">
        <w:t>-</w:t>
      </w:r>
      <w:r w:rsidR="008A65C9">
        <w:t xml:space="preserve">over under the </w:t>
      </w:r>
      <w:r>
        <w:t>new law</w:t>
      </w:r>
    </w:p>
    <w:p w14:paraId="79706C4D" w14:textId="58EA662A" w:rsidR="00B93031" w:rsidRDefault="00B93031" w:rsidP="00B93031">
      <w:pPr>
        <w:pStyle w:val="base-text-paragraph"/>
        <w:numPr>
          <w:ilvl w:val="0"/>
          <w:numId w:val="0"/>
        </w:numPr>
        <w:ind w:left="1440"/>
      </w:pPr>
      <w:r>
        <w:t>Since 1 July 2007, Harry has made $500,000 in personal contributions, from his after tax earnings, to Village Super.</w:t>
      </w:r>
      <w:r w:rsidR="00835525">
        <w:t xml:space="preserve"> </w:t>
      </w:r>
      <w:r>
        <w:t xml:space="preserve"> </w:t>
      </w:r>
      <w:r w:rsidR="00835525">
        <w:t>Harry has not commenced an income stream with Village Super.   Harry’s</w:t>
      </w:r>
      <w:r>
        <w:t xml:space="preserve"> superannuation inter</w:t>
      </w:r>
      <w:r w:rsidR="00267F97">
        <w:t xml:space="preserve">est in Village Super </w:t>
      </w:r>
      <w:r>
        <w:t xml:space="preserve">has a </w:t>
      </w:r>
      <w:r w:rsidR="00835525">
        <w:t xml:space="preserve">possible maximum </w:t>
      </w:r>
      <w:r>
        <w:t>con</w:t>
      </w:r>
      <w:r w:rsidR="007F156F">
        <w:t xml:space="preserve">tributions segment of $500,000 and a crystallised segment of zero. </w:t>
      </w:r>
    </w:p>
    <w:p w14:paraId="68F7B8B0" w14:textId="70F476A6" w:rsidR="00B93031" w:rsidRDefault="007F156F" w:rsidP="00B93031">
      <w:pPr>
        <w:pStyle w:val="base-text-paragraph"/>
        <w:numPr>
          <w:ilvl w:val="0"/>
          <w:numId w:val="0"/>
        </w:numPr>
        <w:ind w:left="1440"/>
      </w:pPr>
      <w:r>
        <w:t>The trustees of Village</w:t>
      </w:r>
      <w:r w:rsidR="00424574">
        <w:t xml:space="preserve"> Super agree with the trustees o</w:t>
      </w:r>
      <w:r w:rsidR="00F97D9B">
        <w:t>f Civic Super to merge Village S</w:t>
      </w:r>
      <w:r w:rsidR="00424574">
        <w:t>uper into Civic Super</w:t>
      </w:r>
      <w:r>
        <w:t xml:space="preserve"> on 1 July 2015</w:t>
      </w:r>
      <w:r w:rsidR="00424574">
        <w:t>.  Before the merger the</w:t>
      </w:r>
      <w:r w:rsidR="00951417">
        <w:t xml:space="preserve"> two</w:t>
      </w:r>
      <w:r w:rsidR="00424574">
        <w:t xml:space="preserve"> trustees also agree that Civic Super will provide members with equivalent rights to those in Village Super</w:t>
      </w:r>
      <w:r w:rsidR="00B93031">
        <w:t>.</w:t>
      </w:r>
      <w:r w:rsidR="00424574">
        <w:t xml:space="preserve"> </w:t>
      </w:r>
      <w:r w:rsidR="00267F97">
        <w:t xml:space="preserve"> As at 1 July 2015</w:t>
      </w:r>
      <w:r w:rsidR="00B93031">
        <w:t xml:space="preserve">, Harry’s interest in Village Super is valued at only $450,000. </w:t>
      </w:r>
    </w:p>
    <w:p w14:paraId="138D3DE4" w14:textId="56B3B3F2" w:rsidR="007F156F" w:rsidRDefault="007F156F" w:rsidP="00B93031">
      <w:pPr>
        <w:pStyle w:val="base-text-paragraph"/>
        <w:numPr>
          <w:ilvl w:val="0"/>
          <w:numId w:val="0"/>
        </w:numPr>
        <w:ind w:left="1440"/>
      </w:pPr>
      <w:r>
        <w:t xml:space="preserve">On 1 September 2015, Harry decides to retire and withdraw all his superannuation benefits from Civic Super.  On 1 September 2015, the value of Harry’s interest in Civic Super has risen to $490,000.  No contributions have been made to Civic Super since the merger by Harry or on his behalf.  </w:t>
      </w:r>
    </w:p>
    <w:p w14:paraId="058C47E1" w14:textId="66F80F47" w:rsidR="00B93031" w:rsidRDefault="00B93031" w:rsidP="00B93031">
      <w:pPr>
        <w:pStyle w:val="base-text-paragraph"/>
        <w:numPr>
          <w:ilvl w:val="0"/>
          <w:numId w:val="0"/>
        </w:numPr>
        <w:ind w:left="1440"/>
      </w:pPr>
      <w:r>
        <w:t xml:space="preserve">Under the new law Harry’s contributions </w:t>
      </w:r>
      <w:r w:rsidR="007F156F">
        <w:t xml:space="preserve">segment in the new fund would be $500,000.  That is it </w:t>
      </w:r>
      <w:r w:rsidR="008D7ED7">
        <w:t>w</w:t>
      </w:r>
      <w:r w:rsidR="00424574">
        <w:t>ould consist of the sum of the contributions segment and the crystallised segment, of Harry’s earlier interest in Village super immediately before the merger with Civic Super.</w:t>
      </w:r>
      <w:r w:rsidR="003503D8">
        <w:t xml:space="preserve"> </w:t>
      </w:r>
      <w:r w:rsidR="00951417">
        <w:t xml:space="preserve"> The tax free component of Harry’s benefit payment o</w:t>
      </w:r>
      <w:r w:rsidR="009824D2">
        <w:t>n retirement would therefore be</w:t>
      </w:r>
      <w:r w:rsidR="00951417">
        <w:t xml:space="preserve"> the full amount of the benefit payment being $490,000.</w:t>
      </w:r>
    </w:p>
    <w:p w14:paraId="222DC9A4" w14:textId="7C85DC01" w:rsidR="00E95B8D" w:rsidRPr="00E95B8D" w:rsidRDefault="00267F97" w:rsidP="00EE3273">
      <w:pPr>
        <w:pStyle w:val="base-text-paragraph"/>
        <w:numPr>
          <w:ilvl w:val="0"/>
          <w:numId w:val="0"/>
        </w:numPr>
        <w:ind w:left="1440"/>
      </w:pPr>
      <w:r>
        <w:lastRenderedPageBreak/>
        <w:t>By</w:t>
      </w:r>
      <w:r w:rsidR="009824D2">
        <w:t xml:space="preserve"> contrast</w:t>
      </w:r>
      <w:r w:rsidR="00EE6E70">
        <w:t>,</w:t>
      </w:r>
      <w:r w:rsidR="009824D2">
        <w:t xml:space="preserve"> under the old law, Harry’s contribution segment would have </w:t>
      </w:r>
      <w:r>
        <w:t>been limited to the value of the</w:t>
      </w:r>
      <w:r w:rsidR="009824D2">
        <w:t xml:space="preserve"> tax free component</w:t>
      </w:r>
      <w:r>
        <w:t xml:space="preserve"> of the benefit</w:t>
      </w:r>
      <w:r w:rsidR="009824D2">
        <w:t xml:space="preserve"> paid from Village Super into Civic Super, being $450,000.  </w:t>
      </w:r>
      <w:r w:rsidR="00F15D19">
        <w:t>Harry’s retirement</w:t>
      </w:r>
      <w:r w:rsidR="009824D2">
        <w:t xml:space="preserve"> payment would have therefore consisted of a $450,000 ta</w:t>
      </w:r>
      <w:r w:rsidR="00F15D19">
        <w:t>x free component and a residual $40,000 t</w:t>
      </w:r>
      <w:r w:rsidR="00EE3273">
        <w:t>axable component.</w:t>
      </w:r>
    </w:p>
    <w:p w14:paraId="55B9F357" w14:textId="37C4BB71" w:rsidR="00853552" w:rsidRDefault="007C7B50" w:rsidP="006E42A0">
      <w:pPr>
        <w:pStyle w:val="base-text-paragraph"/>
      </w:pPr>
      <w:r>
        <w:t>Similarly</w:t>
      </w:r>
      <w:r w:rsidR="00EE6E70">
        <w:t>,</w:t>
      </w:r>
      <w:r w:rsidR="00EE3273">
        <w:t xml:space="preserve"> under the amendments</w:t>
      </w:r>
      <w:r>
        <w:t>, where an involuntary roll-over superannuation benefit is paid from a superannuation interest that was supporting a superannuation income stream</w:t>
      </w:r>
      <w:r w:rsidR="000B19E6">
        <w:t xml:space="preserve"> immediately before the benefit</w:t>
      </w:r>
      <w:r>
        <w:t xml:space="preserve"> was paid, the new income stream</w:t>
      </w:r>
      <w:r w:rsidR="00267F97">
        <w:t xml:space="preserve"> paid from the receiving plan</w:t>
      </w:r>
      <w:r>
        <w:t xml:space="preserve"> will retain the same proportion of tax free and taxable components as the original income stream.   This will ensure </w:t>
      </w:r>
      <w:r w:rsidR="00267F97">
        <w:t xml:space="preserve">there is no the disadvantage to an individual in receipt of an income stream </w:t>
      </w:r>
      <w:r w:rsidR="00147500">
        <w:t>because of an</w:t>
      </w:r>
      <w:r w:rsidR="00267F97">
        <w:t xml:space="preserve"> involuntary roll-over.</w:t>
      </w:r>
      <w:r w:rsidR="008874E0">
        <w:t xml:space="preserve">  </w:t>
      </w:r>
      <w:r w:rsidR="008874E0">
        <w:rPr>
          <w:b/>
          <w:i/>
          <w:sz w:val="20"/>
        </w:rPr>
        <w:t>[Schedule #, item 3]</w:t>
      </w:r>
    </w:p>
    <w:p w14:paraId="78FB00A5" w14:textId="4C3AC369" w:rsidR="00267F97" w:rsidRDefault="00EE776D" w:rsidP="00267F97">
      <w:pPr>
        <w:pStyle w:val="base-text-paragraph"/>
      </w:pPr>
      <w:r>
        <w:t>The amendments will also remove the need for the provider of a transferring plan to provide a roll-over</w:t>
      </w:r>
      <w:r w:rsidR="00267F97">
        <w:t xml:space="preserve"> benefit statement to each</w:t>
      </w:r>
      <w:r>
        <w:t xml:space="preserve"> former member</w:t>
      </w:r>
      <w:r w:rsidR="00267F97">
        <w:t>, depositor</w:t>
      </w:r>
      <w:r>
        <w:t xml:space="preserve"> or account hol</w:t>
      </w:r>
      <w:r w:rsidR="00267F97">
        <w:t>der.</w:t>
      </w:r>
      <w:r w:rsidR="00267F97" w:rsidRPr="00267F97">
        <w:t xml:space="preserve"> </w:t>
      </w:r>
      <w:r w:rsidR="00267F97">
        <w:t xml:space="preserve">These individuals will still receive information on the transfer in accordance with disclosure obligations under the </w:t>
      </w:r>
      <w:r w:rsidR="00267F97" w:rsidRPr="00267F97">
        <w:rPr>
          <w:i/>
        </w:rPr>
        <w:t>Corporations Regulations 2001</w:t>
      </w:r>
      <w:r w:rsidR="00267F97">
        <w:t xml:space="preserve">.  </w:t>
      </w:r>
      <w:r w:rsidR="0064515F">
        <w:t xml:space="preserve">They may also request information on the roll-over from their original plan under section 390-15 </w:t>
      </w:r>
      <w:r w:rsidR="006B0FDC">
        <w:t>of</w:t>
      </w:r>
      <w:r w:rsidR="0064515F">
        <w:t xml:space="preserve"> Schedule 1 to the </w:t>
      </w:r>
      <w:r w:rsidR="00932DB2">
        <w:t>TAA.</w:t>
      </w:r>
      <w:r w:rsidR="00514012">
        <w:t xml:space="preserve">  </w:t>
      </w:r>
      <w:r w:rsidR="00514012">
        <w:rPr>
          <w:b/>
          <w:i/>
          <w:sz w:val="20"/>
        </w:rPr>
        <w:t>[Schedule #, item 11]</w:t>
      </w:r>
    </w:p>
    <w:p w14:paraId="78737C72" w14:textId="77777777" w:rsidR="00D27D0A" w:rsidRDefault="00D27D0A" w:rsidP="008952D7">
      <w:pPr>
        <w:pStyle w:val="Heading2"/>
      </w:pPr>
      <w:r>
        <w:t>Application and transitional provisions</w:t>
      </w:r>
    </w:p>
    <w:p w14:paraId="017A2631" w14:textId="4D90FBC5" w:rsidR="00D27D0A" w:rsidRPr="008F726E" w:rsidRDefault="00A84000" w:rsidP="008952D7">
      <w:pPr>
        <w:pStyle w:val="base-text-paragraph"/>
      </w:pPr>
      <w:r>
        <w:t>The amendments made by this schedu</w:t>
      </w:r>
      <w:r w:rsidR="00DC22AB">
        <w:t>le apply in relation to superannuation benefits paid on or after 1 July 2015.</w:t>
      </w:r>
      <w:r w:rsidR="0096462D">
        <w:t xml:space="preserve">  </w:t>
      </w:r>
      <w:r w:rsidR="00972ACB">
        <w:rPr>
          <w:b/>
          <w:i/>
          <w:sz w:val="20"/>
        </w:rPr>
        <w:t>[Schedule #</w:t>
      </w:r>
      <w:r w:rsidR="0096462D">
        <w:rPr>
          <w:b/>
          <w:i/>
          <w:sz w:val="20"/>
        </w:rPr>
        <w:t>, item 11]</w:t>
      </w:r>
    </w:p>
    <w:p w14:paraId="4617D42E" w14:textId="77777777" w:rsidR="00D27D0A" w:rsidRDefault="00D27D0A" w:rsidP="008952D7">
      <w:pPr>
        <w:pStyle w:val="Hiddentext"/>
      </w:pPr>
      <w:r>
        <w:t>Do not remove section break.</w:t>
      </w:r>
    </w:p>
    <w:p w14:paraId="1B33D343" w14:textId="77777777" w:rsidR="00D27D0A" w:rsidRDefault="00D27D0A" w:rsidP="008952D7">
      <w:pPr>
        <w:sectPr w:rsidR="00D27D0A" w:rsidSect="008952D7">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cols w:space="708"/>
          <w:titlePg/>
          <w:docGrid w:linePitch="360"/>
        </w:sectPr>
      </w:pPr>
    </w:p>
    <w:p w14:paraId="6153D1C0" w14:textId="77777777" w:rsidR="00D27D0A" w:rsidRDefault="00D27D0A" w:rsidP="008952D7">
      <w:pPr>
        <w:pStyle w:val="Hiddentext"/>
        <w:sectPr w:rsidR="00D27D0A" w:rsidSect="008952D7">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r>
        <w:lastRenderedPageBreak/>
        <w:t>Do not remove section break</w:t>
      </w:r>
    </w:p>
    <w:p w14:paraId="67A28D7C" w14:textId="77777777" w:rsidR="00D27D0A" w:rsidRPr="00FE4340" w:rsidRDefault="00D27D0A" w:rsidP="00FE4340"/>
    <w:p w14:paraId="6090A758" w14:textId="5BA83FD4" w:rsidR="005255EA" w:rsidRPr="006A4718" w:rsidRDefault="005255EA" w:rsidP="006A4718"/>
    <w:sectPr w:rsidR="005255EA" w:rsidRPr="006A4718" w:rsidSect="00821379">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C2DCE" w14:textId="77777777" w:rsidR="006C6CAD" w:rsidRDefault="006C6CAD">
      <w:r>
        <w:separator/>
      </w:r>
    </w:p>
  </w:endnote>
  <w:endnote w:type="continuationSeparator" w:id="0">
    <w:p w14:paraId="25C13824" w14:textId="77777777" w:rsidR="006C6CAD" w:rsidRDefault="006C6CAD">
      <w:r>
        <w:continuationSeparator/>
      </w:r>
    </w:p>
  </w:endnote>
  <w:endnote w:type="continuationNotice" w:id="1">
    <w:p w14:paraId="3399A607" w14:textId="77777777" w:rsidR="006C6CAD" w:rsidRDefault="006C6C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2836" w14:textId="77777777" w:rsidR="006C6CAD" w:rsidRDefault="006C6CAD" w:rsidP="008952D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23BF" w14:textId="77777777" w:rsidR="006C6CAD" w:rsidRDefault="006C6CAD" w:rsidP="008952D7">
    <w:pPr>
      <w:pStyle w:val="leftfooter"/>
    </w:pPr>
    <w:r>
      <w:fldChar w:fldCharType="begin"/>
    </w:r>
    <w:r>
      <w:instrText xml:space="preserve"> PAGE   \* MERGEFORMAT </w:instrText>
    </w:r>
    <w:r>
      <w:fldChar w:fldCharType="separate"/>
    </w:r>
    <w:r w:rsidR="00374E40">
      <w:rPr>
        <w:noProof/>
      </w:rPr>
      <w:t>12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DB3B4" w14:textId="77777777" w:rsidR="006C6CAD" w:rsidRDefault="006C6CAD" w:rsidP="008952D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4D7F7" w14:textId="77777777" w:rsidR="006C6CAD" w:rsidRDefault="006C6CAD" w:rsidP="008952D7">
    <w:pPr>
      <w:pStyle w:val="rightfooter"/>
    </w:pPr>
    <w:r>
      <w:fldChar w:fldCharType="begin"/>
    </w:r>
    <w:r>
      <w:instrText xml:space="preserve"> PAGE  \* Arabic  \* MERGEFORMAT </w:instrText>
    </w:r>
    <w:r>
      <w:fldChar w:fldCharType="separate"/>
    </w:r>
    <w:r w:rsidR="00EC1E31">
      <w:rPr>
        <w:noProof/>
      </w:rPr>
      <w:t>11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AB5E7" w14:textId="77777777" w:rsidR="006C6CAD" w:rsidRDefault="006C6CAD"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CC4D" w14:textId="77777777" w:rsidR="006C6CAD" w:rsidRDefault="006C6CAD"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CD269" w14:textId="77777777" w:rsidR="006C6CAD" w:rsidRDefault="006C6CAD" w:rsidP="005A76CC">
    <w:pPr>
      <w:pStyle w:val="rightfooter"/>
    </w:pPr>
    <w:r>
      <w:fldChar w:fldCharType="begin"/>
    </w:r>
    <w:r>
      <w:instrText xml:space="preserve"> PAGE  \* Arabic  \* MERGEFORMAT </w:instrText>
    </w:r>
    <w:r>
      <w:fldChar w:fldCharType="separate"/>
    </w:r>
    <w:r>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9DF9" w14:textId="77777777" w:rsidR="006C6CAD" w:rsidRDefault="006C6CAD" w:rsidP="008952D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49C31" w14:textId="77777777" w:rsidR="00C37564" w:rsidRDefault="00C375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007C4" w14:textId="77777777" w:rsidR="006C6CAD" w:rsidRDefault="006C6CAD" w:rsidP="008952D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C538E" w14:textId="77777777" w:rsidR="006C6CAD" w:rsidRDefault="006C6CAD" w:rsidP="008952D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98B72" w14:textId="77777777" w:rsidR="006C6CAD" w:rsidRDefault="006C6CAD" w:rsidP="008952D7">
    <w:pPr>
      <w:pStyle w:val="rightfooter"/>
    </w:pPr>
    <w:r>
      <w:fldChar w:fldCharType="begin"/>
    </w:r>
    <w:r>
      <w:instrText xml:space="preserve"> PAGE  \* Arabic  \* MERGEFORMAT </w:instrText>
    </w:r>
    <w:r>
      <w:fldChar w:fldCharType="separate"/>
    </w:r>
    <w:r w:rsidR="00EC1E31">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19D22" w14:textId="77777777" w:rsidR="006C6CAD" w:rsidRDefault="006C6CAD" w:rsidP="008952D7">
    <w:pPr>
      <w:pStyle w:val="leftfooter"/>
    </w:pPr>
    <w:r>
      <w:fldChar w:fldCharType="begin"/>
    </w:r>
    <w:r>
      <w:instrText xml:space="preserve"> PAGE   \* MERGEFORMAT </w:instrText>
    </w:r>
    <w:r>
      <w:fldChar w:fldCharType="separate"/>
    </w:r>
    <w:r w:rsidR="00EC1E31">
      <w:rPr>
        <w:noProof/>
      </w:rPr>
      <w:t>10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1F74" w14:textId="77777777" w:rsidR="006C6CAD" w:rsidRDefault="006C6CAD" w:rsidP="008952D7">
    <w:pPr>
      <w:pStyle w:val="rightfooter"/>
    </w:pPr>
    <w:r>
      <w:fldChar w:fldCharType="begin"/>
    </w:r>
    <w:r>
      <w:instrText xml:space="preserve"> PAGE   \* MERGEFORMAT </w:instrText>
    </w:r>
    <w:r>
      <w:fldChar w:fldCharType="separate"/>
    </w:r>
    <w:r w:rsidR="00EC1E31">
      <w:rPr>
        <w:noProof/>
      </w:rPr>
      <w:t>9</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3809C" w14:textId="77777777" w:rsidR="006C6CAD" w:rsidRDefault="006C6CAD" w:rsidP="008952D7">
    <w:pPr>
      <w:pStyle w:val="rightfooter"/>
    </w:pPr>
    <w:r>
      <w:fldChar w:fldCharType="begin"/>
    </w:r>
    <w:r>
      <w:instrText xml:space="preserve"> PAGE  \* Arabic  \* MERGEFORMAT </w:instrText>
    </w:r>
    <w:r>
      <w:fldChar w:fldCharType="separate"/>
    </w:r>
    <w:r w:rsidR="00EC1E3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068E6" w14:textId="77777777" w:rsidR="006C6CAD" w:rsidRDefault="006C6CAD">
      <w:r>
        <w:separator/>
      </w:r>
    </w:p>
  </w:footnote>
  <w:footnote w:type="continuationSeparator" w:id="0">
    <w:p w14:paraId="544935CB" w14:textId="77777777" w:rsidR="006C6CAD" w:rsidRDefault="006C6CAD">
      <w:r>
        <w:continuationSeparator/>
      </w:r>
    </w:p>
  </w:footnote>
  <w:footnote w:type="continuationNotice" w:id="1">
    <w:p w14:paraId="2D6F7ABD" w14:textId="77777777" w:rsidR="006C6CAD" w:rsidRDefault="006C6CA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63390" w14:textId="77777777" w:rsidR="006C6CAD" w:rsidRDefault="006C6CAD" w:rsidP="008952D7">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4D77" w14:textId="77777777" w:rsidR="006C6CAD" w:rsidRDefault="006C6CAD" w:rsidP="005A76CC">
    <w:pPr>
      <w:pStyle w:val="leftheader"/>
    </w:pPr>
    <w:r>
      <w:fldChar w:fldCharType="begin"/>
    </w:r>
    <w:r>
      <w:instrText xml:space="preserve"> macrobutton nomacro [Click here and insert the name of the Bill]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AF3C9" w14:textId="77777777" w:rsidR="006C6CAD" w:rsidRDefault="006C6CAD"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D8AA" w14:textId="77777777" w:rsidR="006C6CAD" w:rsidRDefault="006C6CAD" w:rsidP="008952D7">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5ADDA" w14:textId="54F90CC5" w:rsidR="006C6CAD" w:rsidRDefault="006C6C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E9AEA" w14:textId="77777777" w:rsidR="006C6CAD" w:rsidRDefault="006C6CAD" w:rsidP="008952D7">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372F" w14:textId="77777777" w:rsidR="006C6CAD" w:rsidRDefault="006C6CAD" w:rsidP="008952D7">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7B85" w14:textId="3421AFCE" w:rsidR="006C6CAD" w:rsidRDefault="00C44C3D" w:rsidP="008952D7">
    <w:pPr>
      <w:pStyle w:val="leftheader"/>
    </w:pPr>
    <w:r>
      <w:t>Tax and Superannuation Laws Amendment (2014 Measures No.7) Bill 2014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56D9" w14:textId="7586F14F" w:rsidR="006C6CAD" w:rsidRDefault="00374E40" w:rsidP="00374E40">
    <w:pPr>
      <w:pStyle w:val="rightheader"/>
      <w:ind w:left="3600" w:firstLine="720"/>
      <w:jc w:val="center"/>
    </w:pPr>
    <w:r>
      <w:t>Providing certainty for Fund Mergers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ACCF9" w14:textId="77777777" w:rsidR="006C6CAD" w:rsidRDefault="006C6CAD" w:rsidP="008952D7">
    <w:pPr>
      <w:pStyle w:val="leftheader"/>
    </w:pPr>
    <w:r>
      <w:fldChar w:fldCharType="begin"/>
    </w:r>
    <w:r>
      <w:instrText xml:space="preserve"> macrobutton nomacro [Click here and insert the name of the Bill]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B4FB" w14:textId="77777777" w:rsidR="006C6CAD" w:rsidRDefault="006C6CAD" w:rsidP="008952D7">
    <w:pPr>
      <w:pStyle w:val="rightheader"/>
    </w:pPr>
    <w:r>
      <w:fldChar w:fldCharType="begin"/>
    </w:r>
    <w:r>
      <w:instrText xml:space="preserve"> macrobutton nomacro [Click here and enter the name of the Chapter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FBC7E8D"/>
    <w:multiLevelType w:val="singleLevel"/>
    <w:tmpl w:val="4412F2FC"/>
    <w:lvl w:ilvl="0">
      <w:start w:val="1"/>
      <w:numFmt w:val="decimal"/>
      <w:lvlRestart w:val="0"/>
      <w:lvlText w:val="%1."/>
      <w:lvlJc w:val="left"/>
      <w:pPr>
        <w:tabs>
          <w:tab w:val="num" w:pos="986"/>
        </w:tabs>
        <w:ind w:left="142"/>
      </w:pPr>
      <w:rPr>
        <w:rFonts w:cs="Times New Roman"/>
        <w:b w:val="0"/>
        <w:i w:val="0"/>
        <w:color w:val="000000"/>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1"/>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DA"/>
    <w:rsid w:val="000001D1"/>
    <w:rsid w:val="000036CB"/>
    <w:rsid w:val="000101B2"/>
    <w:rsid w:val="00011C44"/>
    <w:rsid w:val="00012F66"/>
    <w:rsid w:val="00024825"/>
    <w:rsid w:val="000327A2"/>
    <w:rsid w:val="0003305A"/>
    <w:rsid w:val="00034BE8"/>
    <w:rsid w:val="00045C95"/>
    <w:rsid w:val="00046382"/>
    <w:rsid w:val="00050170"/>
    <w:rsid w:val="00053F8D"/>
    <w:rsid w:val="0005600E"/>
    <w:rsid w:val="0005649C"/>
    <w:rsid w:val="00057004"/>
    <w:rsid w:val="000603E3"/>
    <w:rsid w:val="00067E1D"/>
    <w:rsid w:val="000705A5"/>
    <w:rsid w:val="000725C0"/>
    <w:rsid w:val="000735DE"/>
    <w:rsid w:val="00075250"/>
    <w:rsid w:val="00076543"/>
    <w:rsid w:val="000835C7"/>
    <w:rsid w:val="00085C5D"/>
    <w:rsid w:val="0009055D"/>
    <w:rsid w:val="000914F1"/>
    <w:rsid w:val="000960B7"/>
    <w:rsid w:val="000A0AFD"/>
    <w:rsid w:val="000A0C8C"/>
    <w:rsid w:val="000A0E4F"/>
    <w:rsid w:val="000A0FEE"/>
    <w:rsid w:val="000A2094"/>
    <w:rsid w:val="000A341E"/>
    <w:rsid w:val="000A5B26"/>
    <w:rsid w:val="000A6DBE"/>
    <w:rsid w:val="000A7E60"/>
    <w:rsid w:val="000B19E6"/>
    <w:rsid w:val="000B4F27"/>
    <w:rsid w:val="000B7FBA"/>
    <w:rsid w:val="000C06D9"/>
    <w:rsid w:val="000C62EA"/>
    <w:rsid w:val="000D54A6"/>
    <w:rsid w:val="000E089D"/>
    <w:rsid w:val="000E3F06"/>
    <w:rsid w:val="000E5564"/>
    <w:rsid w:val="000E583F"/>
    <w:rsid w:val="000E5B9A"/>
    <w:rsid w:val="000E6429"/>
    <w:rsid w:val="000F3E84"/>
    <w:rsid w:val="00106C82"/>
    <w:rsid w:val="00110289"/>
    <w:rsid w:val="001114E6"/>
    <w:rsid w:val="00113E19"/>
    <w:rsid w:val="00121EB0"/>
    <w:rsid w:val="00123D96"/>
    <w:rsid w:val="0012405D"/>
    <w:rsid w:val="00124E15"/>
    <w:rsid w:val="0012665B"/>
    <w:rsid w:val="001304CF"/>
    <w:rsid w:val="00131E0C"/>
    <w:rsid w:val="00134941"/>
    <w:rsid w:val="00134A51"/>
    <w:rsid w:val="0014197C"/>
    <w:rsid w:val="00141C4E"/>
    <w:rsid w:val="00145696"/>
    <w:rsid w:val="00147500"/>
    <w:rsid w:val="00147843"/>
    <w:rsid w:val="001502DC"/>
    <w:rsid w:val="00155444"/>
    <w:rsid w:val="00174A29"/>
    <w:rsid w:val="001755E7"/>
    <w:rsid w:val="001757E2"/>
    <w:rsid w:val="00182507"/>
    <w:rsid w:val="00184AF2"/>
    <w:rsid w:val="00191E76"/>
    <w:rsid w:val="00192250"/>
    <w:rsid w:val="00196CFF"/>
    <w:rsid w:val="001A239D"/>
    <w:rsid w:val="001A7A18"/>
    <w:rsid w:val="001B2A53"/>
    <w:rsid w:val="001B7742"/>
    <w:rsid w:val="001D0FED"/>
    <w:rsid w:val="001D17BD"/>
    <w:rsid w:val="001E10E7"/>
    <w:rsid w:val="001E551B"/>
    <w:rsid w:val="001E6545"/>
    <w:rsid w:val="001F42CE"/>
    <w:rsid w:val="00200E96"/>
    <w:rsid w:val="00201B36"/>
    <w:rsid w:val="00204137"/>
    <w:rsid w:val="0021036A"/>
    <w:rsid w:val="00217984"/>
    <w:rsid w:val="00220D6C"/>
    <w:rsid w:val="00221604"/>
    <w:rsid w:val="00222D57"/>
    <w:rsid w:val="00223240"/>
    <w:rsid w:val="002260DC"/>
    <w:rsid w:val="00226138"/>
    <w:rsid w:val="00226195"/>
    <w:rsid w:val="00226981"/>
    <w:rsid w:val="00231CBA"/>
    <w:rsid w:val="00233042"/>
    <w:rsid w:val="00236A1C"/>
    <w:rsid w:val="00240946"/>
    <w:rsid w:val="00245854"/>
    <w:rsid w:val="00250154"/>
    <w:rsid w:val="00251453"/>
    <w:rsid w:val="00266048"/>
    <w:rsid w:val="00267F97"/>
    <w:rsid w:val="00272FD3"/>
    <w:rsid w:val="00277854"/>
    <w:rsid w:val="00280002"/>
    <w:rsid w:val="00283570"/>
    <w:rsid w:val="002857E2"/>
    <w:rsid w:val="00295934"/>
    <w:rsid w:val="002A28F5"/>
    <w:rsid w:val="002A3B22"/>
    <w:rsid w:val="002A4F1C"/>
    <w:rsid w:val="002A64A2"/>
    <w:rsid w:val="002C219E"/>
    <w:rsid w:val="002C26BB"/>
    <w:rsid w:val="002C43E8"/>
    <w:rsid w:val="002C5238"/>
    <w:rsid w:val="002C569F"/>
    <w:rsid w:val="002D19CD"/>
    <w:rsid w:val="002D2436"/>
    <w:rsid w:val="002D6161"/>
    <w:rsid w:val="002D6555"/>
    <w:rsid w:val="002E0FAF"/>
    <w:rsid w:val="002E149C"/>
    <w:rsid w:val="002E38B3"/>
    <w:rsid w:val="002E3A4D"/>
    <w:rsid w:val="002E5FD3"/>
    <w:rsid w:val="002F2244"/>
    <w:rsid w:val="002F3991"/>
    <w:rsid w:val="002F75B0"/>
    <w:rsid w:val="003041AF"/>
    <w:rsid w:val="003104C1"/>
    <w:rsid w:val="0031332C"/>
    <w:rsid w:val="00320374"/>
    <w:rsid w:val="0032273D"/>
    <w:rsid w:val="00323031"/>
    <w:rsid w:val="00345474"/>
    <w:rsid w:val="00345CCB"/>
    <w:rsid w:val="00346BEB"/>
    <w:rsid w:val="00346ECB"/>
    <w:rsid w:val="003501C2"/>
    <w:rsid w:val="003503D8"/>
    <w:rsid w:val="003505E3"/>
    <w:rsid w:val="00352663"/>
    <w:rsid w:val="00354E59"/>
    <w:rsid w:val="00356B64"/>
    <w:rsid w:val="0036142B"/>
    <w:rsid w:val="0036787F"/>
    <w:rsid w:val="00370AE1"/>
    <w:rsid w:val="00370CF4"/>
    <w:rsid w:val="003719A4"/>
    <w:rsid w:val="00374E40"/>
    <w:rsid w:val="00376FAF"/>
    <w:rsid w:val="00377CD4"/>
    <w:rsid w:val="003810E1"/>
    <w:rsid w:val="00386A6F"/>
    <w:rsid w:val="00387BAB"/>
    <w:rsid w:val="003903D9"/>
    <w:rsid w:val="003934EF"/>
    <w:rsid w:val="0039400F"/>
    <w:rsid w:val="00395CCA"/>
    <w:rsid w:val="003967D6"/>
    <w:rsid w:val="003A311E"/>
    <w:rsid w:val="003A5A84"/>
    <w:rsid w:val="003A5D7E"/>
    <w:rsid w:val="003B0660"/>
    <w:rsid w:val="003B28FD"/>
    <w:rsid w:val="003B2C77"/>
    <w:rsid w:val="003B550D"/>
    <w:rsid w:val="003B6043"/>
    <w:rsid w:val="003C1301"/>
    <w:rsid w:val="003C5BA3"/>
    <w:rsid w:val="003C6F4F"/>
    <w:rsid w:val="003D6FD9"/>
    <w:rsid w:val="003D7F02"/>
    <w:rsid w:val="003E0658"/>
    <w:rsid w:val="003E0794"/>
    <w:rsid w:val="003E68F7"/>
    <w:rsid w:val="003F096C"/>
    <w:rsid w:val="003F4BD0"/>
    <w:rsid w:val="003F5371"/>
    <w:rsid w:val="00402166"/>
    <w:rsid w:val="00423213"/>
    <w:rsid w:val="00424574"/>
    <w:rsid w:val="00425326"/>
    <w:rsid w:val="00432572"/>
    <w:rsid w:val="00432BEE"/>
    <w:rsid w:val="00432E6F"/>
    <w:rsid w:val="0043366C"/>
    <w:rsid w:val="00433B1D"/>
    <w:rsid w:val="00433FD9"/>
    <w:rsid w:val="00436054"/>
    <w:rsid w:val="00441D38"/>
    <w:rsid w:val="00442FB9"/>
    <w:rsid w:val="0044391B"/>
    <w:rsid w:val="00445529"/>
    <w:rsid w:val="00450635"/>
    <w:rsid w:val="00451BB3"/>
    <w:rsid w:val="0045284E"/>
    <w:rsid w:val="00457BC3"/>
    <w:rsid w:val="00460019"/>
    <w:rsid w:val="00465A34"/>
    <w:rsid w:val="00470181"/>
    <w:rsid w:val="00470AF1"/>
    <w:rsid w:val="004710EB"/>
    <w:rsid w:val="004740EC"/>
    <w:rsid w:val="00475D9F"/>
    <w:rsid w:val="00480C91"/>
    <w:rsid w:val="004836D2"/>
    <w:rsid w:val="00493868"/>
    <w:rsid w:val="00496CA9"/>
    <w:rsid w:val="004A3459"/>
    <w:rsid w:val="004B755A"/>
    <w:rsid w:val="004C045A"/>
    <w:rsid w:val="004C0962"/>
    <w:rsid w:val="004C1468"/>
    <w:rsid w:val="004D6B85"/>
    <w:rsid w:val="004E161F"/>
    <w:rsid w:val="004E23FA"/>
    <w:rsid w:val="004E51C1"/>
    <w:rsid w:val="004E6082"/>
    <w:rsid w:val="004E7893"/>
    <w:rsid w:val="00502551"/>
    <w:rsid w:val="005052B0"/>
    <w:rsid w:val="0050652E"/>
    <w:rsid w:val="00514012"/>
    <w:rsid w:val="00515000"/>
    <w:rsid w:val="00515E69"/>
    <w:rsid w:val="005177DF"/>
    <w:rsid w:val="00517B68"/>
    <w:rsid w:val="00523617"/>
    <w:rsid w:val="005255EA"/>
    <w:rsid w:val="005408E6"/>
    <w:rsid w:val="0054284D"/>
    <w:rsid w:val="00555D38"/>
    <w:rsid w:val="00556626"/>
    <w:rsid w:val="00560C14"/>
    <w:rsid w:val="00580C19"/>
    <w:rsid w:val="00585AFF"/>
    <w:rsid w:val="005A5348"/>
    <w:rsid w:val="005A5BB3"/>
    <w:rsid w:val="005A76CC"/>
    <w:rsid w:val="005A7DF7"/>
    <w:rsid w:val="005B0ABA"/>
    <w:rsid w:val="005B22C7"/>
    <w:rsid w:val="005B3D2F"/>
    <w:rsid w:val="005B546F"/>
    <w:rsid w:val="005B6827"/>
    <w:rsid w:val="005C0475"/>
    <w:rsid w:val="005C2B1A"/>
    <w:rsid w:val="005C384E"/>
    <w:rsid w:val="005C3EC8"/>
    <w:rsid w:val="005C6FB4"/>
    <w:rsid w:val="005D0F90"/>
    <w:rsid w:val="005D478D"/>
    <w:rsid w:val="005D6368"/>
    <w:rsid w:val="005E741D"/>
    <w:rsid w:val="005E77E1"/>
    <w:rsid w:val="0060211C"/>
    <w:rsid w:val="006071CA"/>
    <w:rsid w:val="006071E9"/>
    <w:rsid w:val="00616F27"/>
    <w:rsid w:val="00617083"/>
    <w:rsid w:val="006210BF"/>
    <w:rsid w:val="00621923"/>
    <w:rsid w:val="006412C3"/>
    <w:rsid w:val="0064515F"/>
    <w:rsid w:val="00651399"/>
    <w:rsid w:val="00653DA2"/>
    <w:rsid w:val="0066554E"/>
    <w:rsid w:val="006655F9"/>
    <w:rsid w:val="00665C10"/>
    <w:rsid w:val="00666DB1"/>
    <w:rsid w:val="006712FD"/>
    <w:rsid w:val="006760BD"/>
    <w:rsid w:val="00676AC8"/>
    <w:rsid w:val="00680227"/>
    <w:rsid w:val="00685484"/>
    <w:rsid w:val="006857AE"/>
    <w:rsid w:val="006916A8"/>
    <w:rsid w:val="006A067A"/>
    <w:rsid w:val="006A0D63"/>
    <w:rsid w:val="006A4718"/>
    <w:rsid w:val="006B0FDC"/>
    <w:rsid w:val="006C3CEB"/>
    <w:rsid w:val="006C4351"/>
    <w:rsid w:val="006C6CAD"/>
    <w:rsid w:val="006C75A4"/>
    <w:rsid w:val="006D4184"/>
    <w:rsid w:val="006D4CA4"/>
    <w:rsid w:val="006D6607"/>
    <w:rsid w:val="006E01A2"/>
    <w:rsid w:val="006E08FB"/>
    <w:rsid w:val="006E42A0"/>
    <w:rsid w:val="006E5836"/>
    <w:rsid w:val="006E6B9F"/>
    <w:rsid w:val="006F383C"/>
    <w:rsid w:val="006F67B4"/>
    <w:rsid w:val="006F6D3C"/>
    <w:rsid w:val="006F6FC6"/>
    <w:rsid w:val="006F7AFB"/>
    <w:rsid w:val="007001D0"/>
    <w:rsid w:val="00703C25"/>
    <w:rsid w:val="00705BAC"/>
    <w:rsid w:val="0070645E"/>
    <w:rsid w:val="00707D39"/>
    <w:rsid w:val="00710171"/>
    <w:rsid w:val="00714B68"/>
    <w:rsid w:val="007155B4"/>
    <w:rsid w:val="007253C1"/>
    <w:rsid w:val="00725B4F"/>
    <w:rsid w:val="007329C5"/>
    <w:rsid w:val="00736240"/>
    <w:rsid w:val="007439D0"/>
    <w:rsid w:val="007454F8"/>
    <w:rsid w:val="007466B6"/>
    <w:rsid w:val="00753239"/>
    <w:rsid w:val="00753709"/>
    <w:rsid w:val="00762AAE"/>
    <w:rsid w:val="007652BC"/>
    <w:rsid w:val="00765438"/>
    <w:rsid w:val="0076738C"/>
    <w:rsid w:val="00773D31"/>
    <w:rsid w:val="00774214"/>
    <w:rsid w:val="00774E40"/>
    <w:rsid w:val="007871CD"/>
    <w:rsid w:val="00790795"/>
    <w:rsid w:val="00792E75"/>
    <w:rsid w:val="00792ECD"/>
    <w:rsid w:val="00793F75"/>
    <w:rsid w:val="007966EF"/>
    <w:rsid w:val="007A1BCB"/>
    <w:rsid w:val="007A3B2A"/>
    <w:rsid w:val="007A3C0C"/>
    <w:rsid w:val="007A4C99"/>
    <w:rsid w:val="007A5388"/>
    <w:rsid w:val="007A6661"/>
    <w:rsid w:val="007A785C"/>
    <w:rsid w:val="007B0EC4"/>
    <w:rsid w:val="007B188B"/>
    <w:rsid w:val="007B23EE"/>
    <w:rsid w:val="007C7B50"/>
    <w:rsid w:val="007D1821"/>
    <w:rsid w:val="007D40E4"/>
    <w:rsid w:val="007D5C73"/>
    <w:rsid w:val="007E0703"/>
    <w:rsid w:val="007E25E0"/>
    <w:rsid w:val="007E3C31"/>
    <w:rsid w:val="007F04BE"/>
    <w:rsid w:val="007F156F"/>
    <w:rsid w:val="007F3E32"/>
    <w:rsid w:val="007F67DA"/>
    <w:rsid w:val="00813210"/>
    <w:rsid w:val="008147F1"/>
    <w:rsid w:val="008212B5"/>
    <w:rsid w:val="00821379"/>
    <w:rsid w:val="00822089"/>
    <w:rsid w:val="00824A17"/>
    <w:rsid w:val="00827930"/>
    <w:rsid w:val="00830A28"/>
    <w:rsid w:val="00832743"/>
    <w:rsid w:val="00835001"/>
    <w:rsid w:val="00835525"/>
    <w:rsid w:val="008402C0"/>
    <w:rsid w:val="00844687"/>
    <w:rsid w:val="00845D88"/>
    <w:rsid w:val="00847575"/>
    <w:rsid w:val="00853552"/>
    <w:rsid w:val="00855D57"/>
    <w:rsid w:val="00861566"/>
    <w:rsid w:val="00862709"/>
    <w:rsid w:val="00862802"/>
    <w:rsid w:val="00865846"/>
    <w:rsid w:val="00867F0F"/>
    <w:rsid w:val="00873057"/>
    <w:rsid w:val="008752F1"/>
    <w:rsid w:val="00882D9F"/>
    <w:rsid w:val="00885BE8"/>
    <w:rsid w:val="008874E0"/>
    <w:rsid w:val="00890245"/>
    <w:rsid w:val="00891EEA"/>
    <w:rsid w:val="008923A4"/>
    <w:rsid w:val="00893CEA"/>
    <w:rsid w:val="008952D7"/>
    <w:rsid w:val="008955F7"/>
    <w:rsid w:val="008A65C9"/>
    <w:rsid w:val="008B0747"/>
    <w:rsid w:val="008B095D"/>
    <w:rsid w:val="008B31CE"/>
    <w:rsid w:val="008B45F6"/>
    <w:rsid w:val="008B56B5"/>
    <w:rsid w:val="008B6CD4"/>
    <w:rsid w:val="008B7AA6"/>
    <w:rsid w:val="008C359D"/>
    <w:rsid w:val="008C51F4"/>
    <w:rsid w:val="008C68A9"/>
    <w:rsid w:val="008C7E19"/>
    <w:rsid w:val="008D0AE4"/>
    <w:rsid w:val="008D0DF4"/>
    <w:rsid w:val="008D4C40"/>
    <w:rsid w:val="008D5DB7"/>
    <w:rsid w:val="008D65F3"/>
    <w:rsid w:val="008D75E9"/>
    <w:rsid w:val="008D7BCB"/>
    <w:rsid w:val="008D7ED7"/>
    <w:rsid w:val="008E7DD4"/>
    <w:rsid w:val="008F1A67"/>
    <w:rsid w:val="008F1E7A"/>
    <w:rsid w:val="008F726E"/>
    <w:rsid w:val="00901ED2"/>
    <w:rsid w:val="009125BB"/>
    <w:rsid w:val="0091609F"/>
    <w:rsid w:val="00917DED"/>
    <w:rsid w:val="00922787"/>
    <w:rsid w:val="00922A5B"/>
    <w:rsid w:val="009252A3"/>
    <w:rsid w:val="00925856"/>
    <w:rsid w:val="00926E36"/>
    <w:rsid w:val="00932AB9"/>
    <w:rsid w:val="00932DB2"/>
    <w:rsid w:val="009332F5"/>
    <w:rsid w:val="00935C6B"/>
    <w:rsid w:val="00937B71"/>
    <w:rsid w:val="00951417"/>
    <w:rsid w:val="0095290C"/>
    <w:rsid w:val="009530DE"/>
    <w:rsid w:val="00953F17"/>
    <w:rsid w:val="0095553F"/>
    <w:rsid w:val="009615B2"/>
    <w:rsid w:val="0096411E"/>
    <w:rsid w:val="0096462D"/>
    <w:rsid w:val="00972ACB"/>
    <w:rsid w:val="00973550"/>
    <w:rsid w:val="009735CC"/>
    <w:rsid w:val="009759C8"/>
    <w:rsid w:val="00976A23"/>
    <w:rsid w:val="009824D2"/>
    <w:rsid w:val="00982CAA"/>
    <w:rsid w:val="009936D7"/>
    <w:rsid w:val="009937C9"/>
    <w:rsid w:val="009977B4"/>
    <w:rsid w:val="00997812"/>
    <w:rsid w:val="009A2B11"/>
    <w:rsid w:val="009A49E6"/>
    <w:rsid w:val="009B0AB7"/>
    <w:rsid w:val="009B2AD6"/>
    <w:rsid w:val="009B3657"/>
    <w:rsid w:val="009C380E"/>
    <w:rsid w:val="009D192A"/>
    <w:rsid w:val="009D396E"/>
    <w:rsid w:val="009D66AC"/>
    <w:rsid w:val="009E04F4"/>
    <w:rsid w:val="009E3A62"/>
    <w:rsid w:val="009E5291"/>
    <w:rsid w:val="009E5ACA"/>
    <w:rsid w:val="009E6C66"/>
    <w:rsid w:val="009E6C76"/>
    <w:rsid w:val="00A01492"/>
    <w:rsid w:val="00A03E30"/>
    <w:rsid w:val="00A04A9F"/>
    <w:rsid w:val="00A0500A"/>
    <w:rsid w:val="00A05956"/>
    <w:rsid w:val="00A05CE1"/>
    <w:rsid w:val="00A07DDF"/>
    <w:rsid w:val="00A22C72"/>
    <w:rsid w:val="00A27B13"/>
    <w:rsid w:val="00A27B94"/>
    <w:rsid w:val="00A32143"/>
    <w:rsid w:val="00A332EA"/>
    <w:rsid w:val="00A37F77"/>
    <w:rsid w:val="00A41AD8"/>
    <w:rsid w:val="00A428B9"/>
    <w:rsid w:val="00A4391A"/>
    <w:rsid w:val="00A44E9C"/>
    <w:rsid w:val="00A516CB"/>
    <w:rsid w:val="00A53EB2"/>
    <w:rsid w:val="00A54CD3"/>
    <w:rsid w:val="00A575AE"/>
    <w:rsid w:val="00A63DD7"/>
    <w:rsid w:val="00A6490C"/>
    <w:rsid w:val="00A65D09"/>
    <w:rsid w:val="00A722B0"/>
    <w:rsid w:val="00A73F9C"/>
    <w:rsid w:val="00A75926"/>
    <w:rsid w:val="00A77B97"/>
    <w:rsid w:val="00A834B8"/>
    <w:rsid w:val="00A84000"/>
    <w:rsid w:val="00A86F1A"/>
    <w:rsid w:val="00A9275F"/>
    <w:rsid w:val="00A93921"/>
    <w:rsid w:val="00A95CCB"/>
    <w:rsid w:val="00A96322"/>
    <w:rsid w:val="00AA20C9"/>
    <w:rsid w:val="00AA2141"/>
    <w:rsid w:val="00AA26E3"/>
    <w:rsid w:val="00AA50D8"/>
    <w:rsid w:val="00AA5524"/>
    <w:rsid w:val="00AC139F"/>
    <w:rsid w:val="00AC23DE"/>
    <w:rsid w:val="00AD1AAD"/>
    <w:rsid w:val="00AD4ABE"/>
    <w:rsid w:val="00AD687A"/>
    <w:rsid w:val="00AD6DC4"/>
    <w:rsid w:val="00AD6E17"/>
    <w:rsid w:val="00AE23F9"/>
    <w:rsid w:val="00AF0EB2"/>
    <w:rsid w:val="00AF3340"/>
    <w:rsid w:val="00B00C37"/>
    <w:rsid w:val="00B044BE"/>
    <w:rsid w:val="00B07898"/>
    <w:rsid w:val="00B10A9B"/>
    <w:rsid w:val="00B13B54"/>
    <w:rsid w:val="00B164C2"/>
    <w:rsid w:val="00B1742E"/>
    <w:rsid w:val="00B206C1"/>
    <w:rsid w:val="00B20F61"/>
    <w:rsid w:val="00B25234"/>
    <w:rsid w:val="00B26753"/>
    <w:rsid w:val="00B31641"/>
    <w:rsid w:val="00B449C9"/>
    <w:rsid w:val="00B6273D"/>
    <w:rsid w:val="00B64794"/>
    <w:rsid w:val="00B654ED"/>
    <w:rsid w:val="00B67600"/>
    <w:rsid w:val="00B725B1"/>
    <w:rsid w:val="00B7388C"/>
    <w:rsid w:val="00B7408F"/>
    <w:rsid w:val="00B75DB6"/>
    <w:rsid w:val="00B77518"/>
    <w:rsid w:val="00B836EA"/>
    <w:rsid w:val="00B93031"/>
    <w:rsid w:val="00B93631"/>
    <w:rsid w:val="00B94871"/>
    <w:rsid w:val="00B94FB4"/>
    <w:rsid w:val="00B97764"/>
    <w:rsid w:val="00BA2235"/>
    <w:rsid w:val="00BA2903"/>
    <w:rsid w:val="00BA2DD0"/>
    <w:rsid w:val="00BA728F"/>
    <w:rsid w:val="00BC0939"/>
    <w:rsid w:val="00BC33C9"/>
    <w:rsid w:val="00BC3DB1"/>
    <w:rsid w:val="00BD030C"/>
    <w:rsid w:val="00BD17FE"/>
    <w:rsid w:val="00BD4513"/>
    <w:rsid w:val="00BD484C"/>
    <w:rsid w:val="00BD5337"/>
    <w:rsid w:val="00BD5611"/>
    <w:rsid w:val="00BE681A"/>
    <w:rsid w:val="00BE6DF5"/>
    <w:rsid w:val="00BE7DE6"/>
    <w:rsid w:val="00BF1C59"/>
    <w:rsid w:val="00BF21C7"/>
    <w:rsid w:val="00BF6067"/>
    <w:rsid w:val="00BF659A"/>
    <w:rsid w:val="00BF65DF"/>
    <w:rsid w:val="00C00390"/>
    <w:rsid w:val="00C0054D"/>
    <w:rsid w:val="00C01633"/>
    <w:rsid w:val="00C03AF3"/>
    <w:rsid w:val="00C05595"/>
    <w:rsid w:val="00C06FD0"/>
    <w:rsid w:val="00C16CDA"/>
    <w:rsid w:val="00C1738A"/>
    <w:rsid w:val="00C23DA0"/>
    <w:rsid w:val="00C26CB0"/>
    <w:rsid w:val="00C27414"/>
    <w:rsid w:val="00C32240"/>
    <w:rsid w:val="00C36BFA"/>
    <w:rsid w:val="00C37564"/>
    <w:rsid w:val="00C44C3D"/>
    <w:rsid w:val="00C44D85"/>
    <w:rsid w:val="00C45FE3"/>
    <w:rsid w:val="00C51561"/>
    <w:rsid w:val="00C557EF"/>
    <w:rsid w:val="00C55D39"/>
    <w:rsid w:val="00C56F09"/>
    <w:rsid w:val="00C6194C"/>
    <w:rsid w:val="00C643DF"/>
    <w:rsid w:val="00C64EE2"/>
    <w:rsid w:val="00C66F4B"/>
    <w:rsid w:val="00C710D3"/>
    <w:rsid w:val="00C711A5"/>
    <w:rsid w:val="00C744BC"/>
    <w:rsid w:val="00C74769"/>
    <w:rsid w:val="00C7650F"/>
    <w:rsid w:val="00C8648B"/>
    <w:rsid w:val="00C96393"/>
    <w:rsid w:val="00C96A22"/>
    <w:rsid w:val="00C978EF"/>
    <w:rsid w:val="00CA274B"/>
    <w:rsid w:val="00CA4A55"/>
    <w:rsid w:val="00CA5F63"/>
    <w:rsid w:val="00CA7CDA"/>
    <w:rsid w:val="00CB007F"/>
    <w:rsid w:val="00CB0706"/>
    <w:rsid w:val="00CB6473"/>
    <w:rsid w:val="00CC089C"/>
    <w:rsid w:val="00CC09C5"/>
    <w:rsid w:val="00CC325D"/>
    <w:rsid w:val="00CC4780"/>
    <w:rsid w:val="00CC5A10"/>
    <w:rsid w:val="00CD14AC"/>
    <w:rsid w:val="00CD1FA8"/>
    <w:rsid w:val="00CE0BCE"/>
    <w:rsid w:val="00CE1CB4"/>
    <w:rsid w:val="00CE4136"/>
    <w:rsid w:val="00CE4596"/>
    <w:rsid w:val="00CE5590"/>
    <w:rsid w:val="00CE7C35"/>
    <w:rsid w:val="00CF3913"/>
    <w:rsid w:val="00CF5226"/>
    <w:rsid w:val="00CF5EE9"/>
    <w:rsid w:val="00CF6245"/>
    <w:rsid w:val="00CF670E"/>
    <w:rsid w:val="00D01826"/>
    <w:rsid w:val="00D01E95"/>
    <w:rsid w:val="00D051FA"/>
    <w:rsid w:val="00D07034"/>
    <w:rsid w:val="00D10330"/>
    <w:rsid w:val="00D11D73"/>
    <w:rsid w:val="00D15430"/>
    <w:rsid w:val="00D212DC"/>
    <w:rsid w:val="00D22699"/>
    <w:rsid w:val="00D267D1"/>
    <w:rsid w:val="00D27D0A"/>
    <w:rsid w:val="00D32D40"/>
    <w:rsid w:val="00D34B6B"/>
    <w:rsid w:val="00D363E1"/>
    <w:rsid w:val="00D372B4"/>
    <w:rsid w:val="00D4029F"/>
    <w:rsid w:val="00D46F72"/>
    <w:rsid w:val="00D522E9"/>
    <w:rsid w:val="00D5748B"/>
    <w:rsid w:val="00D633D8"/>
    <w:rsid w:val="00D66F0C"/>
    <w:rsid w:val="00D67ADC"/>
    <w:rsid w:val="00D75614"/>
    <w:rsid w:val="00D75FB3"/>
    <w:rsid w:val="00D81D28"/>
    <w:rsid w:val="00D85B38"/>
    <w:rsid w:val="00D90D9C"/>
    <w:rsid w:val="00D92746"/>
    <w:rsid w:val="00D93657"/>
    <w:rsid w:val="00D94488"/>
    <w:rsid w:val="00D96329"/>
    <w:rsid w:val="00D963F2"/>
    <w:rsid w:val="00DA6C42"/>
    <w:rsid w:val="00DA72C6"/>
    <w:rsid w:val="00DB1F26"/>
    <w:rsid w:val="00DB36FF"/>
    <w:rsid w:val="00DB394B"/>
    <w:rsid w:val="00DB4106"/>
    <w:rsid w:val="00DB513D"/>
    <w:rsid w:val="00DC0D45"/>
    <w:rsid w:val="00DC1BE5"/>
    <w:rsid w:val="00DC22AB"/>
    <w:rsid w:val="00DD2EC4"/>
    <w:rsid w:val="00DD6306"/>
    <w:rsid w:val="00DD76D3"/>
    <w:rsid w:val="00DE2E40"/>
    <w:rsid w:val="00DE44C6"/>
    <w:rsid w:val="00DE737F"/>
    <w:rsid w:val="00DF4CED"/>
    <w:rsid w:val="00E01A29"/>
    <w:rsid w:val="00E021B5"/>
    <w:rsid w:val="00E04674"/>
    <w:rsid w:val="00E079E0"/>
    <w:rsid w:val="00E110EE"/>
    <w:rsid w:val="00E12040"/>
    <w:rsid w:val="00E2061C"/>
    <w:rsid w:val="00E31B34"/>
    <w:rsid w:val="00E32572"/>
    <w:rsid w:val="00E33716"/>
    <w:rsid w:val="00E4020E"/>
    <w:rsid w:val="00E47DF5"/>
    <w:rsid w:val="00E509B6"/>
    <w:rsid w:val="00E54185"/>
    <w:rsid w:val="00E709C4"/>
    <w:rsid w:val="00E7365D"/>
    <w:rsid w:val="00E74BDE"/>
    <w:rsid w:val="00E806E7"/>
    <w:rsid w:val="00E80C57"/>
    <w:rsid w:val="00E85785"/>
    <w:rsid w:val="00E87729"/>
    <w:rsid w:val="00E91A7C"/>
    <w:rsid w:val="00E95B8D"/>
    <w:rsid w:val="00EA19B8"/>
    <w:rsid w:val="00EB3137"/>
    <w:rsid w:val="00EB6EBC"/>
    <w:rsid w:val="00EC1E31"/>
    <w:rsid w:val="00EC2244"/>
    <w:rsid w:val="00ED122C"/>
    <w:rsid w:val="00ED3D86"/>
    <w:rsid w:val="00ED50A3"/>
    <w:rsid w:val="00EE3273"/>
    <w:rsid w:val="00EE6E70"/>
    <w:rsid w:val="00EE776D"/>
    <w:rsid w:val="00EE7884"/>
    <w:rsid w:val="00EF521D"/>
    <w:rsid w:val="00EF789C"/>
    <w:rsid w:val="00EF7AE6"/>
    <w:rsid w:val="00F053A1"/>
    <w:rsid w:val="00F05754"/>
    <w:rsid w:val="00F05FFE"/>
    <w:rsid w:val="00F14312"/>
    <w:rsid w:val="00F15D19"/>
    <w:rsid w:val="00F1601D"/>
    <w:rsid w:val="00F17DB3"/>
    <w:rsid w:val="00F20966"/>
    <w:rsid w:val="00F26A3E"/>
    <w:rsid w:val="00F3014C"/>
    <w:rsid w:val="00F30CAC"/>
    <w:rsid w:val="00F40E4F"/>
    <w:rsid w:val="00F44BA3"/>
    <w:rsid w:val="00F46B43"/>
    <w:rsid w:val="00F51A71"/>
    <w:rsid w:val="00F537A5"/>
    <w:rsid w:val="00F605D2"/>
    <w:rsid w:val="00F722F0"/>
    <w:rsid w:val="00F853D1"/>
    <w:rsid w:val="00F86498"/>
    <w:rsid w:val="00F86732"/>
    <w:rsid w:val="00F87253"/>
    <w:rsid w:val="00F87F97"/>
    <w:rsid w:val="00F918CE"/>
    <w:rsid w:val="00F91EDF"/>
    <w:rsid w:val="00F92FE2"/>
    <w:rsid w:val="00F95B90"/>
    <w:rsid w:val="00F97D9B"/>
    <w:rsid w:val="00FA129E"/>
    <w:rsid w:val="00FA3792"/>
    <w:rsid w:val="00FA3831"/>
    <w:rsid w:val="00FA6356"/>
    <w:rsid w:val="00FB53AE"/>
    <w:rsid w:val="00FC1D7B"/>
    <w:rsid w:val="00FC604E"/>
    <w:rsid w:val="00FD34B5"/>
    <w:rsid w:val="00FD4B5C"/>
    <w:rsid w:val="00FD7299"/>
    <w:rsid w:val="00FE298A"/>
    <w:rsid w:val="00FE2ED4"/>
    <w:rsid w:val="00FE315E"/>
    <w:rsid w:val="00FE4340"/>
    <w:rsid w:val="00FF0214"/>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95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link w:val="Heading7Char"/>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uiPriority w:val="99"/>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uiPriority w:val="99"/>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7Char">
    <w:name w:val="Heading 7 Char"/>
    <w:basedOn w:val="DefaultParagraphFont"/>
    <w:link w:val="Heading7"/>
    <w:locked/>
    <w:rsid w:val="00B20F61"/>
    <w:rPr>
      <w:sz w:val="24"/>
      <w:szCs w:val="24"/>
    </w:rPr>
  </w:style>
  <w:style w:type="character" w:styleId="CommentReference">
    <w:name w:val="annotation reference"/>
    <w:basedOn w:val="DefaultParagraphFont"/>
    <w:rsid w:val="00204137"/>
    <w:rPr>
      <w:sz w:val="16"/>
      <w:szCs w:val="16"/>
    </w:rPr>
  </w:style>
  <w:style w:type="paragraph" w:styleId="CommentText">
    <w:name w:val="annotation text"/>
    <w:basedOn w:val="Normal"/>
    <w:link w:val="CommentTextChar"/>
    <w:rsid w:val="00204137"/>
    <w:rPr>
      <w:sz w:val="20"/>
    </w:rPr>
  </w:style>
  <w:style w:type="character" w:customStyle="1" w:styleId="CommentTextChar">
    <w:name w:val="Comment Text Char"/>
    <w:basedOn w:val="DefaultParagraphFont"/>
    <w:link w:val="CommentText"/>
    <w:rsid w:val="00204137"/>
  </w:style>
  <w:style w:type="paragraph" w:styleId="CommentSubject">
    <w:name w:val="annotation subject"/>
    <w:basedOn w:val="CommentText"/>
    <w:next w:val="CommentText"/>
    <w:link w:val="CommentSubjectChar"/>
    <w:rsid w:val="00204137"/>
    <w:rPr>
      <w:b/>
      <w:bCs/>
    </w:rPr>
  </w:style>
  <w:style w:type="character" w:customStyle="1" w:styleId="CommentSubjectChar">
    <w:name w:val="Comment Subject Char"/>
    <w:basedOn w:val="CommentTextChar"/>
    <w:link w:val="CommentSubject"/>
    <w:rsid w:val="00204137"/>
    <w:rPr>
      <w:b/>
      <w:bCs/>
    </w:rPr>
  </w:style>
  <w:style w:type="paragraph" w:styleId="BalloonText">
    <w:name w:val="Balloon Text"/>
    <w:basedOn w:val="Normal"/>
    <w:link w:val="BalloonTextChar"/>
    <w:rsid w:val="0020413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04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link w:val="Heading7Char"/>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uiPriority w:val="99"/>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uiPriority w:val="99"/>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7Char">
    <w:name w:val="Heading 7 Char"/>
    <w:basedOn w:val="DefaultParagraphFont"/>
    <w:link w:val="Heading7"/>
    <w:locked/>
    <w:rsid w:val="00B20F61"/>
    <w:rPr>
      <w:sz w:val="24"/>
      <w:szCs w:val="24"/>
    </w:rPr>
  </w:style>
  <w:style w:type="character" w:styleId="CommentReference">
    <w:name w:val="annotation reference"/>
    <w:basedOn w:val="DefaultParagraphFont"/>
    <w:rsid w:val="00204137"/>
    <w:rPr>
      <w:sz w:val="16"/>
      <w:szCs w:val="16"/>
    </w:rPr>
  </w:style>
  <w:style w:type="paragraph" w:styleId="CommentText">
    <w:name w:val="annotation text"/>
    <w:basedOn w:val="Normal"/>
    <w:link w:val="CommentTextChar"/>
    <w:rsid w:val="00204137"/>
    <w:rPr>
      <w:sz w:val="20"/>
    </w:rPr>
  </w:style>
  <w:style w:type="character" w:customStyle="1" w:styleId="CommentTextChar">
    <w:name w:val="Comment Text Char"/>
    <w:basedOn w:val="DefaultParagraphFont"/>
    <w:link w:val="CommentText"/>
    <w:rsid w:val="00204137"/>
  </w:style>
  <w:style w:type="paragraph" w:styleId="CommentSubject">
    <w:name w:val="annotation subject"/>
    <w:basedOn w:val="CommentText"/>
    <w:next w:val="CommentText"/>
    <w:link w:val="CommentSubjectChar"/>
    <w:rsid w:val="00204137"/>
    <w:rPr>
      <w:b/>
      <w:bCs/>
    </w:rPr>
  </w:style>
  <w:style w:type="character" w:customStyle="1" w:styleId="CommentSubjectChar">
    <w:name w:val="Comment Subject Char"/>
    <w:basedOn w:val="CommentTextChar"/>
    <w:link w:val="CommentSubject"/>
    <w:rsid w:val="00204137"/>
    <w:rPr>
      <w:b/>
      <w:bCs/>
    </w:rPr>
  </w:style>
  <w:style w:type="paragraph" w:styleId="BalloonText">
    <w:name w:val="Balloon Text"/>
    <w:basedOn w:val="Normal"/>
    <w:link w:val="BalloonTextChar"/>
    <w:rsid w:val="00204137"/>
    <w:pPr>
      <w:spacing w:before="0" w:after="0"/>
    </w:pPr>
    <w:rPr>
      <w:rFonts w:ascii="Tahoma" w:hAnsi="Tahoma" w:cs="Tahoma"/>
      <w:sz w:val="16"/>
      <w:szCs w:val="16"/>
    </w:rPr>
  </w:style>
  <w:style w:type="character" w:customStyle="1" w:styleId="BalloonTextChar">
    <w:name w:val="Balloon Text Char"/>
    <w:basedOn w:val="DefaultParagraphFont"/>
    <w:link w:val="BalloonText"/>
    <w:rsid w:val="00204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8C27-75F3-4260-8601-28F12376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2929</Words>
  <Characters>15719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Explanatory Material - Exposure Draft: Tax and Superannuation Laws Amendment (2014 Measures No. 7) Bill 2014: Providing certainty for superannuation fund mergers </vt:lpstr>
    </vt:vector>
  </TitlesOfParts>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Exposure Draft: Tax and Superannuation Laws Amendment (2014 Measures No. 7) Bill 2014: Providing certainty for superannuation fund mergers </dc:title>
  <dc:subject/>
  <dc:creator/>
  <cp:keywords/>
  <cp:lastModifiedBy/>
  <cp:revision>1</cp:revision>
  <dcterms:created xsi:type="dcterms:W3CDTF">2014-09-22T04:36:00Z</dcterms:created>
  <dcterms:modified xsi:type="dcterms:W3CDTF">2014-09-22T04:36:00Z</dcterms:modified>
</cp:coreProperties>
</file>