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321F63" w14:textId="4065D16F" w:rsidR="007E09CA" w:rsidRDefault="007E09CA" w:rsidP="00F2409A">
      <w:pPr>
        <w:pStyle w:val="Default"/>
        <w:jc w:val="center"/>
        <w:rPr>
          <w:rFonts w:cstheme="minorBidi"/>
          <w:b/>
          <w:color w:val="auto"/>
          <w:sz w:val="28"/>
          <w:szCs w:val="20"/>
        </w:rPr>
      </w:pPr>
      <w:bookmarkStart w:id="0" w:name="_GoBack"/>
      <w:bookmarkEnd w:id="0"/>
      <w:r w:rsidRPr="00F2409A">
        <w:rPr>
          <w:rFonts w:cstheme="minorBidi"/>
          <w:b/>
          <w:color w:val="auto"/>
          <w:sz w:val="28"/>
          <w:szCs w:val="20"/>
        </w:rPr>
        <w:t xml:space="preserve">Crowd Sourced Equity Funding (CSEF) Submission </w:t>
      </w:r>
      <w:r w:rsidR="005D6A7E">
        <w:rPr>
          <w:rFonts w:cstheme="minorBidi"/>
          <w:b/>
          <w:color w:val="auto"/>
          <w:sz w:val="28"/>
          <w:szCs w:val="20"/>
        </w:rPr>
        <w:t>–</w:t>
      </w:r>
      <w:r w:rsidRPr="00F2409A">
        <w:rPr>
          <w:rFonts w:cstheme="minorBidi"/>
          <w:b/>
          <w:color w:val="auto"/>
          <w:sz w:val="28"/>
          <w:szCs w:val="20"/>
        </w:rPr>
        <w:t xml:space="preserve"> </w:t>
      </w:r>
      <w:r w:rsidR="005D6A7E">
        <w:rPr>
          <w:rFonts w:cstheme="minorBidi"/>
          <w:b/>
          <w:color w:val="auto"/>
          <w:sz w:val="28"/>
          <w:szCs w:val="20"/>
        </w:rPr>
        <w:t>Deakin University</w:t>
      </w:r>
    </w:p>
    <w:p w14:paraId="5BEAEEC2" w14:textId="77777777" w:rsidR="00F2409A" w:rsidRDefault="00F2409A" w:rsidP="00AC17D4">
      <w:pPr>
        <w:pStyle w:val="Default"/>
        <w:rPr>
          <w:rFonts w:cstheme="minorBidi"/>
          <w:b/>
          <w:color w:val="auto"/>
          <w:sz w:val="28"/>
          <w:szCs w:val="20"/>
        </w:rPr>
      </w:pPr>
    </w:p>
    <w:p w14:paraId="5ED6617D" w14:textId="77777777" w:rsidR="005D6A7E" w:rsidRPr="00AC17D4" w:rsidRDefault="005D6A7E" w:rsidP="00AC17D4">
      <w:pPr>
        <w:pStyle w:val="Default"/>
        <w:rPr>
          <w:sz w:val="20"/>
          <w:szCs w:val="20"/>
        </w:rPr>
      </w:pPr>
      <w:r w:rsidRPr="00AC17D4">
        <w:rPr>
          <w:sz w:val="20"/>
          <w:szCs w:val="20"/>
        </w:rPr>
        <w:t>Thankyou for the opportunity to provide input into the Crowd Sourced Equity Funding (CSEF) submission</w:t>
      </w:r>
      <w:r>
        <w:rPr>
          <w:sz w:val="20"/>
          <w:szCs w:val="20"/>
        </w:rPr>
        <w:t xml:space="preserve">. Deakin University has been steadily increasing its involvement in crowd funding primarily as a donation model through the “Research My World” project, a collaboration between Deakin and </w:t>
      </w:r>
      <w:proofErr w:type="spellStart"/>
      <w:r>
        <w:rPr>
          <w:sz w:val="20"/>
          <w:szCs w:val="20"/>
        </w:rPr>
        <w:t>Pozible</w:t>
      </w:r>
      <w:proofErr w:type="spellEnd"/>
      <w:r>
        <w:rPr>
          <w:sz w:val="20"/>
          <w:szCs w:val="20"/>
        </w:rPr>
        <w:t xml:space="preserve">. We do however see enormous potential and benefits in the introduction CSEF for particularly the funding of research </w:t>
      </w:r>
      <w:proofErr w:type="spellStart"/>
      <w:r>
        <w:rPr>
          <w:sz w:val="20"/>
          <w:szCs w:val="20"/>
        </w:rPr>
        <w:t>startups</w:t>
      </w:r>
      <w:proofErr w:type="spellEnd"/>
      <w:r w:rsidR="00634402">
        <w:rPr>
          <w:sz w:val="20"/>
          <w:szCs w:val="20"/>
        </w:rPr>
        <w:t xml:space="preserve"> or projects.</w:t>
      </w:r>
      <w:r w:rsidR="00E34409">
        <w:rPr>
          <w:sz w:val="20"/>
          <w:szCs w:val="20"/>
        </w:rPr>
        <w:t xml:space="preserve"> </w:t>
      </w:r>
    </w:p>
    <w:p w14:paraId="6166F085" w14:textId="77777777" w:rsidR="007E09CA" w:rsidRPr="007E09CA" w:rsidRDefault="007E09CA" w:rsidP="007E09CA">
      <w:pPr>
        <w:pStyle w:val="Default"/>
        <w:rPr>
          <w:rFonts w:cstheme="minorBidi"/>
          <w:b/>
          <w:color w:val="auto"/>
          <w:szCs w:val="20"/>
        </w:rPr>
      </w:pPr>
    </w:p>
    <w:p w14:paraId="4525FEAD" w14:textId="77777777" w:rsidR="007E09CA" w:rsidRPr="009B701B" w:rsidRDefault="007E09CA" w:rsidP="007E09CA">
      <w:pPr>
        <w:pStyle w:val="Default"/>
        <w:numPr>
          <w:ilvl w:val="0"/>
          <w:numId w:val="1"/>
        </w:numPr>
        <w:jc w:val="both"/>
        <w:rPr>
          <w:b/>
          <w:i/>
          <w:sz w:val="20"/>
          <w:szCs w:val="20"/>
        </w:rPr>
      </w:pPr>
      <w:r w:rsidRPr="009B701B">
        <w:rPr>
          <w:b/>
          <w:i/>
          <w:sz w:val="20"/>
          <w:szCs w:val="20"/>
        </w:rPr>
        <w:t xml:space="preserve">Is the main barrier to the use of CSEF in Australia a lack of a CSEF regulatory structure, or are there other barriers, such as a lack of sustainable investor demand? </w:t>
      </w:r>
    </w:p>
    <w:p w14:paraId="5DA7FCF3" w14:textId="77777777" w:rsidR="009B701B" w:rsidRDefault="009B701B" w:rsidP="007E09CA">
      <w:pPr>
        <w:pStyle w:val="Default"/>
        <w:jc w:val="both"/>
        <w:rPr>
          <w:b/>
          <w:i/>
          <w:sz w:val="20"/>
          <w:szCs w:val="20"/>
        </w:rPr>
      </w:pPr>
    </w:p>
    <w:p w14:paraId="109FE8C5" w14:textId="0DB96786" w:rsidR="009B701B" w:rsidRDefault="009B701B" w:rsidP="007E09CA">
      <w:pPr>
        <w:pStyle w:val="Default"/>
        <w:jc w:val="both"/>
        <w:rPr>
          <w:sz w:val="20"/>
          <w:szCs w:val="20"/>
        </w:rPr>
      </w:pPr>
      <w:r>
        <w:rPr>
          <w:sz w:val="20"/>
          <w:szCs w:val="20"/>
        </w:rPr>
        <w:t xml:space="preserve">Whilst a more mature investment vehicle overseas (particularly </w:t>
      </w:r>
      <w:r w:rsidR="00AC17D4">
        <w:rPr>
          <w:sz w:val="20"/>
          <w:szCs w:val="20"/>
        </w:rPr>
        <w:t xml:space="preserve">the UK, </w:t>
      </w:r>
      <w:r>
        <w:rPr>
          <w:sz w:val="20"/>
          <w:szCs w:val="20"/>
        </w:rPr>
        <w:t xml:space="preserve">Canada and the US), </w:t>
      </w:r>
      <w:r w:rsidR="00AC17D4">
        <w:rPr>
          <w:sz w:val="20"/>
          <w:szCs w:val="20"/>
        </w:rPr>
        <w:t>CSEF</w:t>
      </w:r>
      <w:r>
        <w:rPr>
          <w:sz w:val="20"/>
          <w:szCs w:val="20"/>
        </w:rPr>
        <w:t xml:space="preserve"> is still in its infancy in Australia. Whilst there is considerable early adopter interest that is outpacing the regulation of crowdfunding, </w:t>
      </w:r>
      <w:r w:rsidR="00B3732E">
        <w:rPr>
          <w:sz w:val="20"/>
          <w:szCs w:val="20"/>
        </w:rPr>
        <w:t>i</w:t>
      </w:r>
      <w:r>
        <w:rPr>
          <w:sz w:val="20"/>
          <w:szCs w:val="20"/>
        </w:rPr>
        <w:t xml:space="preserve">t would be reasonable </w:t>
      </w:r>
      <w:r w:rsidR="00B3732E">
        <w:rPr>
          <w:sz w:val="20"/>
          <w:szCs w:val="20"/>
        </w:rPr>
        <w:t>to assume that</w:t>
      </w:r>
      <w:r>
        <w:rPr>
          <w:sz w:val="20"/>
          <w:szCs w:val="20"/>
        </w:rPr>
        <w:t xml:space="preserve"> a normal market adoption model </w:t>
      </w:r>
      <w:r w:rsidR="00B3732E">
        <w:rPr>
          <w:sz w:val="20"/>
          <w:szCs w:val="20"/>
        </w:rPr>
        <w:t>is being followed; with fuller participation following l</w:t>
      </w:r>
      <w:r>
        <w:rPr>
          <w:sz w:val="20"/>
          <w:szCs w:val="20"/>
        </w:rPr>
        <w:t>egislative and regulatory developmen</w:t>
      </w:r>
      <w:r w:rsidR="00B3732E">
        <w:rPr>
          <w:sz w:val="20"/>
          <w:szCs w:val="20"/>
        </w:rPr>
        <w:t xml:space="preserve">t to reduce real and perceived risk </w:t>
      </w:r>
      <w:r w:rsidR="00DE42B8">
        <w:rPr>
          <w:sz w:val="20"/>
          <w:szCs w:val="20"/>
        </w:rPr>
        <w:t xml:space="preserve">by consumers and/or investors </w:t>
      </w:r>
      <w:r w:rsidR="00B3732E">
        <w:rPr>
          <w:sz w:val="20"/>
          <w:szCs w:val="20"/>
        </w:rPr>
        <w:t>in the category</w:t>
      </w:r>
      <w:r>
        <w:rPr>
          <w:sz w:val="20"/>
          <w:szCs w:val="20"/>
        </w:rPr>
        <w:t>.</w:t>
      </w:r>
    </w:p>
    <w:p w14:paraId="61B19605" w14:textId="77777777" w:rsidR="00B3732E" w:rsidRDefault="00B3732E" w:rsidP="007E09CA">
      <w:pPr>
        <w:pStyle w:val="Default"/>
        <w:jc w:val="both"/>
        <w:rPr>
          <w:sz w:val="20"/>
          <w:szCs w:val="20"/>
        </w:rPr>
      </w:pPr>
    </w:p>
    <w:p w14:paraId="74D53074" w14:textId="523F17C9" w:rsidR="00E34409" w:rsidRPr="000E491C" w:rsidRDefault="00B3732E" w:rsidP="00AC17D4">
      <w:pPr>
        <w:pStyle w:val="Default"/>
        <w:jc w:val="both"/>
        <w:rPr>
          <w:sz w:val="20"/>
          <w:szCs w:val="20"/>
        </w:rPr>
      </w:pPr>
      <w:r>
        <w:rPr>
          <w:sz w:val="20"/>
          <w:szCs w:val="20"/>
        </w:rPr>
        <w:t>Development of the category will</w:t>
      </w:r>
      <w:r w:rsidR="005D6A7E">
        <w:rPr>
          <w:sz w:val="20"/>
          <w:szCs w:val="20"/>
        </w:rPr>
        <w:t xml:space="preserve"> and should</w:t>
      </w:r>
      <w:r>
        <w:rPr>
          <w:sz w:val="20"/>
          <w:szCs w:val="20"/>
        </w:rPr>
        <w:t xml:space="preserve"> be determined by market forces – the demand and risk appetite of investors, the reputation of intermediaries and issuers, and the efficiency and effectiveness of the online delivery platform.</w:t>
      </w:r>
      <w:r w:rsidR="00E34409">
        <w:rPr>
          <w:sz w:val="20"/>
          <w:szCs w:val="20"/>
        </w:rPr>
        <w:t xml:space="preserve"> There </w:t>
      </w:r>
      <w:r w:rsidR="00963A74">
        <w:rPr>
          <w:sz w:val="20"/>
          <w:szCs w:val="20"/>
        </w:rPr>
        <w:t>are</w:t>
      </w:r>
      <w:r w:rsidR="00E34409">
        <w:rPr>
          <w:sz w:val="20"/>
          <w:szCs w:val="20"/>
        </w:rPr>
        <w:t xml:space="preserve"> </w:t>
      </w:r>
      <w:r w:rsidR="00E34409" w:rsidRPr="002D208B">
        <w:rPr>
          <w:rFonts w:asciiTheme="minorHAnsi" w:hAnsiTheme="minorHAnsi"/>
          <w:sz w:val="20"/>
          <w:szCs w:val="20"/>
        </w:rPr>
        <w:t xml:space="preserve">developing mechanisms </w:t>
      </w:r>
      <w:r w:rsidR="00E34409">
        <w:rPr>
          <w:sz w:val="20"/>
          <w:szCs w:val="20"/>
        </w:rPr>
        <w:t xml:space="preserve">that </w:t>
      </w:r>
      <w:r w:rsidR="00E34409" w:rsidRPr="002D208B">
        <w:rPr>
          <w:rFonts w:asciiTheme="minorHAnsi" w:hAnsiTheme="minorHAnsi"/>
          <w:sz w:val="20"/>
          <w:szCs w:val="20"/>
        </w:rPr>
        <w:t xml:space="preserve">crowdfunding </w:t>
      </w:r>
      <w:r w:rsidR="00963A74">
        <w:rPr>
          <w:rFonts w:asciiTheme="minorHAnsi" w:hAnsiTheme="minorHAnsi"/>
          <w:sz w:val="20"/>
          <w:szCs w:val="20"/>
        </w:rPr>
        <w:t>platforms</w:t>
      </w:r>
      <w:r w:rsidR="00E34409" w:rsidRPr="002D208B">
        <w:rPr>
          <w:rFonts w:asciiTheme="minorHAnsi" w:hAnsiTheme="minorHAnsi"/>
          <w:sz w:val="20"/>
          <w:szCs w:val="20"/>
        </w:rPr>
        <w:t xml:space="preserve"> (and other web based models) are using to address some </w:t>
      </w:r>
      <w:r w:rsidR="00E34409">
        <w:rPr>
          <w:rFonts w:asciiTheme="minorHAnsi" w:hAnsiTheme="minorHAnsi"/>
          <w:sz w:val="20"/>
          <w:szCs w:val="20"/>
        </w:rPr>
        <w:t>of the risk/trust issues so legislation will not be the only answer</w:t>
      </w:r>
      <w:r w:rsidR="00E34409" w:rsidRPr="002D208B">
        <w:rPr>
          <w:rFonts w:asciiTheme="minorHAnsi" w:hAnsiTheme="minorHAnsi"/>
          <w:sz w:val="20"/>
          <w:szCs w:val="20"/>
        </w:rPr>
        <w:t xml:space="preserve">. </w:t>
      </w:r>
      <w:r w:rsidR="00963A74">
        <w:rPr>
          <w:rFonts w:asciiTheme="minorHAnsi" w:hAnsiTheme="minorHAnsi"/>
          <w:sz w:val="20"/>
          <w:szCs w:val="20"/>
        </w:rPr>
        <w:t xml:space="preserve">Furthermore there is a risk that the category </w:t>
      </w:r>
      <w:r w:rsidR="00E34409" w:rsidRPr="002D208B">
        <w:rPr>
          <w:rFonts w:asciiTheme="minorHAnsi" w:hAnsiTheme="minorHAnsi"/>
          <w:sz w:val="20"/>
          <w:szCs w:val="20"/>
        </w:rPr>
        <w:t>could be over legislated and hence the benefits do not eventuate.</w:t>
      </w:r>
    </w:p>
    <w:p w14:paraId="31B0CEE6" w14:textId="77777777" w:rsidR="00E34409" w:rsidRPr="009B701B" w:rsidRDefault="00E34409" w:rsidP="007E09CA">
      <w:pPr>
        <w:pStyle w:val="Default"/>
        <w:jc w:val="both"/>
        <w:rPr>
          <w:sz w:val="20"/>
          <w:szCs w:val="20"/>
        </w:rPr>
      </w:pPr>
    </w:p>
    <w:p w14:paraId="66FE11AA" w14:textId="77777777" w:rsidR="009B701B" w:rsidRPr="009B701B" w:rsidRDefault="009B701B" w:rsidP="007E09CA">
      <w:pPr>
        <w:pStyle w:val="Default"/>
        <w:jc w:val="both"/>
        <w:rPr>
          <w:b/>
          <w:i/>
          <w:sz w:val="20"/>
          <w:szCs w:val="20"/>
        </w:rPr>
      </w:pPr>
    </w:p>
    <w:p w14:paraId="3BF884DE" w14:textId="77777777" w:rsidR="007E09CA" w:rsidRPr="009B701B" w:rsidRDefault="007E09CA" w:rsidP="007E09CA">
      <w:pPr>
        <w:pStyle w:val="Default"/>
        <w:numPr>
          <w:ilvl w:val="0"/>
          <w:numId w:val="1"/>
        </w:numPr>
        <w:jc w:val="both"/>
        <w:rPr>
          <w:b/>
          <w:i/>
          <w:sz w:val="20"/>
          <w:szCs w:val="20"/>
        </w:rPr>
      </w:pPr>
      <w:r w:rsidRPr="009B701B">
        <w:rPr>
          <w:b/>
          <w:i/>
          <w:sz w:val="20"/>
          <w:szCs w:val="20"/>
        </w:rPr>
        <w:t xml:space="preserve">Do the existing mechanisms of the managed investment scheme regime and the small scale personal offer exemption sufficiently facilitate online offers of equity in small companies? </w:t>
      </w:r>
    </w:p>
    <w:p w14:paraId="480E17E2" w14:textId="77777777" w:rsidR="007E09CA" w:rsidRDefault="007E09CA" w:rsidP="00B3732E">
      <w:pPr>
        <w:pStyle w:val="ListParagraph"/>
        <w:ind w:left="0"/>
        <w:rPr>
          <w:sz w:val="20"/>
          <w:szCs w:val="20"/>
        </w:rPr>
      </w:pPr>
    </w:p>
    <w:p w14:paraId="5FB70DC5" w14:textId="2E28ED8C" w:rsidR="0090395F" w:rsidRDefault="00F44057" w:rsidP="00947B71">
      <w:pPr>
        <w:pStyle w:val="ListParagraph"/>
        <w:ind w:left="0"/>
        <w:jc w:val="both"/>
        <w:rPr>
          <w:sz w:val="20"/>
          <w:szCs w:val="20"/>
        </w:rPr>
      </w:pPr>
      <w:r>
        <w:rPr>
          <w:sz w:val="20"/>
          <w:szCs w:val="20"/>
        </w:rPr>
        <w:t xml:space="preserve">The value proposition of crowdfunding lies in capturing the full spectrum and resources of “the crowd” to broaden capital accessibility to a wide range of companies. Unjustifiable restrictions </w:t>
      </w:r>
      <w:r w:rsidR="00B91FF3">
        <w:rPr>
          <w:sz w:val="20"/>
          <w:szCs w:val="20"/>
        </w:rPr>
        <w:t>in</w:t>
      </w:r>
      <w:r>
        <w:rPr>
          <w:sz w:val="20"/>
          <w:szCs w:val="20"/>
        </w:rPr>
        <w:t xml:space="preserve"> investment </w:t>
      </w:r>
      <w:r w:rsidR="00B91FF3">
        <w:rPr>
          <w:sz w:val="20"/>
          <w:szCs w:val="20"/>
        </w:rPr>
        <w:t>caps</w:t>
      </w:r>
      <w:r>
        <w:rPr>
          <w:sz w:val="20"/>
          <w:szCs w:val="20"/>
        </w:rPr>
        <w:t xml:space="preserve"> </w:t>
      </w:r>
      <w:r w:rsidR="00B91FF3">
        <w:rPr>
          <w:sz w:val="20"/>
          <w:szCs w:val="20"/>
        </w:rPr>
        <w:t>or to</w:t>
      </w:r>
      <w:r>
        <w:rPr>
          <w:sz w:val="20"/>
          <w:szCs w:val="20"/>
        </w:rPr>
        <w:t xml:space="preserve"> </w:t>
      </w:r>
      <w:r w:rsidR="00403D30">
        <w:rPr>
          <w:sz w:val="20"/>
          <w:szCs w:val="20"/>
        </w:rPr>
        <w:t>sophisticate</w:t>
      </w:r>
      <w:r w:rsidR="00B91FF3">
        <w:rPr>
          <w:sz w:val="20"/>
          <w:szCs w:val="20"/>
        </w:rPr>
        <w:t>d</w:t>
      </w:r>
      <w:r>
        <w:rPr>
          <w:sz w:val="20"/>
          <w:szCs w:val="20"/>
        </w:rPr>
        <w:t xml:space="preserve"> investors only will not enable the scale and diversity of the crowd to be captured. </w:t>
      </w:r>
      <w:r w:rsidR="0090395F">
        <w:rPr>
          <w:sz w:val="20"/>
          <w:szCs w:val="20"/>
        </w:rPr>
        <w:t xml:space="preserve">Managed investment funds are not well suited to the model as an inherent premise of crowdfunding is the closer connection of investors to investee companies, something that is </w:t>
      </w:r>
      <w:r w:rsidR="00B91FF3">
        <w:rPr>
          <w:sz w:val="20"/>
          <w:szCs w:val="20"/>
        </w:rPr>
        <w:t>less</w:t>
      </w:r>
      <w:r w:rsidR="0090395F">
        <w:rPr>
          <w:sz w:val="20"/>
          <w:szCs w:val="20"/>
        </w:rPr>
        <w:t xml:space="preserve"> possible through managed investment schemes. </w:t>
      </w:r>
    </w:p>
    <w:p w14:paraId="0C982226" w14:textId="77777777" w:rsidR="0090395F" w:rsidRDefault="0090395F" w:rsidP="00B3732E">
      <w:pPr>
        <w:pStyle w:val="ListParagraph"/>
        <w:ind w:left="0"/>
        <w:rPr>
          <w:sz w:val="20"/>
          <w:szCs w:val="20"/>
        </w:rPr>
      </w:pPr>
    </w:p>
    <w:p w14:paraId="4362CEA4" w14:textId="732DE8FA" w:rsidR="00B3732E" w:rsidRPr="00B3732E" w:rsidRDefault="0090395F" w:rsidP="00B3732E">
      <w:pPr>
        <w:pStyle w:val="ListParagraph"/>
        <w:ind w:left="0"/>
        <w:rPr>
          <w:sz w:val="20"/>
          <w:szCs w:val="20"/>
        </w:rPr>
      </w:pPr>
      <w:r>
        <w:rPr>
          <w:sz w:val="20"/>
          <w:szCs w:val="20"/>
        </w:rPr>
        <w:t xml:space="preserve">As the concept is relatively new, again, market forces will determine whether the existing mechanisms are appropriate and beneficial to growth of the crowdfunding category. </w:t>
      </w:r>
    </w:p>
    <w:p w14:paraId="409E4451" w14:textId="77777777" w:rsidR="007E09CA" w:rsidRPr="009B701B" w:rsidRDefault="007E09CA" w:rsidP="007E09CA">
      <w:pPr>
        <w:pStyle w:val="Default"/>
        <w:numPr>
          <w:ilvl w:val="0"/>
          <w:numId w:val="1"/>
        </w:numPr>
        <w:jc w:val="both"/>
        <w:rPr>
          <w:b/>
          <w:i/>
          <w:sz w:val="20"/>
          <w:szCs w:val="20"/>
        </w:rPr>
      </w:pPr>
      <w:r w:rsidRPr="009B701B">
        <w:rPr>
          <w:b/>
          <w:i/>
          <w:sz w:val="20"/>
          <w:szCs w:val="20"/>
        </w:rPr>
        <w:t>Other than the restrictions identified above in relation to limitations on proprietary companies, public company compliance requirements and disclosure, are there any other barriers to the use of CSEF in Australia?</w:t>
      </w:r>
    </w:p>
    <w:p w14:paraId="12AFAFFE" w14:textId="77777777" w:rsidR="007E09CA" w:rsidRDefault="007E09CA" w:rsidP="0090395F">
      <w:pPr>
        <w:pStyle w:val="ListParagraph"/>
        <w:ind w:left="0"/>
        <w:rPr>
          <w:sz w:val="20"/>
          <w:szCs w:val="20"/>
        </w:rPr>
      </w:pPr>
    </w:p>
    <w:p w14:paraId="78FF7192" w14:textId="434FA5D9" w:rsidR="00E34409" w:rsidRDefault="0090395F" w:rsidP="0090395F">
      <w:pPr>
        <w:pStyle w:val="ListParagraph"/>
        <w:ind w:left="0"/>
        <w:rPr>
          <w:sz w:val="20"/>
          <w:szCs w:val="20"/>
        </w:rPr>
      </w:pPr>
      <w:r>
        <w:rPr>
          <w:sz w:val="20"/>
          <w:szCs w:val="20"/>
        </w:rPr>
        <w:t xml:space="preserve">The taxation system should not pose a disincentive to the development of crowdfunding. </w:t>
      </w:r>
      <w:r w:rsidR="00417318">
        <w:rPr>
          <w:sz w:val="20"/>
          <w:szCs w:val="20"/>
        </w:rPr>
        <w:t xml:space="preserve">Taxation treatment of </w:t>
      </w:r>
      <w:proofErr w:type="spellStart"/>
      <w:r w:rsidR="00403D30">
        <w:rPr>
          <w:sz w:val="20"/>
          <w:szCs w:val="20"/>
        </w:rPr>
        <w:t>crowdsourced</w:t>
      </w:r>
      <w:proofErr w:type="spellEnd"/>
      <w:r w:rsidR="00417318">
        <w:rPr>
          <w:sz w:val="20"/>
          <w:szCs w:val="20"/>
        </w:rPr>
        <w:t xml:space="preserve"> equities should be based upon an understanding of the drivers of investors, investee and intermediaries in the segment</w:t>
      </w:r>
      <w:r w:rsidR="00476D3E">
        <w:rPr>
          <w:sz w:val="20"/>
          <w:szCs w:val="20"/>
        </w:rPr>
        <w:t>, and be globally competitive to mitigate geographic barriers to entry and exit</w:t>
      </w:r>
      <w:r w:rsidR="00417318">
        <w:rPr>
          <w:sz w:val="20"/>
          <w:szCs w:val="20"/>
        </w:rPr>
        <w:t xml:space="preserve">. </w:t>
      </w:r>
    </w:p>
    <w:p w14:paraId="7AB4E71F" w14:textId="77777777" w:rsidR="00E34409" w:rsidRPr="0090395F" w:rsidRDefault="00E34409" w:rsidP="00AC17D4">
      <w:pPr>
        <w:rPr>
          <w:sz w:val="20"/>
          <w:szCs w:val="20"/>
        </w:rPr>
      </w:pPr>
      <w:r w:rsidRPr="00AC17D4">
        <w:rPr>
          <w:sz w:val="20"/>
          <w:szCs w:val="20"/>
        </w:rPr>
        <w:t>Given the likelihood that both parties in a CSEF are going to be lower in financial sophistication there should also be consideration for provision of dispute resolution mechanisms</w:t>
      </w:r>
      <w:r>
        <w:rPr>
          <w:sz w:val="20"/>
          <w:szCs w:val="20"/>
        </w:rPr>
        <w:t xml:space="preserve"> or else this may also prove to erode trust and create a barrier</w:t>
      </w:r>
      <w:r w:rsidRPr="00AC17D4">
        <w:rPr>
          <w:sz w:val="20"/>
          <w:szCs w:val="20"/>
        </w:rPr>
        <w:t>.</w:t>
      </w:r>
    </w:p>
    <w:p w14:paraId="09137E7C" w14:textId="77777777" w:rsidR="007E09CA" w:rsidRPr="009B701B" w:rsidRDefault="007E09CA" w:rsidP="007E09CA">
      <w:pPr>
        <w:pStyle w:val="Default"/>
        <w:numPr>
          <w:ilvl w:val="0"/>
          <w:numId w:val="1"/>
        </w:numPr>
        <w:jc w:val="both"/>
        <w:rPr>
          <w:b/>
          <w:i/>
          <w:sz w:val="20"/>
          <w:szCs w:val="20"/>
        </w:rPr>
      </w:pPr>
      <w:r w:rsidRPr="009B701B">
        <w:rPr>
          <w:b/>
          <w:i/>
          <w:sz w:val="20"/>
          <w:szCs w:val="20"/>
        </w:rPr>
        <w:t xml:space="preserve">Should any CSEF regime focus on the financing needs of small businesses and start-ups only, or is there a broader fundraising role? </w:t>
      </w:r>
    </w:p>
    <w:p w14:paraId="4BE81604" w14:textId="77777777" w:rsidR="00417318" w:rsidRDefault="00417318" w:rsidP="007E09CA">
      <w:pPr>
        <w:pStyle w:val="Default"/>
        <w:jc w:val="both"/>
        <w:rPr>
          <w:rFonts w:cstheme="minorBidi"/>
          <w:color w:val="auto"/>
          <w:sz w:val="20"/>
          <w:szCs w:val="20"/>
          <w:u w:val="single"/>
        </w:rPr>
      </w:pPr>
    </w:p>
    <w:p w14:paraId="21A16F6C" w14:textId="619A4661" w:rsidR="001148B0" w:rsidRDefault="00417318" w:rsidP="007E09CA">
      <w:pPr>
        <w:pStyle w:val="Default"/>
        <w:jc w:val="both"/>
        <w:rPr>
          <w:rFonts w:cstheme="minorBidi"/>
          <w:color w:val="auto"/>
          <w:sz w:val="20"/>
          <w:szCs w:val="20"/>
        </w:rPr>
      </w:pPr>
      <w:r>
        <w:rPr>
          <w:rFonts w:cstheme="minorBidi"/>
          <w:color w:val="auto"/>
          <w:sz w:val="20"/>
          <w:szCs w:val="20"/>
        </w:rPr>
        <w:t xml:space="preserve">Increased access to a </w:t>
      </w:r>
      <w:r w:rsidR="00191655">
        <w:rPr>
          <w:rFonts w:cstheme="minorBidi"/>
          <w:color w:val="auto"/>
          <w:sz w:val="20"/>
          <w:szCs w:val="20"/>
        </w:rPr>
        <w:t xml:space="preserve">diverse </w:t>
      </w:r>
      <w:r>
        <w:rPr>
          <w:rFonts w:cstheme="minorBidi"/>
          <w:color w:val="auto"/>
          <w:sz w:val="20"/>
          <w:szCs w:val="20"/>
        </w:rPr>
        <w:t xml:space="preserve">range of capital instruments </w:t>
      </w:r>
      <w:r w:rsidR="00191655">
        <w:rPr>
          <w:rFonts w:cstheme="minorBidi"/>
          <w:color w:val="auto"/>
          <w:sz w:val="20"/>
          <w:szCs w:val="20"/>
        </w:rPr>
        <w:t xml:space="preserve">– including </w:t>
      </w:r>
      <w:proofErr w:type="spellStart"/>
      <w:r w:rsidR="00403D30">
        <w:rPr>
          <w:rFonts w:cstheme="minorBidi"/>
          <w:color w:val="auto"/>
          <w:sz w:val="20"/>
          <w:szCs w:val="20"/>
        </w:rPr>
        <w:t>crowdsourced</w:t>
      </w:r>
      <w:proofErr w:type="spellEnd"/>
      <w:r w:rsidR="00191655">
        <w:rPr>
          <w:rFonts w:cstheme="minorBidi"/>
          <w:color w:val="auto"/>
          <w:sz w:val="20"/>
          <w:szCs w:val="20"/>
        </w:rPr>
        <w:t xml:space="preserve"> debt or equity - </w:t>
      </w:r>
      <w:r>
        <w:rPr>
          <w:rFonts w:cstheme="minorBidi"/>
          <w:color w:val="auto"/>
          <w:sz w:val="20"/>
          <w:szCs w:val="20"/>
        </w:rPr>
        <w:t>is a sign of a matur</w:t>
      </w:r>
      <w:r w:rsidR="00191655">
        <w:rPr>
          <w:rFonts w:cstheme="minorBidi"/>
          <w:color w:val="auto"/>
          <w:sz w:val="20"/>
          <w:szCs w:val="20"/>
        </w:rPr>
        <w:t>e</w:t>
      </w:r>
      <w:r>
        <w:rPr>
          <w:rFonts w:cstheme="minorBidi"/>
          <w:color w:val="auto"/>
          <w:sz w:val="20"/>
          <w:szCs w:val="20"/>
        </w:rPr>
        <w:t xml:space="preserve"> and healthy financial system. Similarly, access to a range of financial instruments should be </w:t>
      </w:r>
      <w:r w:rsidR="001148B0">
        <w:rPr>
          <w:rFonts w:cstheme="minorBidi"/>
          <w:color w:val="auto"/>
          <w:sz w:val="20"/>
          <w:szCs w:val="20"/>
        </w:rPr>
        <w:t xml:space="preserve">extended </w:t>
      </w:r>
      <w:r w:rsidR="001148B0">
        <w:rPr>
          <w:rFonts w:cstheme="minorBidi"/>
          <w:color w:val="auto"/>
          <w:sz w:val="20"/>
          <w:szCs w:val="20"/>
        </w:rPr>
        <w:lastRenderedPageBreak/>
        <w:t xml:space="preserve">to </w:t>
      </w:r>
      <w:r>
        <w:rPr>
          <w:rFonts w:cstheme="minorBidi"/>
          <w:color w:val="auto"/>
          <w:sz w:val="20"/>
          <w:szCs w:val="20"/>
        </w:rPr>
        <w:t xml:space="preserve">different </w:t>
      </w:r>
      <w:r w:rsidR="00B91FF3">
        <w:rPr>
          <w:rFonts w:cstheme="minorBidi"/>
          <w:color w:val="auto"/>
          <w:sz w:val="20"/>
          <w:szCs w:val="20"/>
        </w:rPr>
        <w:t>demographics</w:t>
      </w:r>
      <w:r>
        <w:rPr>
          <w:rFonts w:cstheme="minorBidi"/>
          <w:color w:val="auto"/>
          <w:sz w:val="20"/>
          <w:szCs w:val="20"/>
        </w:rPr>
        <w:t xml:space="preserve"> of the economy, through with some regulation to ensure that </w:t>
      </w:r>
      <w:r w:rsidR="001148B0">
        <w:rPr>
          <w:rFonts w:cstheme="minorBidi"/>
          <w:color w:val="auto"/>
          <w:sz w:val="20"/>
          <w:szCs w:val="20"/>
        </w:rPr>
        <w:t xml:space="preserve">segments that have </w:t>
      </w:r>
      <w:r w:rsidR="00191655">
        <w:rPr>
          <w:rFonts w:cstheme="minorBidi"/>
          <w:color w:val="auto"/>
          <w:sz w:val="20"/>
          <w:szCs w:val="20"/>
        </w:rPr>
        <w:t>specialised</w:t>
      </w:r>
      <w:r w:rsidR="001148B0">
        <w:rPr>
          <w:rFonts w:cstheme="minorBidi"/>
          <w:color w:val="auto"/>
          <w:sz w:val="20"/>
          <w:szCs w:val="20"/>
        </w:rPr>
        <w:t xml:space="preserve"> capital requirements – such </w:t>
      </w:r>
      <w:r w:rsidR="00191655">
        <w:rPr>
          <w:rFonts w:cstheme="minorBidi"/>
          <w:color w:val="auto"/>
          <w:sz w:val="20"/>
          <w:szCs w:val="20"/>
        </w:rPr>
        <w:t xml:space="preserve">as small </w:t>
      </w:r>
      <w:r w:rsidR="001148B0">
        <w:rPr>
          <w:rFonts w:cstheme="minorBidi"/>
          <w:color w:val="auto"/>
          <w:sz w:val="20"/>
          <w:szCs w:val="20"/>
        </w:rPr>
        <w:t xml:space="preserve">business, start-ups, technology, social and indigenous enterprises – are not disadvantaged. </w:t>
      </w:r>
    </w:p>
    <w:p w14:paraId="493C3F27" w14:textId="77777777" w:rsidR="001148B0" w:rsidRDefault="001148B0" w:rsidP="007E09CA">
      <w:pPr>
        <w:pStyle w:val="Default"/>
        <w:jc w:val="both"/>
        <w:rPr>
          <w:rFonts w:cstheme="minorBidi"/>
          <w:color w:val="auto"/>
          <w:sz w:val="20"/>
          <w:szCs w:val="20"/>
        </w:rPr>
      </w:pPr>
    </w:p>
    <w:p w14:paraId="274F887F" w14:textId="4807CC7A" w:rsidR="007E09CA" w:rsidRPr="00417318" w:rsidRDefault="00191655" w:rsidP="007E09CA">
      <w:pPr>
        <w:pStyle w:val="Default"/>
        <w:jc w:val="both"/>
        <w:rPr>
          <w:rFonts w:cstheme="minorBidi"/>
          <w:color w:val="auto"/>
          <w:sz w:val="20"/>
          <w:szCs w:val="20"/>
        </w:rPr>
      </w:pPr>
      <w:r>
        <w:rPr>
          <w:rFonts w:cstheme="minorBidi"/>
          <w:color w:val="auto"/>
          <w:sz w:val="20"/>
          <w:szCs w:val="20"/>
        </w:rPr>
        <w:t>In Australia</w:t>
      </w:r>
      <w:r w:rsidR="001148B0">
        <w:rPr>
          <w:rFonts w:cstheme="minorBidi"/>
          <w:color w:val="auto"/>
          <w:sz w:val="20"/>
          <w:szCs w:val="20"/>
        </w:rPr>
        <w:t xml:space="preserve">, the development of </w:t>
      </w:r>
      <w:proofErr w:type="spellStart"/>
      <w:r w:rsidR="00403D30">
        <w:rPr>
          <w:rFonts w:cstheme="minorBidi"/>
          <w:color w:val="auto"/>
          <w:sz w:val="20"/>
          <w:szCs w:val="20"/>
        </w:rPr>
        <w:t>crowdsourced</w:t>
      </w:r>
      <w:proofErr w:type="spellEnd"/>
      <w:r w:rsidR="001148B0">
        <w:rPr>
          <w:rFonts w:cstheme="minorBidi"/>
          <w:color w:val="auto"/>
          <w:sz w:val="20"/>
          <w:szCs w:val="20"/>
        </w:rPr>
        <w:t xml:space="preserve"> debt is behind the development of </w:t>
      </w:r>
      <w:proofErr w:type="spellStart"/>
      <w:r w:rsidR="00403D30">
        <w:rPr>
          <w:rFonts w:cstheme="minorBidi"/>
          <w:color w:val="auto"/>
          <w:sz w:val="20"/>
          <w:szCs w:val="20"/>
        </w:rPr>
        <w:t>crowdsourced</w:t>
      </w:r>
      <w:proofErr w:type="spellEnd"/>
      <w:r w:rsidR="001148B0">
        <w:rPr>
          <w:rFonts w:cstheme="minorBidi"/>
          <w:color w:val="auto"/>
          <w:sz w:val="20"/>
          <w:szCs w:val="20"/>
        </w:rPr>
        <w:t xml:space="preserve"> equit</w:t>
      </w:r>
      <w:r>
        <w:rPr>
          <w:rFonts w:cstheme="minorBidi"/>
          <w:color w:val="auto"/>
          <w:sz w:val="20"/>
          <w:szCs w:val="20"/>
        </w:rPr>
        <w:t xml:space="preserve">y, though the </w:t>
      </w:r>
      <w:r w:rsidR="001148B0">
        <w:rPr>
          <w:rFonts w:cstheme="minorBidi"/>
          <w:color w:val="auto"/>
          <w:sz w:val="20"/>
          <w:szCs w:val="20"/>
        </w:rPr>
        <w:t>notable recent development of peer-to-peer lending</w:t>
      </w:r>
      <w:r>
        <w:rPr>
          <w:rFonts w:cstheme="minorBidi"/>
          <w:color w:val="auto"/>
          <w:sz w:val="20"/>
          <w:szCs w:val="20"/>
        </w:rPr>
        <w:t xml:space="preserve"> is encouraging</w:t>
      </w:r>
      <w:r w:rsidR="001148B0">
        <w:rPr>
          <w:rFonts w:cstheme="minorBidi"/>
          <w:color w:val="auto"/>
          <w:sz w:val="20"/>
          <w:szCs w:val="20"/>
        </w:rPr>
        <w:t>. As debt is still a preferred mechanism of lending amongst small business, regulatory mechanisms encouraging the development of this should be encouraged.</w:t>
      </w:r>
    </w:p>
    <w:p w14:paraId="313434FF" w14:textId="77777777" w:rsidR="00417318" w:rsidRPr="009B701B" w:rsidRDefault="00417318" w:rsidP="007E09CA">
      <w:pPr>
        <w:pStyle w:val="Default"/>
        <w:jc w:val="both"/>
        <w:rPr>
          <w:rFonts w:cstheme="minorBidi"/>
          <w:b/>
          <w:i/>
          <w:color w:val="auto"/>
          <w:sz w:val="20"/>
          <w:szCs w:val="20"/>
        </w:rPr>
      </w:pPr>
    </w:p>
    <w:p w14:paraId="3AE1F1B4" w14:textId="77777777" w:rsidR="007E09CA" w:rsidRPr="009B701B" w:rsidRDefault="007E09CA" w:rsidP="007E09CA">
      <w:pPr>
        <w:pStyle w:val="Default"/>
        <w:numPr>
          <w:ilvl w:val="0"/>
          <w:numId w:val="1"/>
        </w:numPr>
        <w:jc w:val="both"/>
        <w:rPr>
          <w:b/>
          <w:i/>
          <w:sz w:val="20"/>
          <w:szCs w:val="20"/>
        </w:rPr>
      </w:pPr>
      <w:r w:rsidRPr="009B701B">
        <w:rPr>
          <w:b/>
          <w:i/>
          <w:sz w:val="20"/>
          <w:szCs w:val="20"/>
        </w:rPr>
        <w:t xml:space="preserve">Do you consider that, compared to existing public company compliance costs, the exempt public company structure is necessary to facilitate CSEF in Australia? </w:t>
      </w:r>
    </w:p>
    <w:p w14:paraId="090262C8" w14:textId="77777777" w:rsidR="007E09CA" w:rsidRDefault="007E09CA" w:rsidP="000E491C">
      <w:pPr>
        <w:pStyle w:val="ListParagraph"/>
        <w:ind w:left="0"/>
        <w:rPr>
          <w:sz w:val="20"/>
          <w:szCs w:val="20"/>
        </w:rPr>
      </w:pPr>
    </w:p>
    <w:p w14:paraId="3B9444B5" w14:textId="6E3C50E4" w:rsidR="000E491C" w:rsidRDefault="004C4D40" w:rsidP="00947B71">
      <w:pPr>
        <w:pStyle w:val="ListParagraph"/>
        <w:ind w:left="0"/>
        <w:jc w:val="both"/>
        <w:rPr>
          <w:sz w:val="20"/>
          <w:szCs w:val="20"/>
        </w:rPr>
      </w:pPr>
      <w:r>
        <w:rPr>
          <w:sz w:val="20"/>
          <w:szCs w:val="20"/>
        </w:rPr>
        <w:t xml:space="preserve">The power of crowdfunding is in harnessing the power of the “crowd”- and as a result is expected to yield higher volume, lower value investments for companies. Given that the mechanism is primarily targeted at start-up and small enterprises to, at least, partially fill, a gap in capital funding – </w:t>
      </w:r>
      <w:r w:rsidR="008B3274">
        <w:rPr>
          <w:sz w:val="20"/>
          <w:szCs w:val="20"/>
        </w:rPr>
        <w:t xml:space="preserve">even </w:t>
      </w:r>
      <w:r>
        <w:rPr>
          <w:sz w:val="20"/>
          <w:szCs w:val="20"/>
        </w:rPr>
        <w:t xml:space="preserve">small public companies </w:t>
      </w:r>
      <w:r w:rsidR="008B3274">
        <w:rPr>
          <w:sz w:val="20"/>
          <w:szCs w:val="20"/>
        </w:rPr>
        <w:t>will have</w:t>
      </w:r>
      <w:r>
        <w:rPr>
          <w:sz w:val="20"/>
          <w:szCs w:val="20"/>
        </w:rPr>
        <w:t xml:space="preserve"> few resources to self-administer or hire third party resources to maintain a share register, ongoing reporting or communications</w:t>
      </w:r>
      <w:r w:rsidR="008B3274">
        <w:rPr>
          <w:sz w:val="20"/>
          <w:szCs w:val="20"/>
        </w:rPr>
        <w:t>. A</w:t>
      </w:r>
      <w:r>
        <w:rPr>
          <w:sz w:val="20"/>
          <w:szCs w:val="20"/>
        </w:rPr>
        <w:t>n exempt public company structure with reduc</w:t>
      </w:r>
      <w:r w:rsidR="008B3274">
        <w:rPr>
          <w:sz w:val="20"/>
          <w:szCs w:val="20"/>
        </w:rPr>
        <w:t xml:space="preserve">ed costs </w:t>
      </w:r>
      <w:r>
        <w:rPr>
          <w:sz w:val="20"/>
          <w:szCs w:val="20"/>
        </w:rPr>
        <w:t>is a viable alternative</w:t>
      </w:r>
      <w:r w:rsidR="008B3274">
        <w:rPr>
          <w:sz w:val="20"/>
          <w:szCs w:val="20"/>
        </w:rPr>
        <w:t xml:space="preserve"> with </w:t>
      </w:r>
      <w:r w:rsidR="00505205">
        <w:rPr>
          <w:sz w:val="20"/>
          <w:szCs w:val="20"/>
        </w:rPr>
        <w:t xml:space="preserve">investee </w:t>
      </w:r>
      <w:r w:rsidR="008B3274">
        <w:rPr>
          <w:sz w:val="20"/>
          <w:szCs w:val="20"/>
        </w:rPr>
        <w:t xml:space="preserve">caveats around capitalisation, headcount and/or </w:t>
      </w:r>
      <w:r w:rsidR="004A7497">
        <w:rPr>
          <w:sz w:val="20"/>
          <w:szCs w:val="20"/>
        </w:rPr>
        <w:t>fund raising caps</w:t>
      </w:r>
      <w:r>
        <w:rPr>
          <w:sz w:val="20"/>
          <w:szCs w:val="20"/>
        </w:rPr>
        <w:t xml:space="preserve">.  </w:t>
      </w:r>
    </w:p>
    <w:p w14:paraId="421CBA7B" w14:textId="77777777" w:rsidR="00E34409" w:rsidRDefault="00E34409" w:rsidP="00947B71">
      <w:pPr>
        <w:pStyle w:val="ListParagraph"/>
        <w:ind w:left="0"/>
        <w:jc w:val="both"/>
        <w:rPr>
          <w:sz w:val="20"/>
          <w:szCs w:val="20"/>
        </w:rPr>
      </w:pPr>
    </w:p>
    <w:p w14:paraId="7E393668" w14:textId="77777777" w:rsidR="007E09CA" w:rsidRPr="009B701B" w:rsidRDefault="007E09CA" w:rsidP="00CB66DC">
      <w:pPr>
        <w:pStyle w:val="Default"/>
        <w:numPr>
          <w:ilvl w:val="0"/>
          <w:numId w:val="1"/>
        </w:numPr>
        <w:ind w:left="0"/>
        <w:jc w:val="both"/>
        <w:rPr>
          <w:b/>
          <w:i/>
          <w:sz w:val="20"/>
          <w:szCs w:val="20"/>
        </w:rPr>
      </w:pPr>
      <w:r w:rsidRPr="009B701B">
        <w:rPr>
          <w:b/>
          <w:i/>
          <w:sz w:val="20"/>
          <w:szCs w:val="20"/>
        </w:rPr>
        <w:t xml:space="preserve">To what extent would the requirement for CSEF issuers to be a public company, including an exempt public company, and the associated compliance costs limit the attractiveness of CSEF for small businesses and start-ups? </w:t>
      </w:r>
    </w:p>
    <w:p w14:paraId="73E94271" w14:textId="77777777" w:rsidR="007E09CA" w:rsidRDefault="007E09CA" w:rsidP="00CB66DC">
      <w:pPr>
        <w:pStyle w:val="ListParagraph"/>
        <w:ind w:left="0"/>
        <w:rPr>
          <w:sz w:val="20"/>
          <w:szCs w:val="20"/>
        </w:rPr>
      </w:pPr>
    </w:p>
    <w:p w14:paraId="56A6E342" w14:textId="77777777" w:rsidR="000E491C" w:rsidRPr="000E491C" w:rsidRDefault="004C4D40" w:rsidP="00CB66DC">
      <w:pPr>
        <w:pStyle w:val="ListParagraph"/>
        <w:ind w:left="0"/>
        <w:rPr>
          <w:sz w:val="20"/>
          <w:szCs w:val="20"/>
        </w:rPr>
      </w:pPr>
      <w:r>
        <w:rPr>
          <w:sz w:val="20"/>
          <w:szCs w:val="20"/>
        </w:rPr>
        <w:t>See answer in the context of status-quo and cost-benefit in Q7 below.</w:t>
      </w:r>
    </w:p>
    <w:p w14:paraId="5B693EB4" w14:textId="77777777" w:rsidR="007E09CA" w:rsidRPr="009B701B" w:rsidRDefault="007E09CA" w:rsidP="00CB66DC">
      <w:pPr>
        <w:pStyle w:val="Default"/>
        <w:numPr>
          <w:ilvl w:val="0"/>
          <w:numId w:val="1"/>
        </w:numPr>
        <w:ind w:left="0"/>
        <w:jc w:val="both"/>
        <w:rPr>
          <w:b/>
          <w:i/>
          <w:sz w:val="20"/>
          <w:szCs w:val="20"/>
        </w:rPr>
      </w:pPr>
      <w:r w:rsidRPr="009B701B">
        <w:rPr>
          <w:b/>
          <w:i/>
          <w:sz w:val="20"/>
          <w:szCs w:val="20"/>
        </w:rPr>
        <w:t xml:space="preserve">Compared to the status quo, are there risks that companies will use the exempt public company structure for regulatory arbitrage, and do these risks outweigh the benefits of the structure in facilitating CSEF? </w:t>
      </w:r>
    </w:p>
    <w:p w14:paraId="6F977686" w14:textId="77777777" w:rsidR="007E09CA" w:rsidRDefault="007E09CA" w:rsidP="00CB66DC">
      <w:pPr>
        <w:pStyle w:val="ListParagraph"/>
        <w:ind w:left="0"/>
        <w:rPr>
          <w:b/>
          <w:sz w:val="20"/>
          <w:szCs w:val="20"/>
        </w:rPr>
      </w:pPr>
    </w:p>
    <w:p w14:paraId="20AAEB8B" w14:textId="77777777" w:rsidR="000E491C" w:rsidRPr="000E491C" w:rsidRDefault="000E491C" w:rsidP="00947B71">
      <w:pPr>
        <w:pStyle w:val="ListParagraph"/>
        <w:ind w:left="0"/>
        <w:jc w:val="both"/>
        <w:rPr>
          <w:sz w:val="20"/>
          <w:szCs w:val="20"/>
        </w:rPr>
      </w:pPr>
      <w:r w:rsidRPr="000E491C">
        <w:rPr>
          <w:sz w:val="20"/>
          <w:szCs w:val="20"/>
        </w:rPr>
        <w:t>There</w:t>
      </w:r>
      <w:r>
        <w:rPr>
          <w:sz w:val="20"/>
          <w:szCs w:val="20"/>
        </w:rPr>
        <w:t xml:space="preserve"> may be a risk that reduced disclosure requirements in exempt public companies may elevate risk to investors. The additional company structure may also increase complexity and administrative costs</w:t>
      </w:r>
      <w:r w:rsidR="004C4D40">
        <w:rPr>
          <w:sz w:val="20"/>
          <w:szCs w:val="20"/>
        </w:rPr>
        <w:t xml:space="preserve"> – see questions above</w:t>
      </w:r>
      <w:r>
        <w:rPr>
          <w:sz w:val="20"/>
          <w:szCs w:val="20"/>
        </w:rPr>
        <w:t xml:space="preserve">. There is no </w:t>
      </w:r>
      <w:r w:rsidR="001A6D13">
        <w:rPr>
          <w:sz w:val="20"/>
          <w:szCs w:val="20"/>
        </w:rPr>
        <w:t xml:space="preserve">available </w:t>
      </w:r>
      <w:r>
        <w:rPr>
          <w:sz w:val="20"/>
          <w:szCs w:val="20"/>
        </w:rPr>
        <w:t>data to draw a reasonable cost-benefit conclusion.</w:t>
      </w:r>
    </w:p>
    <w:p w14:paraId="581AE685" w14:textId="77777777" w:rsidR="007E09CA" w:rsidRPr="009B701B" w:rsidRDefault="007E09CA" w:rsidP="00CB66DC">
      <w:pPr>
        <w:pStyle w:val="Default"/>
        <w:numPr>
          <w:ilvl w:val="0"/>
          <w:numId w:val="1"/>
        </w:numPr>
        <w:ind w:left="0"/>
        <w:jc w:val="both"/>
        <w:rPr>
          <w:b/>
          <w:i/>
          <w:sz w:val="20"/>
          <w:szCs w:val="20"/>
        </w:rPr>
      </w:pPr>
      <w:r w:rsidRPr="009B701B">
        <w:rPr>
          <w:b/>
          <w:i/>
          <w:sz w:val="20"/>
          <w:szCs w:val="20"/>
        </w:rPr>
        <w:t xml:space="preserve">Do you consider that the proposed caps and thresholds related to issuers are set at an appropriate level? Should any of the caps be aligned to be consistent with each other, and if so, which ones and at what level? </w:t>
      </w:r>
    </w:p>
    <w:p w14:paraId="1B0A70E8" w14:textId="77777777" w:rsidR="007E09CA" w:rsidRDefault="007E09CA" w:rsidP="00CB66DC">
      <w:pPr>
        <w:pStyle w:val="ListParagraph"/>
        <w:ind w:left="0"/>
        <w:rPr>
          <w:sz w:val="20"/>
          <w:szCs w:val="20"/>
        </w:rPr>
      </w:pPr>
    </w:p>
    <w:p w14:paraId="7A9A4008" w14:textId="77777777" w:rsidR="00554AEC" w:rsidRPr="000E491C" w:rsidRDefault="00047F3D" w:rsidP="00CB66DC">
      <w:pPr>
        <w:pStyle w:val="ListParagraph"/>
        <w:ind w:left="0"/>
        <w:rPr>
          <w:sz w:val="20"/>
          <w:szCs w:val="20"/>
        </w:rPr>
      </w:pPr>
      <w:r>
        <w:rPr>
          <w:sz w:val="20"/>
          <w:szCs w:val="20"/>
        </w:rPr>
        <w:t xml:space="preserve">Yes. </w:t>
      </w:r>
    </w:p>
    <w:p w14:paraId="0A976540" w14:textId="77777777" w:rsidR="007E09CA" w:rsidRPr="009B701B" w:rsidRDefault="007E09CA" w:rsidP="00CB66DC">
      <w:pPr>
        <w:pStyle w:val="Default"/>
        <w:numPr>
          <w:ilvl w:val="0"/>
          <w:numId w:val="1"/>
        </w:numPr>
        <w:ind w:left="0"/>
        <w:jc w:val="both"/>
        <w:rPr>
          <w:b/>
          <w:i/>
          <w:sz w:val="20"/>
          <w:szCs w:val="20"/>
        </w:rPr>
      </w:pPr>
      <w:r w:rsidRPr="009B701B">
        <w:rPr>
          <w:b/>
          <w:i/>
          <w:sz w:val="20"/>
          <w:szCs w:val="20"/>
        </w:rPr>
        <w:t xml:space="preserve">Do CAMAC’s recommendations in relation to intermediary remuneration and investing in issuers present a significant barrier to intermediaries entering the CSEF market, or to companies seeking to raise relatively small amounts of funds using CSEF? </w:t>
      </w:r>
    </w:p>
    <w:p w14:paraId="6D1402EB" w14:textId="77777777" w:rsidR="007E09CA" w:rsidRDefault="007E09CA" w:rsidP="00CB66DC">
      <w:pPr>
        <w:pStyle w:val="ListParagraph"/>
        <w:ind w:left="0"/>
        <w:rPr>
          <w:b/>
          <w:i/>
          <w:sz w:val="20"/>
          <w:szCs w:val="20"/>
        </w:rPr>
      </w:pPr>
    </w:p>
    <w:p w14:paraId="33C0D3D4" w14:textId="77777777" w:rsidR="00047F3D" w:rsidRPr="00047F3D" w:rsidRDefault="00187A29" w:rsidP="00CB66DC">
      <w:pPr>
        <w:pStyle w:val="ListParagraph"/>
        <w:ind w:left="0"/>
        <w:rPr>
          <w:sz w:val="20"/>
          <w:szCs w:val="20"/>
        </w:rPr>
      </w:pPr>
      <w:r>
        <w:rPr>
          <w:sz w:val="20"/>
          <w:szCs w:val="20"/>
        </w:rPr>
        <w:t xml:space="preserve">There may be initial issues around access or adoption, but the remuneration levels are not excessive such that market forces related to supply of investor funds and investee success should overcome any barriers </w:t>
      </w:r>
      <w:r w:rsidR="009D14A7">
        <w:rPr>
          <w:sz w:val="20"/>
          <w:szCs w:val="20"/>
        </w:rPr>
        <w:t>a</w:t>
      </w:r>
      <w:r>
        <w:rPr>
          <w:sz w:val="20"/>
          <w:szCs w:val="20"/>
        </w:rPr>
        <w:t>ssociated with this.</w:t>
      </w:r>
    </w:p>
    <w:p w14:paraId="078B3992" w14:textId="77777777" w:rsidR="007E09CA" w:rsidRPr="009B701B" w:rsidRDefault="007E09CA" w:rsidP="00187A29">
      <w:pPr>
        <w:pStyle w:val="Default"/>
        <w:numPr>
          <w:ilvl w:val="0"/>
          <w:numId w:val="1"/>
        </w:numPr>
        <w:ind w:left="0"/>
        <w:jc w:val="both"/>
        <w:rPr>
          <w:b/>
          <w:i/>
          <w:sz w:val="20"/>
          <w:szCs w:val="20"/>
        </w:rPr>
      </w:pPr>
      <w:r w:rsidRPr="009B701B">
        <w:rPr>
          <w:b/>
          <w:i/>
          <w:sz w:val="20"/>
          <w:szCs w:val="20"/>
        </w:rPr>
        <w:t xml:space="preserve">Do the proposed investor caps adequately balance protecting investors and limiting investor choice, including maintaining investor confidence in CSEF and therefore its sustainability as a fundraising model? </w:t>
      </w:r>
    </w:p>
    <w:p w14:paraId="032C4972" w14:textId="77777777" w:rsidR="007E09CA" w:rsidRDefault="007E09CA" w:rsidP="00187A29">
      <w:pPr>
        <w:pStyle w:val="ListParagraph"/>
        <w:ind w:left="0"/>
        <w:rPr>
          <w:sz w:val="20"/>
          <w:szCs w:val="20"/>
        </w:rPr>
      </w:pPr>
    </w:p>
    <w:p w14:paraId="550A3EC1" w14:textId="77777777" w:rsidR="00047F3D" w:rsidRPr="00047F3D" w:rsidRDefault="00187A29" w:rsidP="00187A29">
      <w:pPr>
        <w:pStyle w:val="ListParagraph"/>
        <w:ind w:left="0"/>
        <w:rPr>
          <w:sz w:val="20"/>
          <w:szCs w:val="20"/>
        </w:rPr>
      </w:pPr>
      <w:r>
        <w:rPr>
          <w:sz w:val="20"/>
          <w:szCs w:val="20"/>
        </w:rPr>
        <w:t>Yes. Please see response to Q9 above.</w:t>
      </w:r>
    </w:p>
    <w:p w14:paraId="05164FA1" w14:textId="77777777" w:rsidR="007E09CA" w:rsidRDefault="007E09CA" w:rsidP="00187A29">
      <w:pPr>
        <w:pStyle w:val="Default"/>
        <w:numPr>
          <w:ilvl w:val="0"/>
          <w:numId w:val="1"/>
        </w:numPr>
        <w:ind w:left="0"/>
        <w:jc w:val="both"/>
        <w:rPr>
          <w:b/>
          <w:i/>
          <w:sz w:val="20"/>
          <w:szCs w:val="20"/>
        </w:rPr>
      </w:pPr>
      <w:r w:rsidRPr="009B701B">
        <w:rPr>
          <w:b/>
          <w:i/>
          <w:sz w:val="20"/>
          <w:szCs w:val="20"/>
        </w:rPr>
        <w:t>Are there any other elements of CAMAC’s proposed model that result in an imbalance between facilitating the use of CSEF by issuers and maintaining an appropriate level of investor protection, or any other elements that should be included?</w:t>
      </w:r>
    </w:p>
    <w:p w14:paraId="43F991FB" w14:textId="77777777" w:rsidR="00187A29" w:rsidRDefault="00187A29" w:rsidP="00187A29">
      <w:pPr>
        <w:pStyle w:val="Default"/>
        <w:jc w:val="both"/>
        <w:rPr>
          <w:b/>
          <w:i/>
          <w:sz w:val="20"/>
          <w:szCs w:val="20"/>
        </w:rPr>
      </w:pPr>
    </w:p>
    <w:p w14:paraId="58621064" w14:textId="77777777" w:rsidR="00187A29" w:rsidRDefault="00187A29" w:rsidP="00187A29">
      <w:pPr>
        <w:pStyle w:val="Default"/>
        <w:jc w:val="both"/>
        <w:rPr>
          <w:sz w:val="20"/>
          <w:szCs w:val="20"/>
        </w:rPr>
      </w:pPr>
      <w:r w:rsidRPr="00187A29">
        <w:rPr>
          <w:sz w:val="20"/>
          <w:szCs w:val="20"/>
        </w:rPr>
        <w:lastRenderedPageBreak/>
        <w:t>No.</w:t>
      </w:r>
      <w:r>
        <w:rPr>
          <w:sz w:val="20"/>
          <w:szCs w:val="20"/>
        </w:rPr>
        <w:t xml:space="preserve"> </w:t>
      </w:r>
      <w:r w:rsidR="0033465C">
        <w:rPr>
          <w:sz w:val="20"/>
          <w:szCs w:val="20"/>
        </w:rPr>
        <w:t xml:space="preserve">Deakin University </w:t>
      </w:r>
      <w:r>
        <w:rPr>
          <w:sz w:val="20"/>
          <w:szCs w:val="20"/>
        </w:rPr>
        <w:t>emphasise that appropriate advertising and liability controls on false or misleading statements on the issuers are critical</w:t>
      </w:r>
      <w:r w:rsidR="00FB32FC">
        <w:rPr>
          <w:sz w:val="20"/>
          <w:szCs w:val="20"/>
        </w:rPr>
        <w:t>.</w:t>
      </w:r>
    </w:p>
    <w:p w14:paraId="451BADBC" w14:textId="77777777" w:rsidR="00E34409" w:rsidRPr="00187A29" w:rsidRDefault="00E34409" w:rsidP="00187A29">
      <w:pPr>
        <w:pStyle w:val="Default"/>
        <w:jc w:val="both"/>
        <w:rPr>
          <w:sz w:val="20"/>
          <w:szCs w:val="20"/>
        </w:rPr>
      </w:pPr>
    </w:p>
    <w:p w14:paraId="51E4E43B" w14:textId="77777777" w:rsidR="007E09CA" w:rsidRPr="009B701B" w:rsidRDefault="007E09CA" w:rsidP="00187A29">
      <w:pPr>
        <w:pStyle w:val="Default"/>
        <w:jc w:val="both"/>
        <w:rPr>
          <w:rFonts w:cstheme="minorBidi"/>
          <w:b/>
          <w:i/>
          <w:color w:val="auto"/>
          <w:sz w:val="20"/>
          <w:szCs w:val="20"/>
        </w:rPr>
      </w:pPr>
    </w:p>
    <w:p w14:paraId="55148A97" w14:textId="77777777" w:rsidR="007E09CA" w:rsidRDefault="007E09CA" w:rsidP="00103191">
      <w:pPr>
        <w:pStyle w:val="Default"/>
        <w:numPr>
          <w:ilvl w:val="0"/>
          <w:numId w:val="1"/>
        </w:numPr>
        <w:ind w:left="-37"/>
        <w:jc w:val="both"/>
        <w:rPr>
          <w:b/>
          <w:i/>
          <w:sz w:val="20"/>
          <w:szCs w:val="20"/>
        </w:rPr>
      </w:pPr>
      <w:r w:rsidRPr="009B701B">
        <w:rPr>
          <w:b/>
          <w:i/>
          <w:sz w:val="20"/>
          <w:szCs w:val="20"/>
        </w:rPr>
        <w:t xml:space="preserve">Do you consider it is important that the Australian and New Zealand CSEF models are aligned? If so, is it necessary for this to be achieved through the implementation of similar CSEF frameworks, or would it be more appropriate for CSEF to be considered under the Trans-Tasman mutual recognition framework? </w:t>
      </w:r>
    </w:p>
    <w:p w14:paraId="1015B6EC" w14:textId="77777777" w:rsidR="00103191" w:rsidRDefault="00103191" w:rsidP="00103191">
      <w:pPr>
        <w:pStyle w:val="Default"/>
        <w:jc w:val="both"/>
        <w:rPr>
          <w:b/>
          <w:i/>
          <w:sz w:val="20"/>
          <w:szCs w:val="20"/>
        </w:rPr>
      </w:pPr>
    </w:p>
    <w:p w14:paraId="2C173D13" w14:textId="77777777" w:rsidR="00103191" w:rsidRPr="00103191" w:rsidRDefault="00103191" w:rsidP="00103191">
      <w:pPr>
        <w:pStyle w:val="Default"/>
        <w:jc w:val="both"/>
        <w:rPr>
          <w:sz w:val="20"/>
          <w:szCs w:val="20"/>
        </w:rPr>
      </w:pPr>
      <w:r>
        <w:rPr>
          <w:sz w:val="20"/>
          <w:szCs w:val="20"/>
        </w:rPr>
        <w:t xml:space="preserve">No. In principal, the primary channel of communication and delivery for crowdfunding is online, and as such (in a sense), </w:t>
      </w:r>
      <w:r w:rsidR="00947B71">
        <w:rPr>
          <w:sz w:val="20"/>
          <w:szCs w:val="20"/>
        </w:rPr>
        <w:t xml:space="preserve">geographically </w:t>
      </w:r>
      <w:r>
        <w:rPr>
          <w:sz w:val="20"/>
          <w:szCs w:val="20"/>
        </w:rPr>
        <w:t xml:space="preserve">borderless. </w:t>
      </w:r>
      <w:r w:rsidR="00FC4D02">
        <w:rPr>
          <w:sz w:val="20"/>
          <w:szCs w:val="20"/>
        </w:rPr>
        <w:t xml:space="preserve">There is no compelling investment or economic rationale for why </w:t>
      </w:r>
      <w:r w:rsidR="00510E1F">
        <w:rPr>
          <w:sz w:val="20"/>
          <w:szCs w:val="20"/>
        </w:rPr>
        <w:t>Australia</w:t>
      </w:r>
      <w:r w:rsidR="00FC4D02">
        <w:rPr>
          <w:sz w:val="20"/>
          <w:szCs w:val="20"/>
        </w:rPr>
        <w:t xml:space="preserve"> would align our investment model with New Zealand above any other global crowdfunding model – Australia is a net exporter of trade and other financial investment instruments to New Zealand, not vice versa. </w:t>
      </w:r>
      <w:r w:rsidR="0033465C">
        <w:rPr>
          <w:sz w:val="20"/>
          <w:szCs w:val="20"/>
        </w:rPr>
        <w:t>Trans-Tasman</w:t>
      </w:r>
      <w:r w:rsidR="00FC4D02">
        <w:rPr>
          <w:sz w:val="20"/>
          <w:szCs w:val="20"/>
        </w:rPr>
        <w:t xml:space="preserve"> currencies are not harmonised. Many other forms of business regulation also remain separate, and are likely to remain so, despite a high degree of trans-Tasman banking harmonisation.  </w:t>
      </w:r>
    </w:p>
    <w:p w14:paraId="128EC45E" w14:textId="77777777" w:rsidR="007E09CA" w:rsidRPr="009B701B" w:rsidRDefault="007E09CA" w:rsidP="00187A29">
      <w:pPr>
        <w:pStyle w:val="Default"/>
        <w:ind w:left="-340"/>
        <w:jc w:val="both"/>
        <w:rPr>
          <w:b/>
          <w:i/>
          <w:sz w:val="20"/>
          <w:szCs w:val="20"/>
        </w:rPr>
      </w:pPr>
    </w:p>
    <w:p w14:paraId="0A10020C" w14:textId="77777777" w:rsidR="00CD62D9" w:rsidRPr="00CD62D9" w:rsidRDefault="007E09CA" w:rsidP="00CD62D9">
      <w:pPr>
        <w:pStyle w:val="Default"/>
        <w:numPr>
          <w:ilvl w:val="0"/>
          <w:numId w:val="1"/>
        </w:numPr>
        <w:ind w:left="-37"/>
        <w:jc w:val="both"/>
        <w:rPr>
          <w:b/>
          <w:i/>
          <w:sz w:val="20"/>
          <w:szCs w:val="20"/>
        </w:rPr>
      </w:pPr>
      <w:r w:rsidRPr="009B701B">
        <w:rPr>
          <w:b/>
          <w:i/>
          <w:sz w:val="20"/>
          <w:szCs w:val="20"/>
        </w:rPr>
        <w:t xml:space="preserve">Do you consider that voluntary investor caps and requiring increased disclosure where investors contribute larger amounts of funds appropriately balances investor protection against investor choice and flexibility for issuers? </w:t>
      </w:r>
    </w:p>
    <w:p w14:paraId="232B4D2B" w14:textId="77777777" w:rsidR="007E09CA" w:rsidRDefault="007E09CA" w:rsidP="00187A29">
      <w:pPr>
        <w:pStyle w:val="Default"/>
        <w:ind w:left="-340"/>
        <w:jc w:val="both"/>
        <w:rPr>
          <w:b/>
          <w:i/>
          <w:sz w:val="20"/>
          <w:szCs w:val="20"/>
        </w:rPr>
      </w:pPr>
    </w:p>
    <w:p w14:paraId="4F3C370C" w14:textId="77777777" w:rsidR="003C4FCE" w:rsidRDefault="00CD62D9" w:rsidP="00187A29">
      <w:pPr>
        <w:pStyle w:val="Default"/>
        <w:ind w:left="-340"/>
        <w:jc w:val="both"/>
        <w:rPr>
          <w:sz w:val="20"/>
          <w:szCs w:val="20"/>
        </w:rPr>
      </w:pPr>
      <w:r>
        <w:rPr>
          <w:sz w:val="20"/>
          <w:szCs w:val="20"/>
        </w:rPr>
        <w:t xml:space="preserve">       Yes. Please see response to Q9 above.</w:t>
      </w:r>
    </w:p>
    <w:p w14:paraId="5418ABB0" w14:textId="77777777" w:rsidR="00CD62D9" w:rsidRPr="003C4FCE" w:rsidRDefault="00CD62D9" w:rsidP="00187A29">
      <w:pPr>
        <w:pStyle w:val="Default"/>
        <w:ind w:left="-340"/>
        <w:jc w:val="both"/>
        <w:rPr>
          <w:sz w:val="20"/>
          <w:szCs w:val="20"/>
        </w:rPr>
      </w:pPr>
    </w:p>
    <w:p w14:paraId="517F6118" w14:textId="77777777" w:rsidR="007E09CA" w:rsidRDefault="007E09CA" w:rsidP="00CD62D9">
      <w:pPr>
        <w:pStyle w:val="Default"/>
        <w:numPr>
          <w:ilvl w:val="0"/>
          <w:numId w:val="1"/>
        </w:numPr>
        <w:ind w:left="-37"/>
        <w:jc w:val="both"/>
        <w:rPr>
          <w:b/>
          <w:i/>
          <w:sz w:val="20"/>
          <w:szCs w:val="20"/>
        </w:rPr>
      </w:pPr>
      <w:r w:rsidRPr="009B701B">
        <w:rPr>
          <w:b/>
          <w:i/>
          <w:sz w:val="20"/>
          <w:szCs w:val="20"/>
        </w:rPr>
        <w:t xml:space="preserve">What level of direction should there be on the amount of disclosure required for different voluntary investor caps? </w:t>
      </w:r>
    </w:p>
    <w:p w14:paraId="1EBCAD9D" w14:textId="77777777" w:rsidR="00CD62D9" w:rsidRDefault="00CD62D9" w:rsidP="00CD62D9">
      <w:pPr>
        <w:pStyle w:val="Default"/>
        <w:jc w:val="both"/>
        <w:rPr>
          <w:b/>
          <w:i/>
          <w:sz w:val="20"/>
          <w:szCs w:val="20"/>
        </w:rPr>
      </w:pPr>
    </w:p>
    <w:p w14:paraId="475D15FC" w14:textId="77777777" w:rsidR="0085733C" w:rsidRPr="0085733C" w:rsidRDefault="0085733C" w:rsidP="00CD62D9">
      <w:pPr>
        <w:pStyle w:val="Default"/>
        <w:jc w:val="both"/>
        <w:rPr>
          <w:sz w:val="20"/>
          <w:szCs w:val="20"/>
        </w:rPr>
      </w:pPr>
      <w:r>
        <w:rPr>
          <w:sz w:val="20"/>
          <w:szCs w:val="20"/>
        </w:rPr>
        <w:t>No further comment.</w:t>
      </w:r>
    </w:p>
    <w:p w14:paraId="592135FE" w14:textId="77777777" w:rsidR="007E09CA" w:rsidRPr="009B701B" w:rsidRDefault="007E09CA" w:rsidP="00187A29">
      <w:pPr>
        <w:pStyle w:val="Default"/>
        <w:ind w:left="-340"/>
        <w:jc w:val="both"/>
        <w:rPr>
          <w:rFonts w:cstheme="minorBidi"/>
          <w:b/>
          <w:i/>
          <w:color w:val="auto"/>
          <w:sz w:val="20"/>
          <w:szCs w:val="20"/>
        </w:rPr>
      </w:pPr>
    </w:p>
    <w:p w14:paraId="6A213C1E" w14:textId="77777777" w:rsidR="007E09CA" w:rsidRDefault="007E09CA" w:rsidP="0085733C">
      <w:pPr>
        <w:pStyle w:val="Default"/>
        <w:numPr>
          <w:ilvl w:val="0"/>
          <w:numId w:val="1"/>
        </w:numPr>
        <w:ind w:left="-37"/>
        <w:jc w:val="both"/>
        <w:rPr>
          <w:b/>
          <w:i/>
          <w:sz w:val="20"/>
          <w:szCs w:val="20"/>
        </w:rPr>
      </w:pPr>
      <w:r w:rsidRPr="009B701B">
        <w:rPr>
          <w:b/>
          <w:i/>
          <w:sz w:val="20"/>
          <w:szCs w:val="20"/>
        </w:rPr>
        <w:t>How likely is it that the obstacles to CSEF that exist under the status quo would drive potential issuers, intermediaries and investors to move to jurisdictions that have implemented CSEF regimes?</w:t>
      </w:r>
      <w:r w:rsidRPr="0085733C">
        <w:rPr>
          <w:b/>
          <w:i/>
          <w:sz w:val="20"/>
          <w:szCs w:val="20"/>
        </w:rPr>
        <w:t xml:space="preserve"> </w:t>
      </w:r>
    </w:p>
    <w:p w14:paraId="180C4BDA" w14:textId="77777777" w:rsidR="0085733C" w:rsidRDefault="0085733C" w:rsidP="0085733C">
      <w:pPr>
        <w:pStyle w:val="Default"/>
        <w:jc w:val="both"/>
        <w:rPr>
          <w:b/>
          <w:i/>
          <w:sz w:val="20"/>
          <w:szCs w:val="20"/>
        </w:rPr>
      </w:pPr>
    </w:p>
    <w:p w14:paraId="2AC6B4D3" w14:textId="0737DF6C" w:rsidR="0085733C" w:rsidRPr="0085733C" w:rsidRDefault="0085733C" w:rsidP="0085733C">
      <w:pPr>
        <w:pStyle w:val="Default"/>
        <w:jc w:val="both"/>
        <w:rPr>
          <w:sz w:val="20"/>
          <w:szCs w:val="20"/>
        </w:rPr>
      </w:pPr>
      <w:r>
        <w:rPr>
          <w:sz w:val="20"/>
          <w:szCs w:val="20"/>
        </w:rPr>
        <w:t xml:space="preserve">It is </w:t>
      </w:r>
      <w:r w:rsidR="00AC17D4">
        <w:rPr>
          <w:sz w:val="20"/>
          <w:szCs w:val="20"/>
        </w:rPr>
        <w:t>difficult</w:t>
      </w:r>
      <w:r>
        <w:rPr>
          <w:sz w:val="20"/>
          <w:szCs w:val="20"/>
        </w:rPr>
        <w:t xml:space="preserve"> to answer as there are many variables contribute to such as decision, such as economic, business and social conditions, stakeholder business strategies, </w:t>
      </w:r>
      <w:r w:rsidR="00B819E6">
        <w:rPr>
          <w:sz w:val="20"/>
          <w:szCs w:val="20"/>
        </w:rPr>
        <w:t>global investor sophistication</w:t>
      </w:r>
      <w:r>
        <w:rPr>
          <w:sz w:val="20"/>
          <w:szCs w:val="20"/>
        </w:rPr>
        <w:t xml:space="preserve">, </w:t>
      </w:r>
      <w:r w:rsidR="00B819E6">
        <w:rPr>
          <w:sz w:val="20"/>
          <w:szCs w:val="20"/>
        </w:rPr>
        <w:t xml:space="preserve">jurisdictional taxation issues, </w:t>
      </w:r>
      <w:r>
        <w:rPr>
          <w:sz w:val="20"/>
          <w:szCs w:val="20"/>
        </w:rPr>
        <w:t>etc.</w:t>
      </w:r>
      <w:r w:rsidR="00AC17D4">
        <w:rPr>
          <w:sz w:val="20"/>
          <w:szCs w:val="20"/>
        </w:rPr>
        <w:t xml:space="preserve"> However introducing CSEF investment in Australia would help reduce investors moving to other jurisdictions. B</w:t>
      </w:r>
      <w:r w:rsidR="00B819E6">
        <w:rPr>
          <w:sz w:val="20"/>
          <w:szCs w:val="20"/>
        </w:rPr>
        <w:t xml:space="preserve">eing an online platform </w:t>
      </w:r>
      <w:r w:rsidR="0077716B">
        <w:rPr>
          <w:sz w:val="20"/>
          <w:szCs w:val="20"/>
        </w:rPr>
        <w:t>may</w:t>
      </w:r>
      <w:r w:rsidR="00AC17D4">
        <w:rPr>
          <w:sz w:val="20"/>
          <w:szCs w:val="20"/>
        </w:rPr>
        <w:t xml:space="preserve"> also</w:t>
      </w:r>
      <w:r w:rsidR="0077716B">
        <w:rPr>
          <w:sz w:val="20"/>
          <w:szCs w:val="20"/>
        </w:rPr>
        <w:t xml:space="preserve"> mitigate</w:t>
      </w:r>
      <w:r w:rsidR="00476D3E">
        <w:rPr>
          <w:sz w:val="20"/>
          <w:szCs w:val="20"/>
        </w:rPr>
        <w:t xml:space="preserve"> many</w:t>
      </w:r>
      <w:r w:rsidR="00B819E6">
        <w:rPr>
          <w:sz w:val="20"/>
          <w:szCs w:val="20"/>
        </w:rPr>
        <w:t xml:space="preserve"> j</w:t>
      </w:r>
      <w:r w:rsidR="0077716B">
        <w:rPr>
          <w:sz w:val="20"/>
          <w:szCs w:val="20"/>
        </w:rPr>
        <w:t>urisdictional issues</w:t>
      </w:r>
      <w:r w:rsidR="00B819E6">
        <w:rPr>
          <w:sz w:val="20"/>
          <w:szCs w:val="20"/>
        </w:rPr>
        <w:t xml:space="preserve">. </w:t>
      </w:r>
    </w:p>
    <w:p w14:paraId="2413D932" w14:textId="77777777" w:rsidR="007E09CA" w:rsidRPr="009B701B" w:rsidRDefault="007E09CA" w:rsidP="00187A29">
      <w:pPr>
        <w:pStyle w:val="Default"/>
        <w:ind w:left="-340"/>
        <w:jc w:val="both"/>
        <w:rPr>
          <w:rFonts w:cstheme="minorBidi"/>
          <w:b/>
          <w:i/>
          <w:color w:val="auto"/>
          <w:sz w:val="20"/>
          <w:szCs w:val="20"/>
        </w:rPr>
      </w:pPr>
    </w:p>
    <w:p w14:paraId="28802523" w14:textId="77777777" w:rsidR="007E09CA" w:rsidRPr="009B701B" w:rsidRDefault="007E09CA" w:rsidP="00187A29">
      <w:pPr>
        <w:pStyle w:val="Default"/>
        <w:ind w:left="-340"/>
        <w:jc w:val="both"/>
        <w:rPr>
          <w:b/>
          <w:i/>
          <w:sz w:val="20"/>
          <w:szCs w:val="20"/>
        </w:rPr>
      </w:pPr>
      <w:r w:rsidRPr="009B701B">
        <w:rPr>
          <w:b/>
          <w:i/>
          <w:sz w:val="20"/>
          <w:szCs w:val="20"/>
        </w:rPr>
        <w:t xml:space="preserve">16. What are the costs and benefits of each of the three options discussed in this consultation paper? </w:t>
      </w:r>
    </w:p>
    <w:p w14:paraId="571D7E9D" w14:textId="77777777" w:rsidR="007E09CA" w:rsidRDefault="007E09CA" w:rsidP="00187A29">
      <w:pPr>
        <w:pStyle w:val="Default"/>
        <w:ind w:left="-340"/>
        <w:jc w:val="both"/>
        <w:rPr>
          <w:sz w:val="20"/>
          <w:szCs w:val="20"/>
        </w:rPr>
      </w:pPr>
    </w:p>
    <w:p w14:paraId="218F3124" w14:textId="77777777" w:rsidR="00165882" w:rsidRDefault="00165882" w:rsidP="00165882">
      <w:pPr>
        <w:pStyle w:val="Default"/>
        <w:jc w:val="both"/>
        <w:rPr>
          <w:sz w:val="20"/>
          <w:szCs w:val="20"/>
        </w:rPr>
      </w:pPr>
      <w:r>
        <w:rPr>
          <w:sz w:val="20"/>
          <w:szCs w:val="20"/>
        </w:rPr>
        <w:t>Deakin University is not able to estimate costs and benefits of the three proposed options.</w:t>
      </w:r>
    </w:p>
    <w:p w14:paraId="0D5CFF55" w14:textId="77777777" w:rsidR="0077716B" w:rsidRPr="00C45DA1" w:rsidRDefault="0077716B" w:rsidP="0077716B">
      <w:pPr>
        <w:pStyle w:val="Default"/>
        <w:jc w:val="both"/>
        <w:rPr>
          <w:sz w:val="20"/>
          <w:szCs w:val="20"/>
        </w:rPr>
      </w:pPr>
    </w:p>
    <w:p w14:paraId="43BC1DC5" w14:textId="77777777" w:rsidR="00165882" w:rsidRDefault="007E09CA" w:rsidP="00165882">
      <w:pPr>
        <w:pStyle w:val="Default"/>
        <w:ind w:left="-340"/>
        <w:jc w:val="both"/>
        <w:rPr>
          <w:b/>
          <w:i/>
          <w:sz w:val="20"/>
          <w:szCs w:val="20"/>
        </w:rPr>
      </w:pPr>
      <w:r w:rsidRPr="009B701B">
        <w:rPr>
          <w:b/>
          <w:i/>
          <w:sz w:val="20"/>
          <w:szCs w:val="20"/>
        </w:rPr>
        <w:t>17. Are the estimated compliance costs for the CAMAC and New Zealand models presented in the appendix</w:t>
      </w:r>
    </w:p>
    <w:p w14:paraId="22CEE9C2" w14:textId="77777777" w:rsidR="007E09CA" w:rsidRDefault="00165882" w:rsidP="00165882">
      <w:pPr>
        <w:pStyle w:val="Default"/>
        <w:ind w:left="-340"/>
        <w:jc w:val="both"/>
        <w:rPr>
          <w:b/>
          <w:i/>
          <w:sz w:val="20"/>
          <w:szCs w:val="20"/>
        </w:rPr>
      </w:pPr>
      <w:r>
        <w:rPr>
          <w:b/>
          <w:i/>
          <w:sz w:val="20"/>
          <w:szCs w:val="20"/>
        </w:rPr>
        <w:t xml:space="preserve">   </w:t>
      </w:r>
      <w:r w:rsidR="007E09CA" w:rsidRPr="009B701B">
        <w:rPr>
          <w:b/>
          <w:i/>
          <w:sz w:val="20"/>
          <w:szCs w:val="20"/>
        </w:rPr>
        <w:t xml:space="preserve"> </w:t>
      </w:r>
      <w:r>
        <w:rPr>
          <w:b/>
          <w:i/>
          <w:sz w:val="20"/>
          <w:szCs w:val="20"/>
        </w:rPr>
        <w:t xml:space="preserve">  </w:t>
      </w:r>
      <w:r w:rsidR="007E09CA" w:rsidRPr="009B701B">
        <w:rPr>
          <w:b/>
          <w:i/>
          <w:sz w:val="20"/>
          <w:szCs w:val="20"/>
        </w:rPr>
        <w:t xml:space="preserve">accurate? </w:t>
      </w:r>
    </w:p>
    <w:p w14:paraId="76EA6D1F" w14:textId="77777777" w:rsidR="00947B71" w:rsidRDefault="00947B71" w:rsidP="00187A29">
      <w:pPr>
        <w:pStyle w:val="Default"/>
        <w:jc w:val="both"/>
        <w:rPr>
          <w:b/>
          <w:i/>
          <w:sz w:val="20"/>
          <w:szCs w:val="20"/>
        </w:rPr>
      </w:pPr>
    </w:p>
    <w:p w14:paraId="1A694091" w14:textId="77777777" w:rsidR="00165882" w:rsidRPr="00165882" w:rsidRDefault="00165882" w:rsidP="00187A29">
      <w:pPr>
        <w:pStyle w:val="Default"/>
        <w:jc w:val="both"/>
        <w:rPr>
          <w:sz w:val="20"/>
          <w:szCs w:val="20"/>
        </w:rPr>
      </w:pPr>
      <w:r>
        <w:rPr>
          <w:sz w:val="20"/>
          <w:szCs w:val="20"/>
        </w:rPr>
        <w:t>Deakin University is unable to comment on the compliance costs for domestic or international crowdfunding models.</w:t>
      </w:r>
    </w:p>
    <w:p w14:paraId="52DEA95B" w14:textId="77777777" w:rsidR="007E09CA" w:rsidRPr="009B701B" w:rsidRDefault="007E09CA" w:rsidP="00187A29">
      <w:pPr>
        <w:pStyle w:val="Default"/>
        <w:jc w:val="both"/>
        <w:rPr>
          <w:b/>
          <w:i/>
          <w:sz w:val="20"/>
          <w:szCs w:val="20"/>
        </w:rPr>
      </w:pPr>
    </w:p>
    <w:p w14:paraId="4313E81E" w14:textId="77777777" w:rsidR="00165882" w:rsidRDefault="007E09CA" w:rsidP="00165882">
      <w:pPr>
        <w:pStyle w:val="Default"/>
        <w:ind w:left="-397"/>
        <w:jc w:val="both"/>
        <w:rPr>
          <w:b/>
          <w:i/>
          <w:sz w:val="20"/>
          <w:szCs w:val="20"/>
        </w:rPr>
      </w:pPr>
      <w:r w:rsidRPr="009B701B">
        <w:rPr>
          <w:b/>
          <w:i/>
          <w:sz w:val="20"/>
          <w:szCs w:val="20"/>
        </w:rPr>
        <w:t>18. How many issuers, intermediaries and investors would be the expected take up online equity fundraising in</w:t>
      </w:r>
    </w:p>
    <w:p w14:paraId="6DBC9B7D" w14:textId="77777777" w:rsidR="007E09CA" w:rsidRDefault="00165882" w:rsidP="00165882">
      <w:pPr>
        <w:pStyle w:val="Default"/>
        <w:ind w:left="-397"/>
        <w:jc w:val="both"/>
        <w:rPr>
          <w:b/>
          <w:i/>
          <w:sz w:val="20"/>
          <w:szCs w:val="20"/>
        </w:rPr>
      </w:pPr>
      <w:r>
        <w:rPr>
          <w:b/>
          <w:i/>
          <w:sz w:val="20"/>
          <w:szCs w:val="20"/>
        </w:rPr>
        <w:t xml:space="preserve">      </w:t>
      </w:r>
      <w:r w:rsidR="007E09CA" w:rsidRPr="009B701B">
        <w:rPr>
          <w:b/>
          <w:i/>
          <w:sz w:val="20"/>
          <w:szCs w:val="20"/>
        </w:rPr>
        <w:t xml:space="preserve"> Australia under the status quo, the CAMAC model and the New Zealand model? </w:t>
      </w:r>
    </w:p>
    <w:p w14:paraId="77A60D62" w14:textId="77777777" w:rsidR="00947B71" w:rsidRDefault="00947B71" w:rsidP="00165882">
      <w:pPr>
        <w:pStyle w:val="Default"/>
        <w:ind w:left="-397"/>
        <w:jc w:val="both"/>
        <w:rPr>
          <w:b/>
          <w:i/>
          <w:sz w:val="20"/>
          <w:szCs w:val="20"/>
        </w:rPr>
      </w:pPr>
    </w:p>
    <w:p w14:paraId="385C55EC" w14:textId="77777777" w:rsidR="00947B71" w:rsidRPr="00947B71" w:rsidRDefault="00947B71" w:rsidP="00947B71">
      <w:pPr>
        <w:pStyle w:val="Default"/>
        <w:jc w:val="both"/>
        <w:rPr>
          <w:sz w:val="20"/>
          <w:szCs w:val="20"/>
        </w:rPr>
      </w:pPr>
      <w:r w:rsidRPr="00947B71">
        <w:rPr>
          <w:sz w:val="20"/>
          <w:szCs w:val="20"/>
        </w:rPr>
        <w:t xml:space="preserve">Deakin University is </w:t>
      </w:r>
      <w:r w:rsidR="0033465C">
        <w:rPr>
          <w:sz w:val="20"/>
          <w:szCs w:val="20"/>
        </w:rPr>
        <w:t>un</w:t>
      </w:r>
      <w:r w:rsidRPr="00947B71">
        <w:rPr>
          <w:sz w:val="20"/>
          <w:szCs w:val="20"/>
        </w:rPr>
        <w:t xml:space="preserve">able to </w:t>
      </w:r>
      <w:r>
        <w:rPr>
          <w:sz w:val="20"/>
          <w:szCs w:val="20"/>
        </w:rPr>
        <w:t>estimate</w:t>
      </w:r>
      <w:r w:rsidRPr="00947B71">
        <w:rPr>
          <w:sz w:val="20"/>
          <w:szCs w:val="20"/>
        </w:rPr>
        <w:t xml:space="preserve"> market outcomes for any proposed or competitive crowdfunding models.</w:t>
      </w:r>
    </w:p>
    <w:p w14:paraId="4959192C" w14:textId="77777777" w:rsidR="007E09CA" w:rsidRPr="009B701B" w:rsidRDefault="007E09CA" w:rsidP="00187A29">
      <w:pPr>
        <w:pStyle w:val="Default"/>
        <w:jc w:val="both"/>
        <w:rPr>
          <w:b/>
          <w:i/>
          <w:sz w:val="20"/>
          <w:szCs w:val="20"/>
        </w:rPr>
      </w:pPr>
    </w:p>
    <w:p w14:paraId="7A279009" w14:textId="77777777" w:rsidR="00165882" w:rsidRDefault="007E09CA" w:rsidP="00165882">
      <w:pPr>
        <w:pStyle w:val="Default"/>
        <w:ind w:left="-397"/>
        <w:jc w:val="both"/>
        <w:rPr>
          <w:b/>
          <w:i/>
          <w:sz w:val="20"/>
          <w:szCs w:val="20"/>
        </w:rPr>
      </w:pPr>
      <w:r w:rsidRPr="009B701B">
        <w:rPr>
          <w:b/>
          <w:i/>
          <w:sz w:val="20"/>
          <w:szCs w:val="20"/>
        </w:rPr>
        <w:t xml:space="preserve">19. </w:t>
      </w:r>
      <w:r w:rsidR="0007279E">
        <w:rPr>
          <w:b/>
          <w:i/>
          <w:sz w:val="20"/>
          <w:szCs w:val="20"/>
        </w:rPr>
        <w:t xml:space="preserve"> </w:t>
      </w:r>
      <w:r w:rsidRPr="009B701B">
        <w:rPr>
          <w:b/>
          <w:i/>
          <w:sz w:val="20"/>
          <w:szCs w:val="20"/>
        </w:rPr>
        <w:t>Are there particular elements of the New Zealand model that should be incorporated into the CAMAC model,</w:t>
      </w:r>
    </w:p>
    <w:p w14:paraId="5ACDAE6A" w14:textId="77777777" w:rsidR="007E09CA" w:rsidRDefault="00165882" w:rsidP="00165882">
      <w:pPr>
        <w:pStyle w:val="Default"/>
        <w:ind w:left="-397"/>
        <w:jc w:val="both"/>
        <w:rPr>
          <w:b/>
          <w:i/>
          <w:sz w:val="20"/>
          <w:szCs w:val="20"/>
        </w:rPr>
      </w:pPr>
      <w:r>
        <w:rPr>
          <w:b/>
          <w:i/>
          <w:sz w:val="20"/>
          <w:szCs w:val="20"/>
        </w:rPr>
        <w:t xml:space="preserve">       </w:t>
      </w:r>
      <w:r w:rsidR="0007279E">
        <w:rPr>
          <w:b/>
          <w:i/>
          <w:sz w:val="20"/>
          <w:szCs w:val="20"/>
        </w:rPr>
        <w:t xml:space="preserve"> </w:t>
      </w:r>
      <w:r w:rsidR="007E09CA" w:rsidRPr="009B701B">
        <w:rPr>
          <w:b/>
          <w:i/>
          <w:sz w:val="20"/>
          <w:szCs w:val="20"/>
        </w:rPr>
        <w:t xml:space="preserve">or vice versa? </w:t>
      </w:r>
    </w:p>
    <w:p w14:paraId="1FA9102C" w14:textId="77777777" w:rsidR="00947B71" w:rsidRDefault="00947B71" w:rsidP="00165882">
      <w:pPr>
        <w:pStyle w:val="Default"/>
        <w:ind w:left="-397"/>
        <w:jc w:val="both"/>
        <w:rPr>
          <w:b/>
          <w:i/>
          <w:sz w:val="20"/>
          <w:szCs w:val="20"/>
        </w:rPr>
      </w:pPr>
    </w:p>
    <w:p w14:paraId="33DE1E89" w14:textId="77777777" w:rsidR="00947B71" w:rsidRDefault="00947B71" w:rsidP="00947B71">
      <w:pPr>
        <w:pStyle w:val="Default"/>
        <w:jc w:val="both"/>
        <w:rPr>
          <w:sz w:val="20"/>
          <w:szCs w:val="20"/>
        </w:rPr>
      </w:pPr>
      <w:r>
        <w:rPr>
          <w:sz w:val="20"/>
          <w:szCs w:val="20"/>
        </w:rPr>
        <w:t>Design of the Australian crowdfunding model should be based upon satisfying the needs of critical value chain stakeholders</w:t>
      </w:r>
      <w:r w:rsidR="003465B5">
        <w:rPr>
          <w:sz w:val="20"/>
          <w:szCs w:val="20"/>
        </w:rPr>
        <w:t>, both locally and internationally, of significant influence, critical mass and scale</w:t>
      </w:r>
      <w:r>
        <w:rPr>
          <w:sz w:val="20"/>
          <w:szCs w:val="20"/>
        </w:rPr>
        <w:t xml:space="preserve">. If this includes </w:t>
      </w:r>
      <w:r>
        <w:rPr>
          <w:sz w:val="20"/>
          <w:szCs w:val="20"/>
        </w:rPr>
        <w:lastRenderedPageBreak/>
        <w:t>New Zeal</w:t>
      </w:r>
      <w:r w:rsidR="003465B5">
        <w:rPr>
          <w:sz w:val="20"/>
          <w:szCs w:val="20"/>
        </w:rPr>
        <w:t>and investees and intermediaries</w:t>
      </w:r>
      <w:r>
        <w:rPr>
          <w:sz w:val="20"/>
          <w:szCs w:val="20"/>
        </w:rPr>
        <w:t xml:space="preserve">, their needs should be considered in model design. We have no particular suggestions as to the value judgement of the New Zealand </w:t>
      </w:r>
      <w:r w:rsidR="00B472F7">
        <w:rPr>
          <w:sz w:val="20"/>
          <w:szCs w:val="20"/>
        </w:rPr>
        <w:t xml:space="preserve">regulatory </w:t>
      </w:r>
      <w:r>
        <w:rPr>
          <w:sz w:val="20"/>
          <w:szCs w:val="20"/>
        </w:rPr>
        <w:t>model, as in a sense, it is very new as</w:t>
      </w:r>
      <w:r w:rsidR="003465B5">
        <w:rPr>
          <w:sz w:val="20"/>
          <w:szCs w:val="20"/>
        </w:rPr>
        <w:t xml:space="preserve"> </w:t>
      </w:r>
      <w:r>
        <w:rPr>
          <w:sz w:val="20"/>
          <w:szCs w:val="20"/>
        </w:rPr>
        <w:t>well</w:t>
      </w:r>
      <w:r w:rsidR="003465B5">
        <w:rPr>
          <w:sz w:val="20"/>
          <w:szCs w:val="20"/>
        </w:rPr>
        <w:t xml:space="preserve">, </w:t>
      </w:r>
      <w:r>
        <w:rPr>
          <w:sz w:val="20"/>
          <w:szCs w:val="20"/>
        </w:rPr>
        <w:t xml:space="preserve">and any issues around market acceptance will also drive changes to their regulation. </w:t>
      </w:r>
      <w:r w:rsidR="003465B5">
        <w:rPr>
          <w:sz w:val="20"/>
          <w:szCs w:val="20"/>
        </w:rPr>
        <w:t>Additionally, the New Zealand model may be targeting - or find acceptance with - a completely different niche of investees than the Australian model, thus negating the need for process or cost parity.</w:t>
      </w:r>
    </w:p>
    <w:p w14:paraId="6B462A3C" w14:textId="77777777" w:rsidR="00947B71" w:rsidRDefault="00947B71" w:rsidP="00947B71">
      <w:pPr>
        <w:pStyle w:val="Default"/>
        <w:jc w:val="both"/>
        <w:rPr>
          <w:sz w:val="20"/>
          <w:szCs w:val="20"/>
        </w:rPr>
      </w:pPr>
    </w:p>
    <w:p w14:paraId="7DCF3009" w14:textId="77777777" w:rsidR="00947B71" w:rsidRPr="009B701B" w:rsidRDefault="00947B71" w:rsidP="00947B71">
      <w:pPr>
        <w:pStyle w:val="Default"/>
        <w:jc w:val="both"/>
        <w:rPr>
          <w:b/>
          <w:i/>
          <w:sz w:val="20"/>
          <w:szCs w:val="20"/>
        </w:rPr>
      </w:pPr>
      <w:r>
        <w:rPr>
          <w:sz w:val="20"/>
          <w:szCs w:val="20"/>
        </w:rPr>
        <w:t>T</w:t>
      </w:r>
      <w:r w:rsidR="003465B5">
        <w:rPr>
          <w:sz w:val="20"/>
          <w:szCs w:val="20"/>
        </w:rPr>
        <w:t>here may be better value in benchmarking with overseas models where there are not only similarities in market structure and industry need, but larger, established investment in- and out-flows that may augment the rapid development of crowdfunding in Australia (for example, the US, UK, Singapore &amp; Hong Kong</w:t>
      </w:r>
      <w:r w:rsidR="00C51D9A">
        <w:rPr>
          <w:sz w:val="20"/>
          <w:szCs w:val="20"/>
        </w:rPr>
        <w:t>; where legislated regulation or proposed regulatory models</w:t>
      </w:r>
      <w:r w:rsidR="00B472F7">
        <w:rPr>
          <w:sz w:val="20"/>
          <w:szCs w:val="20"/>
        </w:rPr>
        <w:t xml:space="preserve"> exist</w:t>
      </w:r>
      <w:r w:rsidR="003465B5">
        <w:rPr>
          <w:sz w:val="20"/>
          <w:szCs w:val="20"/>
        </w:rPr>
        <w:t>).</w:t>
      </w:r>
    </w:p>
    <w:p w14:paraId="1072CD5F" w14:textId="77777777" w:rsidR="007E09CA" w:rsidRPr="009B701B" w:rsidRDefault="007E09CA" w:rsidP="00165882">
      <w:pPr>
        <w:pStyle w:val="Default"/>
        <w:ind w:left="-397"/>
        <w:jc w:val="both"/>
        <w:rPr>
          <w:rFonts w:cstheme="minorBidi"/>
          <w:b/>
          <w:i/>
          <w:color w:val="auto"/>
          <w:sz w:val="20"/>
          <w:szCs w:val="20"/>
        </w:rPr>
      </w:pPr>
    </w:p>
    <w:p w14:paraId="1F3D71FB" w14:textId="77777777" w:rsidR="00165882" w:rsidRDefault="007E09CA" w:rsidP="00165882">
      <w:pPr>
        <w:pStyle w:val="Default"/>
        <w:ind w:left="-397"/>
        <w:jc w:val="both"/>
        <w:rPr>
          <w:b/>
          <w:i/>
          <w:sz w:val="20"/>
          <w:szCs w:val="20"/>
        </w:rPr>
      </w:pPr>
      <w:r w:rsidRPr="009B701B">
        <w:rPr>
          <w:b/>
          <w:i/>
          <w:sz w:val="20"/>
          <w:szCs w:val="20"/>
        </w:rPr>
        <w:t xml:space="preserve">20. </w:t>
      </w:r>
      <w:r w:rsidR="0007279E">
        <w:rPr>
          <w:b/>
          <w:i/>
          <w:sz w:val="20"/>
          <w:szCs w:val="20"/>
        </w:rPr>
        <w:t xml:space="preserve"> </w:t>
      </w:r>
      <w:r w:rsidRPr="009B701B">
        <w:rPr>
          <w:b/>
          <w:i/>
          <w:sz w:val="20"/>
          <w:szCs w:val="20"/>
        </w:rPr>
        <w:t>Are there particular elements of models implemented in other jurisdictions that would be desirable to</w:t>
      </w:r>
    </w:p>
    <w:p w14:paraId="134A7411" w14:textId="77777777" w:rsidR="007E09CA" w:rsidRDefault="00165882" w:rsidP="00165882">
      <w:pPr>
        <w:pStyle w:val="Default"/>
        <w:ind w:left="-397"/>
        <w:jc w:val="both"/>
        <w:rPr>
          <w:b/>
          <w:i/>
          <w:sz w:val="20"/>
          <w:szCs w:val="20"/>
        </w:rPr>
      </w:pPr>
      <w:r>
        <w:rPr>
          <w:b/>
          <w:i/>
          <w:sz w:val="20"/>
          <w:szCs w:val="20"/>
        </w:rPr>
        <w:t xml:space="preserve">      </w:t>
      </w:r>
      <w:r w:rsidR="0007279E">
        <w:rPr>
          <w:b/>
          <w:i/>
          <w:sz w:val="20"/>
          <w:szCs w:val="20"/>
        </w:rPr>
        <w:t xml:space="preserve"> </w:t>
      </w:r>
      <w:r w:rsidR="00B13506">
        <w:rPr>
          <w:b/>
          <w:i/>
          <w:sz w:val="20"/>
          <w:szCs w:val="20"/>
        </w:rPr>
        <w:t xml:space="preserve"> </w:t>
      </w:r>
      <w:r w:rsidR="007E09CA" w:rsidRPr="009B701B">
        <w:rPr>
          <w:b/>
          <w:i/>
          <w:sz w:val="20"/>
          <w:szCs w:val="20"/>
        </w:rPr>
        <w:t xml:space="preserve">incorporate into any final CSEF framework? </w:t>
      </w:r>
    </w:p>
    <w:p w14:paraId="2A536766" w14:textId="77777777" w:rsidR="0007279E" w:rsidRDefault="0007279E" w:rsidP="00165882">
      <w:pPr>
        <w:pStyle w:val="Default"/>
        <w:ind w:left="-397"/>
        <w:jc w:val="both"/>
        <w:rPr>
          <w:b/>
          <w:i/>
          <w:sz w:val="20"/>
          <w:szCs w:val="20"/>
        </w:rPr>
      </w:pPr>
    </w:p>
    <w:p w14:paraId="5CB288DF" w14:textId="77777777" w:rsidR="0033356A" w:rsidRDefault="00B13506" w:rsidP="0007279E">
      <w:pPr>
        <w:pStyle w:val="Default"/>
        <w:jc w:val="both"/>
        <w:rPr>
          <w:sz w:val="20"/>
          <w:szCs w:val="20"/>
        </w:rPr>
      </w:pPr>
      <w:r>
        <w:rPr>
          <w:sz w:val="20"/>
          <w:szCs w:val="20"/>
        </w:rPr>
        <w:t xml:space="preserve">There are some desirable aspects of US and proposed Canadian legislation. </w:t>
      </w:r>
      <w:r w:rsidR="0033356A">
        <w:rPr>
          <w:sz w:val="20"/>
          <w:szCs w:val="20"/>
        </w:rPr>
        <w:t>Taken from t</w:t>
      </w:r>
      <w:r>
        <w:rPr>
          <w:sz w:val="20"/>
          <w:szCs w:val="20"/>
        </w:rPr>
        <w:t xml:space="preserve">he </w:t>
      </w:r>
      <w:r w:rsidR="0033356A">
        <w:rPr>
          <w:sz w:val="20"/>
          <w:szCs w:val="20"/>
        </w:rPr>
        <w:t xml:space="preserve">example of </w:t>
      </w:r>
      <w:r>
        <w:rPr>
          <w:sz w:val="20"/>
          <w:szCs w:val="20"/>
        </w:rPr>
        <w:t xml:space="preserve">US legislation and from the proposed Canadian legislation; that </w:t>
      </w:r>
      <w:r w:rsidR="0033356A">
        <w:rPr>
          <w:sz w:val="20"/>
          <w:szCs w:val="20"/>
        </w:rPr>
        <w:t xml:space="preserve">there be consideration of excluding </w:t>
      </w:r>
      <w:r>
        <w:rPr>
          <w:sz w:val="20"/>
          <w:szCs w:val="20"/>
        </w:rPr>
        <w:t>investment companies</w:t>
      </w:r>
      <w:r w:rsidR="0033356A">
        <w:rPr>
          <w:sz w:val="20"/>
          <w:szCs w:val="20"/>
        </w:rPr>
        <w:t xml:space="preserve"> whose presence will not facilitate the correct and free functioning of, what is, a new financial instrument with completely different market drivers, </w:t>
      </w:r>
      <w:r w:rsidR="000B4921">
        <w:rPr>
          <w:sz w:val="20"/>
          <w:szCs w:val="20"/>
        </w:rPr>
        <w:t xml:space="preserve">targets, </w:t>
      </w:r>
      <w:r w:rsidR="0033356A">
        <w:rPr>
          <w:sz w:val="20"/>
          <w:szCs w:val="20"/>
        </w:rPr>
        <w:t>risks and returns</w:t>
      </w:r>
      <w:r>
        <w:rPr>
          <w:sz w:val="20"/>
          <w:szCs w:val="20"/>
        </w:rPr>
        <w:t xml:space="preserve">. </w:t>
      </w:r>
    </w:p>
    <w:p w14:paraId="4839C487" w14:textId="77777777" w:rsidR="0033356A" w:rsidRDefault="0033356A" w:rsidP="0007279E">
      <w:pPr>
        <w:pStyle w:val="Default"/>
        <w:jc w:val="both"/>
        <w:rPr>
          <w:sz w:val="20"/>
          <w:szCs w:val="20"/>
        </w:rPr>
      </w:pPr>
    </w:p>
    <w:p w14:paraId="6B354FFF" w14:textId="77777777" w:rsidR="00B13506" w:rsidRPr="00B13506" w:rsidRDefault="0033356A" w:rsidP="0007279E">
      <w:pPr>
        <w:pStyle w:val="Default"/>
        <w:jc w:val="both"/>
        <w:rPr>
          <w:sz w:val="20"/>
          <w:szCs w:val="20"/>
        </w:rPr>
      </w:pPr>
      <w:r>
        <w:rPr>
          <w:sz w:val="20"/>
          <w:szCs w:val="20"/>
        </w:rPr>
        <w:t>Additionally, f</w:t>
      </w:r>
      <w:r w:rsidR="00B13506">
        <w:rPr>
          <w:sz w:val="20"/>
          <w:szCs w:val="20"/>
        </w:rPr>
        <w:t>rom the US legislation</w:t>
      </w:r>
      <w:r>
        <w:rPr>
          <w:sz w:val="20"/>
          <w:szCs w:val="20"/>
        </w:rPr>
        <w:t xml:space="preserve"> for reasons of risk mitigation and investor </w:t>
      </w:r>
      <w:r w:rsidR="00403D30">
        <w:rPr>
          <w:sz w:val="20"/>
          <w:szCs w:val="20"/>
        </w:rPr>
        <w:t>protection, which</w:t>
      </w:r>
      <w:r w:rsidR="00B13506">
        <w:rPr>
          <w:sz w:val="20"/>
          <w:szCs w:val="20"/>
        </w:rPr>
        <w:t xml:space="preserve"> companies without a business plan or a plan to only merge or acquire an unspecified company should be excluded. </w:t>
      </w:r>
    </w:p>
    <w:p w14:paraId="774AEB7C" w14:textId="77777777" w:rsidR="007E09CA" w:rsidRPr="009B701B" w:rsidRDefault="007E09CA" w:rsidP="00165882">
      <w:pPr>
        <w:pStyle w:val="Default"/>
        <w:ind w:left="-397"/>
        <w:jc w:val="both"/>
        <w:rPr>
          <w:rFonts w:cstheme="minorBidi"/>
          <w:b/>
          <w:i/>
          <w:color w:val="auto"/>
          <w:sz w:val="20"/>
          <w:szCs w:val="20"/>
        </w:rPr>
      </w:pPr>
    </w:p>
    <w:p w14:paraId="1038EC03" w14:textId="77777777" w:rsidR="00E555DD" w:rsidRDefault="007E09CA" w:rsidP="00165882">
      <w:pPr>
        <w:pStyle w:val="Default"/>
        <w:ind w:left="-397"/>
        <w:jc w:val="both"/>
        <w:rPr>
          <w:b/>
          <w:i/>
          <w:sz w:val="20"/>
          <w:szCs w:val="20"/>
        </w:rPr>
      </w:pPr>
      <w:r w:rsidRPr="009B701B">
        <w:rPr>
          <w:b/>
          <w:i/>
          <w:sz w:val="20"/>
          <w:szCs w:val="20"/>
        </w:rPr>
        <w:t xml:space="preserve">21. </w:t>
      </w:r>
      <w:r w:rsidR="0007279E">
        <w:rPr>
          <w:b/>
          <w:i/>
          <w:sz w:val="20"/>
          <w:szCs w:val="20"/>
        </w:rPr>
        <w:t xml:space="preserve"> </w:t>
      </w:r>
      <w:r w:rsidRPr="009B701B">
        <w:rPr>
          <w:b/>
          <w:i/>
          <w:sz w:val="20"/>
          <w:szCs w:val="20"/>
        </w:rPr>
        <w:t>Do the issues outlined in this consultation paper also apply to crowd-sourced debt funding? Is there value in</w:t>
      </w:r>
    </w:p>
    <w:p w14:paraId="72C2DB38" w14:textId="77777777" w:rsidR="007E09CA" w:rsidRDefault="00403D30" w:rsidP="00403D30">
      <w:pPr>
        <w:pStyle w:val="Default"/>
        <w:jc w:val="both"/>
        <w:rPr>
          <w:b/>
          <w:i/>
          <w:sz w:val="20"/>
          <w:szCs w:val="20"/>
        </w:rPr>
      </w:pPr>
      <w:r w:rsidRPr="009B701B">
        <w:rPr>
          <w:b/>
          <w:i/>
          <w:sz w:val="20"/>
          <w:szCs w:val="20"/>
        </w:rPr>
        <w:t>Extending</w:t>
      </w:r>
      <w:r w:rsidR="007E09CA" w:rsidRPr="009B701B">
        <w:rPr>
          <w:b/>
          <w:i/>
          <w:sz w:val="20"/>
          <w:szCs w:val="20"/>
        </w:rPr>
        <w:t xml:space="preserve"> a CSEF regime to debt products? </w:t>
      </w:r>
    </w:p>
    <w:p w14:paraId="3860F306" w14:textId="77777777" w:rsidR="00452B73" w:rsidRDefault="00452B73" w:rsidP="00165882">
      <w:pPr>
        <w:pStyle w:val="Default"/>
        <w:ind w:left="-397"/>
        <w:jc w:val="both"/>
        <w:rPr>
          <w:b/>
          <w:i/>
          <w:sz w:val="20"/>
          <w:szCs w:val="20"/>
        </w:rPr>
      </w:pPr>
    </w:p>
    <w:p w14:paraId="7A57F46F" w14:textId="77A62DDE" w:rsidR="00452B73" w:rsidRPr="00452B73" w:rsidRDefault="00452B73" w:rsidP="00452B73">
      <w:pPr>
        <w:pStyle w:val="Default"/>
        <w:jc w:val="both"/>
        <w:rPr>
          <w:sz w:val="20"/>
          <w:szCs w:val="20"/>
        </w:rPr>
      </w:pPr>
      <w:r w:rsidRPr="00452B73">
        <w:rPr>
          <w:sz w:val="20"/>
          <w:szCs w:val="20"/>
        </w:rPr>
        <w:t>Deakin University</w:t>
      </w:r>
      <w:r>
        <w:rPr>
          <w:sz w:val="20"/>
          <w:szCs w:val="20"/>
        </w:rPr>
        <w:t xml:space="preserve"> believes that any frameworks that consider </w:t>
      </w:r>
      <w:proofErr w:type="spellStart"/>
      <w:r w:rsidR="00403D30">
        <w:rPr>
          <w:sz w:val="20"/>
          <w:szCs w:val="20"/>
        </w:rPr>
        <w:t>crowdsourced</w:t>
      </w:r>
      <w:proofErr w:type="spellEnd"/>
      <w:r>
        <w:rPr>
          <w:sz w:val="20"/>
          <w:szCs w:val="20"/>
        </w:rPr>
        <w:t xml:space="preserve"> equity funding should also</w:t>
      </w:r>
      <w:r w:rsidR="00634402">
        <w:rPr>
          <w:sz w:val="20"/>
          <w:szCs w:val="20"/>
        </w:rPr>
        <w:t xml:space="preserve"> incorporate </w:t>
      </w:r>
      <w:proofErr w:type="spellStart"/>
      <w:r w:rsidR="00403D30">
        <w:rPr>
          <w:sz w:val="20"/>
          <w:szCs w:val="20"/>
        </w:rPr>
        <w:t>crowdsourced</w:t>
      </w:r>
      <w:proofErr w:type="spellEnd"/>
      <w:r>
        <w:rPr>
          <w:sz w:val="20"/>
          <w:szCs w:val="20"/>
        </w:rPr>
        <w:t xml:space="preserve"> debt, since both instruments are highly important sources of capital to start-up, small and social enterprises. Most importantly, several peer-to-peer lenders are already operating in Australia, creating potentially favourable market conditions for </w:t>
      </w:r>
      <w:proofErr w:type="spellStart"/>
      <w:r w:rsidR="00403D30">
        <w:rPr>
          <w:sz w:val="20"/>
          <w:szCs w:val="20"/>
        </w:rPr>
        <w:t>crowdsourced</w:t>
      </w:r>
      <w:proofErr w:type="spellEnd"/>
      <w:r>
        <w:rPr>
          <w:sz w:val="20"/>
          <w:szCs w:val="20"/>
        </w:rPr>
        <w:t xml:space="preserve"> debt instruments to enter</w:t>
      </w:r>
      <w:r w:rsidR="000B4921">
        <w:rPr>
          <w:sz w:val="20"/>
          <w:szCs w:val="20"/>
        </w:rPr>
        <w:t xml:space="preserve"> and </w:t>
      </w:r>
      <w:r w:rsidR="00D72FE0">
        <w:rPr>
          <w:sz w:val="20"/>
          <w:szCs w:val="20"/>
        </w:rPr>
        <w:t>prosper</w:t>
      </w:r>
      <w:r>
        <w:rPr>
          <w:sz w:val="20"/>
          <w:szCs w:val="20"/>
        </w:rPr>
        <w:t>.</w:t>
      </w:r>
    </w:p>
    <w:p w14:paraId="1B493C90" w14:textId="77777777" w:rsidR="007E09CA" w:rsidRPr="009B701B" w:rsidRDefault="007E09CA" w:rsidP="00165882">
      <w:pPr>
        <w:pStyle w:val="Default"/>
        <w:ind w:left="-397"/>
        <w:jc w:val="both"/>
        <w:rPr>
          <w:b/>
          <w:i/>
          <w:sz w:val="20"/>
          <w:szCs w:val="20"/>
        </w:rPr>
      </w:pPr>
    </w:p>
    <w:p w14:paraId="63A52C10" w14:textId="77777777" w:rsidR="00E555DD" w:rsidRDefault="007E09CA" w:rsidP="00165882">
      <w:pPr>
        <w:pStyle w:val="Default"/>
        <w:ind w:left="-397"/>
        <w:jc w:val="both"/>
        <w:rPr>
          <w:b/>
          <w:i/>
          <w:sz w:val="20"/>
          <w:szCs w:val="20"/>
        </w:rPr>
      </w:pPr>
      <w:r w:rsidRPr="009B701B">
        <w:rPr>
          <w:b/>
          <w:i/>
          <w:sz w:val="20"/>
          <w:szCs w:val="20"/>
        </w:rPr>
        <w:t xml:space="preserve">22. </w:t>
      </w:r>
      <w:r w:rsidR="0007279E">
        <w:rPr>
          <w:b/>
          <w:i/>
          <w:sz w:val="20"/>
          <w:szCs w:val="20"/>
        </w:rPr>
        <w:t xml:space="preserve"> </w:t>
      </w:r>
      <w:r w:rsidRPr="009B701B">
        <w:rPr>
          <w:b/>
          <w:i/>
          <w:sz w:val="20"/>
          <w:szCs w:val="20"/>
        </w:rPr>
        <w:t xml:space="preserve">To what extent would the frameworks for equity proposed in this discussion paper be consistent with </w:t>
      </w:r>
      <w:r w:rsidR="00403D30" w:rsidRPr="009B701B">
        <w:rPr>
          <w:b/>
          <w:i/>
          <w:sz w:val="20"/>
          <w:szCs w:val="20"/>
        </w:rPr>
        <w:t>debt?</w:t>
      </w:r>
    </w:p>
    <w:p w14:paraId="52985427" w14:textId="77777777" w:rsidR="007E09CA" w:rsidRPr="009B701B" w:rsidRDefault="00E555DD" w:rsidP="00165882">
      <w:pPr>
        <w:pStyle w:val="Default"/>
        <w:ind w:left="-397"/>
        <w:jc w:val="both"/>
        <w:rPr>
          <w:b/>
          <w:i/>
          <w:sz w:val="20"/>
          <w:szCs w:val="20"/>
        </w:rPr>
      </w:pPr>
      <w:r>
        <w:rPr>
          <w:b/>
          <w:i/>
          <w:sz w:val="20"/>
          <w:szCs w:val="20"/>
        </w:rPr>
        <w:t xml:space="preserve">       </w:t>
      </w:r>
      <w:r w:rsidR="0007279E">
        <w:rPr>
          <w:b/>
          <w:i/>
          <w:sz w:val="20"/>
          <w:szCs w:val="20"/>
        </w:rPr>
        <w:t xml:space="preserve"> </w:t>
      </w:r>
      <w:r w:rsidR="00403D30" w:rsidRPr="009B701B">
        <w:rPr>
          <w:b/>
          <w:i/>
          <w:sz w:val="20"/>
          <w:szCs w:val="20"/>
        </w:rPr>
        <w:t>Products</w:t>
      </w:r>
      <w:r w:rsidR="007E09CA" w:rsidRPr="009B701B">
        <w:rPr>
          <w:b/>
          <w:i/>
          <w:sz w:val="20"/>
          <w:szCs w:val="20"/>
        </w:rPr>
        <w:t xml:space="preserve">? </w:t>
      </w:r>
    </w:p>
    <w:p w14:paraId="38E13D0D" w14:textId="77777777" w:rsidR="007E09CA" w:rsidRDefault="007E09CA" w:rsidP="00165882">
      <w:pPr>
        <w:pStyle w:val="Default"/>
        <w:ind w:left="-397"/>
        <w:jc w:val="both"/>
        <w:rPr>
          <w:b/>
          <w:i/>
          <w:sz w:val="20"/>
          <w:szCs w:val="20"/>
        </w:rPr>
      </w:pPr>
    </w:p>
    <w:p w14:paraId="33EFF03E" w14:textId="0A3CE32C" w:rsidR="0066667C" w:rsidRDefault="0066667C" w:rsidP="000B4921">
      <w:pPr>
        <w:pStyle w:val="Default"/>
        <w:jc w:val="both"/>
        <w:rPr>
          <w:sz w:val="20"/>
          <w:szCs w:val="20"/>
        </w:rPr>
      </w:pPr>
      <w:r>
        <w:rPr>
          <w:sz w:val="20"/>
          <w:szCs w:val="20"/>
        </w:rPr>
        <w:t>The carefully considered controls and requirements of all stakeholders and associated processes suggested in the</w:t>
      </w:r>
      <w:r w:rsidR="000B4921">
        <w:rPr>
          <w:sz w:val="20"/>
          <w:szCs w:val="20"/>
        </w:rPr>
        <w:t xml:space="preserve"> </w:t>
      </w:r>
      <w:r>
        <w:rPr>
          <w:sz w:val="20"/>
          <w:szCs w:val="20"/>
        </w:rPr>
        <w:t xml:space="preserve">CAMAC </w:t>
      </w:r>
      <w:proofErr w:type="spellStart"/>
      <w:r w:rsidR="00403D30">
        <w:rPr>
          <w:sz w:val="20"/>
          <w:szCs w:val="20"/>
        </w:rPr>
        <w:t>crowdsourced</w:t>
      </w:r>
      <w:proofErr w:type="spellEnd"/>
      <w:r>
        <w:rPr>
          <w:sz w:val="20"/>
          <w:szCs w:val="20"/>
        </w:rPr>
        <w:t xml:space="preserve"> equity funding model, should with small changes, be applicable to </w:t>
      </w:r>
      <w:proofErr w:type="spellStart"/>
      <w:r w:rsidR="00403D30">
        <w:rPr>
          <w:sz w:val="20"/>
          <w:szCs w:val="20"/>
        </w:rPr>
        <w:t>crowdsourced</w:t>
      </w:r>
      <w:proofErr w:type="spellEnd"/>
      <w:r>
        <w:rPr>
          <w:sz w:val="20"/>
          <w:szCs w:val="20"/>
        </w:rPr>
        <w:t xml:space="preserve"> debt</w:t>
      </w:r>
      <w:r w:rsidR="000B4921">
        <w:rPr>
          <w:sz w:val="20"/>
          <w:szCs w:val="20"/>
        </w:rPr>
        <w:t xml:space="preserve"> f</w:t>
      </w:r>
      <w:r w:rsidR="00403D30">
        <w:rPr>
          <w:sz w:val="20"/>
          <w:szCs w:val="20"/>
        </w:rPr>
        <w:t>unding</w:t>
      </w:r>
      <w:r>
        <w:rPr>
          <w:sz w:val="20"/>
          <w:szCs w:val="20"/>
        </w:rPr>
        <w:t>.</w:t>
      </w:r>
    </w:p>
    <w:p w14:paraId="16E0502B" w14:textId="77777777" w:rsidR="0066667C" w:rsidRPr="0066667C" w:rsidRDefault="0066667C" w:rsidP="000B4921">
      <w:pPr>
        <w:pStyle w:val="Default"/>
        <w:ind w:left="-397"/>
        <w:rPr>
          <w:sz w:val="20"/>
          <w:szCs w:val="20"/>
        </w:rPr>
      </w:pPr>
    </w:p>
    <w:p w14:paraId="36704CB3" w14:textId="77777777" w:rsidR="00E555DD" w:rsidRDefault="007E09CA" w:rsidP="000B4921">
      <w:pPr>
        <w:pStyle w:val="Default"/>
        <w:ind w:left="-397"/>
        <w:rPr>
          <w:b/>
          <w:i/>
          <w:sz w:val="20"/>
          <w:szCs w:val="20"/>
        </w:rPr>
      </w:pPr>
      <w:r w:rsidRPr="009B701B">
        <w:rPr>
          <w:b/>
          <w:i/>
          <w:sz w:val="20"/>
          <w:szCs w:val="20"/>
        </w:rPr>
        <w:t xml:space="preserve">23. </w:t>
      </w:r>
      <w:r w:rsidR="00403D30" w:rsidRPr="009B701B">
        <w:rPr>
          <w:b/>
          <w:i/>
          <w:sz w:val="20"/>
          <w:szCs w:val="20"/>
        </w:rPr>
        <w:t>would</w:t>
      </w:r>
      <w:r w:rsidRPr="009B701B">
        <w:rPr>
          <w:b/>
          <w:i/>
          <w:sz w:val="20"/>
          <w:szCs w:val="20"/>
        </w:rPr>
        <w:t xml:space="preserve"> any of the options discussed in this paper, or any other issues, impede the development of a secondary</w:t>
      </w:r>
    </w:p>
    <w:p w14:paraId="0D3B4905" w14:textId="77777777" w:rsidR="009D14A7" w:rsidRDefault="00E555DD" w:rsidP="000B4921">
      <w:pPr>
        <w:pStyle w:val="Default"/>
        <w:ind w:left="-397"/>
        <w:rPr>
          <w:b/>
          <w:i/>
          <w:sz w:val="20"/>
          <w:szCs w:val="20"/>
        </w:rPr>
      </w:pPr>
      <w:r>
        <w:rPr>
          <w:b/>
          <w:i/>
          <w:sz w:val="20"/>
          <w:szCs w:val="20"/>
        </w:rPr>
        <w:t xml:space="preserve">      </w:t>
      </w:r>
      <w:r w:rsidR="00403D30" w:rsidRPr="009B701B">
        <w:rPr>
          <w:b/>
          <w:i/>
          <w:sz w:val="20"/>
          <w:szCs w:val="20"/>
        </w:rPr>
        <w:t>Market</w:t>
      </w:r>
      <w:r w:rsidR="007E09CA" w:rsidRPr="009B701B">
        <w:rPr>
          <w:b/>
          <w:i/>
          <w:sz w:val="20"/>
          <w:szCs w:val="20"/>
        </w:rPr>
        <w:t xml:space="preserve"> for CSEF securities?</w:t>
      </w:r>
    </w:p>
    <w:p w14:paraId="366CFE10" w14:textId="77777777" w:rsidR="009D14A7" w:rsidRDefault="009D14A7" w:rsidP="000B4921">
      <w:pPr>
        <w:pStyle w:val="Default"/>
        <w:ind w:left="-397"/>
        <w:rPr>
          <w:b/>
          <w:i/>
          <w:sz w:val="20"/>
          <w:szCs w:val="20"/>
        </w:rPr>
      </w:pPr>
    </w:p>
    <w:p w14:paraId="0E5B7CF7" w14:textId="5CE3D39E" w:rsidR="004F32C5" w:rsidRDefault="009E53E9" w:rsidP="000B4921">
      <w:pPr>
        <w:pStyle w:val="Default"/>
        <w:rPr>
          <w:sz w:val="20"/>
          <w:szCs w:val="20"/>
        </w:rPr>
      </w:pPr>
      <w:r>
        <w:rPr>
          <w:sz w:val="20"/>
          <w:szCs w:val="20"/>
        </w:rPr>
        <w:t>T</w:t>
      </w:r>
      <w:r w:rsidR="00235106">
        <w:rPr>
          <w:sz w:val="20"/>
          <w:szCs w:val="20"/>
        </w:rPr>
        <w:t xml:space="preserve">he </w:t>
      </w:r>
      <w:r>
        <w:rPr>
          <w:sz w:val="20"/>
          <w:szCs w:val="20"/>
        </w:rPr>
        <w:t xml:space="preserve">traceability and scale of secondary markets for both </w:t>
      </w:r>
      <w:proofErr w:type="spellStart"/>
      <w:r w:rsidR="00403D30">
        <w:rPr>
          <w:sz w:val="20"/>
          <w:szCs w:val="20"/>
        </w:rPr>
        <w:t>crowdsourced</w:t>
      </w:r>
      <w:proofErr w:type="spellEnd"/>
      <w:r>
        <w:rPr>
          <w:sz w:val="20"/>
          <w:szCs w:val="20"/>
        </w:rPr>
        <w:t xml:space="preserve"> debt and equity require careful</w:t>
      </w:r>
      <w:r w:rsidR="000B4921">
        <w:rPr>
          <w:sz w:val="20"/>
          <w:szCs w:val="20"/>
        </w:rPr>
        <w:t xml:space="preserve"> </w:t>
      </w:r>
      <w:r>
        <w:rPr>
          <w:sz w:val="20"/>
          <w:szCs w:val="20"/>
        </w:rPr>
        <w:t xml:space="preserve">   </w:t>
      </w:r>
      <w:r w:rsidR="000B4921">
        <w:rPr>
          <w:sz w:val="20"/>
          <w:szCs w:val="20"/>
        </w:rPr>
        <w:t>c</w:t>
      </w:r>
      <w:r w:rsidR="00403D30">
        <w:rPr>
          <w:sz w:val="20"/>
          <w:szCs w:val="20"/>
        </w:rPr>
        <w:t>onsideration</w:t>
      </w:r>
      <w:r>
        <w:rPr>
          <w:sz w:val="20"/>
          <w:szCs w:val="20"/>
        </w:rPr>
        <w:t xml:space="preserve">, </w:t>
      </w:r>
      <w:r w:rsidR="003860D9">
        <w:rPr>
          <w:sz w:val="20"/>
          <w:szCs w:val="20"/>
        </w:rPr>
        <w:t>particularly on administration, regulatory implementation and enforcement, privacy and cost control. H</w:t>
      </w:r>
      <w:r>
        <w:rPr>
          <w:sz w:val="20"/>
          <w:szCs w:val="20"/>
        </w:rPr>
        <w:t>owever it is recognised that secondary markets for both securities are necessary to maintain</w:t>
      </w:r>
      <w:r w:rsidR="000B4921">
        <w:rPr>
          <w:sz w:val="20"/>
          <w:szCs w:val="20"/>
        </w:rPr>
        <w:t xml:space="preserve"> </w:t>
      </w:r>
      <w:r w:rsidR="003860D9">
        <w:rPr>
          <w:sz w:val="20"/>
          <w:szCs w:val="20"/>
        </w:rPr>
        <w:t xml:space="preserve">instrument </w:t>
      </w:r>
      <w:r w:rsidR="000B4921">
        <w:rPr>
          <w:sz w:val="20"/>
          <w:szCs w:val="20"/>
        </w:rPr>
        <w:t>liquidity.</w:t>
      </w:r>
    </w:p>
    <w:p w14:paraId="66D5B857" w14:textId="77777777" w:rsidR="00E34409" w:rsidRDefault="00E34409" w:rsidP="000B4921">
      <w:pPr>
        <w:pStyle w:val="Default"/>
        <w:rPr>
          <w:sz w:val="20"/>
          <w:szCs w:val="20"/>
        </w:rPr>
      </w:pPr>
    </w:p>
    <w:p w14:paraId="300DCCAE" w14:textId="77777777" w:rsidR="00E34409" w:rsidRPr="00AC17D4" w:rsidRDefault="00E34409" w:rsidP="00E34409">
      <w:pPr>
        <w:rPr>
          <w:rFonts w:ascii="Calibri" w:hAnsi="Calibri" w:cs="Calibri"/>
          <w:color w:val="000000"/>
          <w:sz w:val="20"/>
          <w:szCs w:val="20"/>
        </w:rPr>
      </w:pPr>
      <w:r w:rsidRPr="00AC17D4">
        <w:rPr>
          <w:rFonts w:ascii="Calibri" w:hAnsi="Calibri" w:cs="Calibri"/>
          <w:color w:val="000000"/>
          <w:sz w:val="20"/>
          <w:szCs w:val="20"/>
        </w:rPr>
        <w:t>If the equity purchased is not ordinary shares, then the non-existent market for the equity is a fundamental problem – even if the notional value of the equity increases, there may be no way to on-sell it and realise any capital gain, or to simply just to back out of the investment should the need arise.</w:t>
      </w:r>
    </w:p>
    <w:p w14:paraId="1C71F858" w14:textId="77777777" w:rsidR="00E34409" w:rsidRPr="009B701B" w:rsidRDefault="00E34409" w:rsidP="000B4921">
      <w:pPr>
        <w:pStyle w:val="Default"/>
        <w:rPr>
          <w:i/>
          <w:sz w:val="20"/>
          <w:szCs w:val="20"/>
        </w:rPr>
      </w:pPr>
    </w:p>
    <w:sectPr w:rsidR="00E34409" w:rsidRPr="009B701B">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0739E1" w14:textId="77777777" w:rsidR="00C46C9C" w:rsidRDefault="00C46C9C" w:rsidP="00403D30">
      <w:pPr>
        <w:spacing w:after="0" w:line="240" w:lineRule="auto"/>
      </w:pPr>
      <w:r>
        <w:separator/>
      </w:r>
    </w:p>
  </w:endnote>
  <w:endnote w:type="continuationSeparator" w:id="0">
    <w:p w14:paraId="096603AF" w14:textId="77777777" w:rsidR="00C46C9C" w:rsidRDefault="00C46C9C" w:rsidP="00403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77ECD" w14:textId="77777777" w:rsidR="00BB775B" w:rsidRDefault="00BB77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40"/>
      <w:gridCol w:w="4616"/>
    </w:tblGrid>
    <w:tr w:rsidR="00C46C9C" w14:paraId="6D49081C" w14:textId="77777777">
      <w:trPr>
        <w:trHeight w:hRule="exact" w:val="115"/>
        <w:jc w:val="center"/>
      </w:trPr>
      <w:tc>
        <w:tcPr>
          <w:tcW w:w="4686" w:type="dxa"/>
          <w:shd w:val="clear" w:color="auto" w:fill="5B9BD5" w:themeFill="accent1"/>
          <w:tcMar>
            <w:top w:w="0" w:type="dxa"/>
            <w:bottom w:w="0" w:type="dxa"/>
          </w:tcMar>
        </w:tcPr>
        <w:p w14:paraId="305C599E" w14:textId="77777777" w:rsidR="00C46C9C" w:rsidRDefault="00C46C9C">
          <w:pPr>
            <w:pStyle w:val="Header"/>
            <w:rPr>
              <w:caps/>
              <w:sz w:val="18"/>
            </w:rPr>
          </w:pPr>
        </w:p>
      </w:tc>
      <w:tc>
        <w:tcPr>
          <w:tcW w:w="4674" w:type="dxa"/>
          <w:shd w:val="clear" w:color="auto" w:fill="5B9BD5" w:themeFill="accent1"/>
          <w:tcMar>
            <w:top w:w="0" w:type="dxa"/>
            <w:bottom w:w="0" w:type="dxa"/>
          </w:tcMar>
        </w:tcPr>
        <w:p w14:paraId="61E6C60F" w14:textId="77777777" w:rsidR="00C46C9C" w:rsidRDefault="00C46C9C">
          <w:pPr>
            <w:pStyle w:val="Header"/>
            <w:jc w:val="right"/>
            <w:rPr>
              <w:caps/>
              <w:sz w:val="18"/>
            </w:rPr>
          </w:pPr>
        </w:p>
      </w:tc>
    </w:tr>
    <w:tr w:rsidR="00C46C9C" w14:paraId="24948226" w14:textId="77777777">
      <w:trPr>
        <w:jc w:val="center"/>
      </w:trPr>
      <w:tc>
        <w:tcPr>
          <w:tcW w:w="4686" w:type="dxa"/>
          <w:shd w:val="clear" w:color="auto" w:fill="auto"/>
          <w:vAlign w:val="center"/>
        </w:tcPr>
        <w:p w14:paraId="25C91222" w14:textId="0613894F" w:rsidR="00C46C9C" w:rsidRDefault="00BB775B" w:rsidP="00BB775B">
          <w:pPr>
            <w:pStyle w:val="Footer"/>
            <w:rPr>
              <w:caps/>
              <w:color w:val="808080" w:themeColor="background1" w:themeShade="80"/>
              <w:sz w:val="18"/>
              <w:szCs w:val="18"/>
            </w:rPr>
          </w:pPr>
          <w:r>
            <w:rPr>
              <w:caps/>
              <w:color w:val="808080" w:themeColor="background1" w:themeShade="80"/>
              <w:sz w:val="18"/>
              <w:szCs w:val="18"/>
            </w:rPr>
            <w:t>crowd SOURCED EQUITY FUNDING submission – DEAKIN University 2015</w:t>
          </w:r>
        </w:p>
      </w:tc>
      <w:tc>
        <w:tcPr>
          <w:tcW w:w="4674" w:type="dxa"/>
          <w:shd w:val="clear" w:color="auto" w:fill="auto"/>
          <w:vAlign w:val="center"/>
        </w:tcPr>
        <w:p w14:paraId="2DC974D9" w14:textId="77777777" w:rsidR="00C46C9C" w:rsidRDefault="00C46C9C">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934D32">
            <w:rPr>
              <w:caps/>
              <w:noProof/>
              <w:color w:val="808080" w:themeColor="background1" w:themeShade="80"/>
              <w:sz w:val="18"/>
              <w:szCs w:val="18"/>
            </w:rPr>
            <w:t>1</w:t>
          </w:r>
          <w:r>
            <w:rPr>
              <w:caps/>
              <w:noProof/>
              <w:color w:val="808080" w:themeColor="background1" w:themeShade="80"/>
              <w:sz w:val="18"/>
              <w:szCs w:val="18"/>
            </w:rPr>
            <w:fldChar w:fldCharType="end"/>
          </w:r>
        </w:p>
      </w:tc>
    </w:tr>
  </w:tbl>
  <w:p w14:paraId="7051B30F" w14:textId="77777777" w:rsidR="00C46C9C" w:rsidRDefault="00C46C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54FF7" w14:textId="77777777" w:rsidR="00BB775B" w:rsidRDefault="00BB77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5599E7" w14:textId="77777777" w:rsidR="00C46C9C" w:rsidRDefault="00C46C9C" w:rsidP="00403D30">
      <w:pPr>
        <w:spacing w:after="0" w:line="240" w:lineRule="auto"/>
      </w:pPr>
      <w:r>
        <w:separator/>
      </w:r>
    </w:p>
  </w:footnote>
  <w:footnote w:type="continuationSeparator" w:id="0">
    <w:p w14:paraId="18EE4C9F" w14:textId="77777777" w:rsidR="00C46C9C" w:rsidRDefault="00C46C9C" w:rsidP="00403D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2F6B1" w14:textId="77777777" w:rsidR="00BB775B" w:rsidRDefault="00BB77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71D9A" w14:textId="77777777" w:rsidR="00BB775B" w:rsidRDefault="00BB77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60A18" w14:textId="77777777" w:rsidR="00BB775B" w:rsidRDefault="00BB77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2CDD"/>
    <w:multiLevelType w:val="hybridMultilevel"/>
    <w:tmpl w:val="232244E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9CA"/>
    <w:rsid w:val="00047F3D"/>
    <w:rsid w:val="0007279E"/>
    <w:rsid w:val="000B4921"/>
    <w:rsid w:val="000E491C"/>
    <w:rsid w:val="00103191"/>
    <w:rsid w:val="001148B0"/>
    <w:rsid w:val="001177F5"/>
    <w:rsid w:val="00165882"/>
    <w:rsid w:val="00187A29"/>
    <w:rsid w:val="00191655"/>
    <w:rsid w:val="001A6D13"/>
    <w:rsid w:val="00235106"/>
    <w:rsid w:val="00254AC0"/>
    <w:rsid w:val="0033356A"/>
    <w:rsid w:val="0033465C"/>
    <w:rsid w:val="003465B5"/>
    <w:rsid w:val="003860D9"/>
    <w:rsid w:val="003B0959"/>
    <w:rsid w:val="003C4FCE"/>
    <w:rsid w:val="00403D30"/>
    <w:rsid w:val="00413D32"/>
    <w:rsid w:val="00417318"/>
    <w:rsid w:val="00452B73"/>
    <w:rsid w:val="00476D3E"/>
    <w:rsid w:val="004A7497"/>
    <w:rsid w:val="004C4D40"/>
    <w:rsid w:val="004F32C5"/>
    <w:rsid w:val="00505205"/>
    <w:rsid w:val="00510E1F"/>
    <w:rsid w:val="00554AEC"/>
    <w:rsid w:val="005D6A7E"/>
    <w:rsid w:val="00634402"/>
    <w:rsid w:val="0066667C"/>
    <w:rsid w:val="0077716B"/>
    <w:rsid w:val="007E09CA"/>
    <w:rsid w:val="0085733C"/>
    <w:rsid w:val="008B3274"/>
    <w:rsid w:val="0090395F"/>
    <w:rsid w:val="00934D32"/>
    <w:rsid w:val="00947B71"/>
    <w:rsid w:val="00963A74"/>
    <w:rsid w:val="00972E3B"/>
    <w:rsid w:val="009B701B"/>
    <w:rsid w:val="009D14A7"/>
    <w:rsid w:val="009E53E9"/>
    <w:rsid w:val="00AC17D4"/>
    <w:rsid w:val="00B13506"/>
    <w:rsid w:val="00B3732E"/>
    <w:rsid w:val="00B472F7"/>
    <w:rsid w:val="00B5666B"/>
    <w:rsid w:val="00B819E6"/>
    <w:rsid w:val="00B91FF3"/>
    <w:rsid w:val="00BB775B"/>
    <w:rsid w:val="00C24CC1"/>
    <w:rsid w:val="00C45DA1"/>
    <w:rsid w:val="00C46C9C"/>
    <w:rsid w:val="00C51D9A"/>
    <w:rsid w:val="00C63126"/>
    <w:rsid w:val="00CB66DC"/>
    <w:rsid w:val="00CD62D9"/>
    <w:rsid w:val="00CE5878"/>
    <w:rsid w:val="00D72FE0"/>
    <w:rsid w:val="00DA7AD7"/>
    <w:rsid w:val="00DD184A"/>
    <w:rsid w:val="00DE42B8"/>
    <w:rsid w:val="00E163B6"/>
    <w:rsid w:val="00E34409"/>
    <w:rsid w:val="00E555DD"/>
    <w:rsid w:val="00EC02AF"/>
    <w:rsid w:val="00F2409A"/>
    <w:rsid w:val="00F44057"/>
    <w:rsid w:val="00FB32FC"/>
    <w:rsid w:val="00FC4D02"/>
    <w:rsid w:val="00FC5E1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783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CA"/>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7E09CA"/>
    <w:pPr>
      <w:ind w:left="720"/>
      <w:contextualSpacing/>
    </w:pPr>
  </w:style>
  <w:style w:type="paragraph" w:styleId="Header">
    <w:name w:val="header"/>
    <w:basedOn w:val="Normal"/>
    <w:link w:val="HeaderChar"/>
    <w:uiPriority w:val="99"/>
    <w:unhideWhenUsed/>
    <w:rsid w:val="00403D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D30"/>
  </w:style>
  <w:style w:type="paragraph" w:styleId="Footer">
    <w:name w:val="footer"/>
    <w:basedOn w:val="Normal"/>
    <w:link w:val="FooterChar"/>
    <w:uiPriority w:val="99"/>
    <w:unhideWhenUsed/>
    <w:rsid w:val="00403D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D30"/>
  </w:style>
  <w:style w:type="paragraph" w:styleId="BalloonText">
    <w:name w:val="Balloon Text"/>
    <w:basedOn w:val="Normal"/>
    <w:link w:val="BalloonTextChar"/>
    <w:uiPriority w:val="99"/>
    <w:semiHidden/>
    <w:unhideWhenUsed/>
    <w:rsid w:val="00963A7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3A74"/>
    <w:rPr>
      <w:rFonts w:ascii="Lucida Grande" w:hAnsi="Lucida Grande" w:cs="Lucida Grande"/>
      <w:sz w:val="18"/>
      <w:szCs w:val="18"/>
    </w:rPr>
  </w:style>
  <w:style w:type="character" w:styleId="CommentReference">
    <w:name w:val="annotation reference"/>
    <w:basedOn w:val="DefaultParagraphFont"/>
    <w:uiPriority w:val="99"/>
    <w:semiHidden/>
    <w:unhideWhenUsed/>
    <w:rsid w:val="00C46C9C"/>
    <w:rPr>
      <w:sz w:val="18"/>
      <w:szCs w:val="18"/>
    </w:rPr>
  </w:style>
  <w:style w:type="paragraph" w:styleId="CommentText">
    <w:name w:val="annotation text"/>
    <w:basedOn w:val="Normal"/>
    <w:link w:val="CommentTextChar"/>
    <w:uiPriority w:val="99"/>
    <w:semiHidden/>
    <w:unhideWhenUsed/>
    <w:rsid w:val="00C46C9C"/>
    <w:pPr>
      <w:spacing w:line="240" w:lineRule="auto"/>
    </w:pPr>
    <w:rPr>
      <w:sz w:val="24"/>
      <w:szCs w:val="24"/>
    </w:rPr>
  </w:style>
  <w:style w:type="character" w:customStyle="1" w:styleId="CommentTextChar">
    <w:name w:val="Comment Text Char"/>
    <w:basedOn w:val="DefaultParagraphFont"/>
    <w:link w:val="CommentText"/>
    <w:uiPriority w:val="99"/>
    <w:semiHidden/>
    <w:rsid w:val="00C46C9C"/>
    <w:rPr>
      <w:sz w:val="24"/>
      <w:szCs w:val="24"/>
    </w:rPr>
  </w:style>
  <w:style w:type="paragraph" w:styleId="CommentSubject">
    <w:name w:val="annotation subject"/>
    <w:basedOn w:val="CommentText"/>
    <w:next w:val="CommentText"/>
    <w:link w:val="CommentSubjectChar"/>
    <w:uiPriority w:val="99"/>
    <w:semiHidden/>
    <w:unhideWhenUsed/>
    <w:rsid w:val="00C46C9C"/>
    <w:rPr>
      <w:b/>
      <w:bCs/>
      <w:sz w:val="20"/>
      <w:szCs w:val="20"/>
    </w:rPr>
  </w:style>
  <w:style w:type="character" w:customStyle="1" w:styleId="CommentSubjectChar">
    <w:name w:val="Comment Subject Char"/>
    <w:basedOn w:val="CommentTextChar"/>
    <w:link w:val="CommentSubject"/>
    <w:uiPriority w:val="99"/>
    <w:semiHidden/>
    <w:rsid w:val="00C46C9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CA"/>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7E09CA"/>
    <w:pPr>
      <w:ind w:left="720"/>
      <w:contextualSpacing/>
    </w:pPr>
  </w:style>
  <w:style w:type="paragraph" w:styleId="Header">
    <w:name w:val="header"/>
    <w:basedOn w:val="Normal"/>
    <w:link w:val="HeaderChar"/>
    <w:uiPriority w:val="99"/>
    <w:unhideWhenUsed/>
    <w:rsid w:val="00403D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D30"/>
  </w:style>
  <w:style w:type="paragraph" w:styleId="Footer">
    <w:name w:val="footer"/>
    <w:basedOn w:val="Normal"/>
    <w:link w:val="FooterChar"/>
    <w:uiPriority w:val="99"/>
    <w:unhideWhenUsed/>
    <w:rsid w:val="00403D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D30"/>
  </w:style>
  <w:style w:type="paragraph" w:styleId="BalloonText">
    <w:name w:val="Balloon Text"/>
    <w:basedOn w:val="Normal"/>
    <w:link w:val="BalloonTextChar"/>
    <w:uiPriority w:val="99"/>
    <w:semiHidden/>
    <w:unhideWhenUsed/>
    <w:rsid w:val="00963A7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3A74"/>
    <w:rPr>
      <w:rFonts w:ascii="Lucida Grande" w:hAnsi="Lucida Grande" w:cs="Lucida Grande"/>
      <w:sz w:val="18"/>
      <w:szCs w:val="18"/>
    </w:rPr>
  </w:style>
  <w:style w:type="character" w:styleId="CommentReference">
    <w:name w:val="annotation reference"/>
    <w:basedOn w:val="DefaultParagraphFont"/>
    <w:uiPriority w:val="99"/>
    <w:semiHidden/>
    <w:unhideWhenUsed/>
    <w:rsid w:val="00C46C9C"/>
    <w:rPr>
      <w:sz w:val="18"/>
      <w:szCs w:val="18"/>
    </w:rPr>
  </w:style>
  <w:style w:type="paragraph" w:styleId="CommentText">
    <w:name w:val="annotation text"/>
    <w:basedOn w:val="Normal"/>
    <w:link w:val="CommentTextChar"/>
    <w:uiPriority w:val="99"/>
    <w:semiHidden/>
    <w:unhideWhenUsed/>
    <w:rsid w:val="00C46C9C"/>
    <w:pPr>
      <w:spacing w:line="240" w:lineRule="auto"/>
    </w:pPr>
    <w:rPr>
      <w:sz w:val="24"/>
      <w:szCs w:val="24"/>
    </w:rPr>
  </w:style>
  <w:style w:type="character" w:customStyle="1" w:styleId="CommentTextChar">
    <w:name w:val="Comment Text Char"/>
    <w:basedOn w:val="DefaultParagraphFont"/>
    <w:link w:val="CommentText"/>
    <w:uiPriority w:val="99"/>
    <w:semiHidden/>
    <w:rsid w:val="00C46C9C"/>
    <w:rPr>
      <w:sz w:val="24"/>
      <w:szCs w:val="24"/>
    </w:rPr>
  </w:style>
  <w:style w:type="paragraph" w:styleId="CommentSubject">
    <w:name w:val="annotation subject"/>
    <w:basedOn w:val="CommentText"/>
    <w:next w:val="CommentText"/>
    <w:link w:val="CommentSubjectChar"/>
    <w:uiPriority w:val="99"/>
    <w:semiHidden/>
    <w:unhideWhenUsed/>
    <w:rsid w:val="00C46C9C"/>
    <w:rPr>
      <w:b/>
      <w:bCs/>
      <w:sz w:val="20"/>
      <w:szCs w:val="20"/>
    </w:rPr>
  </w:style>
  <w:style w:type="character" w:customStyle="1" w:styleId="CommentSubjectChar">
    <w:name w:val="Comment Subject Char"/>
    <w:basedOn w:val="CommentTextChar"/>
    <w:link w:val="CommentSubject"/>
    <w:uiPriority w:val="99"/>
    <w:semiHidden/>
    <w:rsid w:val="00C46C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012763">
      <w:bodyDiv w:val="1"/>
      <w:marLeft w:val="0"/>
      <w:marRight w:val="0"/>
      <w:marTop w:val="0"/>
      <w:marBottom w:val="0"/>
      <w:divBdr>
        <w:top w:val="none" w:sz="0" w:space="0" w:color="auto"/>
        <w:left w:val="none" w:sz="0" w:space="0" w:color="auto"/>
        <w:bottom w:val="none" w:sz="0" w:space="0" w:color="auto"/>
        <w:right w:val="none" w:sz="0" w:space="0" w:color="auto"/>
      </w:divBdr>
    </w:div>
    <w:div w:id="190421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4dd4adf-ddb3-46a3-8d7c-fab3fb2a6bc7">
      <Value>7</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d4dd4adf-ddb3-46a3-8d7c-fab3fb2a6bc7">2014MG-93-11476</_dlc_DocId>
    <_dlc_DocIdUrl xmlns="d4dd4adf-ddb3-46a3-8d7c-fab3fb2a6bc7">
      <Url>http://tweb/sites/mg/fsd/_layouts/15/DocIdRedir.aspx?ID=2014MG-93-11476</Url>
      <Description>2014MG-93-11476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A4C39F1D50EC0F4EBD06D6A3817BE15D" ma:contentTypeVersion="17" ma:contentTypeDescription=" " ma:contentTypeScope="" ma:versionID="05e352d8acc251fe0bdd3962f7e88859">
  <xsd:schema xmlns:xsd="http://www.w3.org/2001/XMLSchema" xmlns:xs="http://www.w3.org/2001/XMLSchema" xmlns:p="http://schemas.microsoft.com/office/2006/metadata/properties" xmlns:ns1="http://schemas.microsoft.com/sharepoint/v3" xmlns:ns2="d4dd4adf-ddb3-46a3-8d7c-fab3fb2a6bc7" targetNamespace="http://schemas.microsoft.com/office/2006/metadata/properties" ma:root="true" ma:fieldsID="86a65ed0b00e7401c108b4db23034070" ns1:_="" ns2:_="">
    <xsd:import namespace="http://schemas.microsoft.com/sharepoint/v3"/>
    <xsd:import namespace="d4dd4adf-ddb3-46a3-8d7c-fab3fb2a6bc7"/>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D5B0E-8A5F-453C-940D-1CC463BB542B}">
  <ds:schemaRefs>
    <ds:schemaRef ds:uri="http://schemas.microsoft.com/sharepoint/v3/contenttype/forms"/>
  </ds:schemaRefs>
</ds:datastoreItem>
</file>

<file path=customXml/itemProps2.xml><?xml version="1.0" encoding="utf-8"?>
<ds:datastoreItem xmlns:ds="http://schemas.openxmlformats.org/officeDocument/2006/customXml" ds:itemID="{BE528090-AC35-4935-9806-23230B167C29}">
  <ds:schemaRefs>
    <ds:schemaRef ds:uri="http://schemas.microsoft.com/sharepoint/events"/>
  </ds:schemaRefs>
</ds:datastoreItem>
</file>

<file path=customXml/itemProps3.xml><?xml version="1.0" encoding="utf-8"?>
<ds:datastoreItem xmlns:ds="http://schemas.openxmlformats.org/officeDocument/2006/customXml" ds:itemID="{2010539F-39A7-4302-BEFF-7D796F82960B}">
  <ds:schemaRefs>
    <ds:schemaRef ds:uri="http://schemas.microsoft.com/office/2006/metadata/properties"/>
    <ds:schemaRef ds:uri="http://schemas.microsoft.com/office/infopath/2007/PartnerControls"/>
    <ds:schemaRef ds:uri="d4dd4adf-ddb3-46a3-8d7c-fab3fb2a6bc7"/>
  </ds:schemaRefs>
</ds:datastoreItem>
</file>

<file path=customXml/itemProps4.xml><?xml version="1.0" encoding="utf-8"?>
<ds:datastoreItem xmlns:ds="http://schemas.openxmlformats.org/officeDocument/2006/customXml" ds:itemID="{2F91BA97-6295-4B16-BBA6-01214E19B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883C96-63F2-4C46-AC62-86E0F1A06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2156</Words>
  <Characters>11559</Characters>
  <Application>Microsoft Office Word</Application>
  <DocSecurity>0</DocSecurity>
  <Lines>275</Lines>
  <Paragraphs>75</Paragraphs>
  <ScaleCrop>false</ScaleCrop>
  <HeadingPairs>
    <vt:vector size="2" baseType="variant">
      <vt:variant>
        <vt:lpstr>Title</vt:lpstr>
      </vt:variant>
      <vt:variant>
        <vt:i4>1</vt:i4>
      </vt:variant>
    </vt:vector>
  </HeadingPairs>
  <TitlesOfParts>
    <vt:vector size="1" baseType="lpstr">
      <vt:lpstr>Deakin University - Crowd-sourced Equity Funding</vt:lpstr>
    </vt:vector>
  </TitlesOfParts>
  <Company/>
  <LinksUpToDate>false</LinksUpToDate>
  <CharactersWithSpaces>13640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Deakin University - Crowd-sourced Equity Funding</dc:title>
  <dc:subject/>
  <dc:creator/>
  <cp:keywords/>
  <dc:description/>
  <cp:lastModifiedBy/>
  <cp:revision>1</cp:revision>
  <dcterms:created xsi:type="dcterms:W3CDTF">2015-04-14T04:38:00Z</dcterms:created>
  <dcterms:modified xsi:type="dcterms:W3CDTF">2015-04-14T05:20:00Z</dcterms:modified>
  <dc:language>English</dc:language>
</cp:coreProperties>
</file>