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A2BFD" w14:textId="77777777" w:rsidR="008A533F" w:rsidRDefault="008A533F" w:rsidP="00D66499">
      <w:pPr>
        <w:jc w:val="both"/>
        <w:rPr>
          <w:sz w:val="72"/>
        </w:rPr>
      </w:pPr>
    </w:p>
    <w:p w14:paraId="39565F74" w14:textId="77777777" w:rsidR="00A6050A" w:rsidRDefault="00A6050A" w:rsidP="00D66499">
      <w:pPr>
        <w:jc w:val="both"/>
        <w:rPr>
          <w:sz w:val="72"/>
        </w:rPr>
      </w:pPr>
    </w:p>
    <w:p w14:paraId="4198B71D" w14:textId="77777777" w:rsidR="008A533F" w:rsidRDefault="00DB031F" w:rsidP="00D66499">
      <w:pPr>
        <w:jc w:val="center"/>
        <w:rPr>
          <w:sz w:val="72"/>
        </w:rPr>
      </w:pPr>
      <w:r>
        <w:rPr>
          <w:noProof/>
          <w:sz w:val="72"/>
          <w:lang w:eastAsia="en-AU"/>
        </w:rPr>
        <w:drawing>
          <wp:inline distT="0" distB="0" distL="0" distR="0" wp14:anchorId="09EA3DD4" wp14:editId="7A52A96E">
            <wp:extent cx="2019300" cy="438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g"/>
                    <pic:cNvPicPr/>
                  </pic:nvPicPr>
                  <pic:blipFill>
                    <a:blip r:embed="rId13">
                      <a:extLst>
                        <a:ext uri="{28A0092B-C50C-407E-A947-70E740481C1C}">
                          <a14:useLocalDpi xmlns:a14="http://schemas.microsoft.com/office/drawing/2010/main" val="0"/>
                        </a:ext>
                      </a:extLst>
                    </a:blip>
                    <a:stretch>
                      <a:fillRect/>
                    </a:stretch>
                  </pic:blipFill>
                  <pic:spPr>
                    <a:xfrm>
                      <a:off x="0" y="0"/>
                      <a:ext cx="2019300" cy="438150"/>
                    </a:xfrm>
                    <a:prstGeom prst="rect">
                      <a:avLst/>
                    </a:prstGeom>
                  </pic:spPr>
                </pic:pic>
              </a:graphicData>
            </a:graphic>
          </wp:inline>
        </w:drawing>
      </w:r>
    </w:p>
    <w:p w14:paraId="1AB5A270" w14:textId="77777777" w:rsidR="00C85275" w:rsidRDefault="00C85275" w:rsidP="00D66499">
      <w:pPr>
        <w:jc w:val="both"/>
        <w:rPr>
          <w:sz w:val="72"/>
        </w:rPr>
      </w:pPr>
      <w:r>
        <w:rPr>
          <w:sz w:val="72"/>
        </w:rPr>
        <w:br/>
      </w:r>
    </w:p>
    <w:p w14:paraId="4525606E" w14:textId="77777777" w:rsidR="008A533F" w:rsidRPr="00C85275" w:rsidRDefault="008A533F" w:rsidP="00D66499">
      <w:pPr>
        <w:jc w:val="both"/>
        <w:rPr>
          <w:rFonts w:ascii="Segoe UI Light" w:hAnsi="Segoe UI Light" w:cs="Segoe UI Light"/>
          <w:b/>
          <w:sz w:val="60"/>
          <w:szCs w:val="60"/>
        </w:rPr>
      </w:pPr>
      <w:r w:rsidRPr="00C85275">
        <w:rPr>
          <w:rFonts w:ascii="Segoe UI Light" w:hAnsi="Segoe UI Light" w:cs="Segoe UI Light"/>
          <w:b/>
          <w:sz w:val="60"/>
          <w:szCs w:val="60"/>
        </w:rPr>
        <w:t>Crowd-sourced Equity Funding</w:t>
      </w:r>
      <w:bookmarkStart w:id="0" w:name="_GoBack"/>
      <w:bookmarkEnd w:id="0"/>
    </w:p>
    <w:p w14:paraId="45F12936" w14:textId="77777777" w:rsidR="008A533F" w:rsidRPr="00C85275" w:rsidRDefault="008A533F" w:rsidP="00D66499">
      <w:pPr>
        <w:jc w:val="both"/>
        <w:rPr>
          <w:rFonts w:ascii="Segoe UI Light" w:hAnsi="Segoe UI Light" w:cs="Segoe UI Light"/>
        </w:rPr>
      </w:pPr>
    </w:p>
    <w:p w14:paraId="4FC6E0DF" w14:textId="77777777" w:rsidR="008A533F" w:rsidRDefault="00BA0169" w:rsidP="00D66499">
      <w:pPr>
        <w:jc w:val="both"/>
        <w:rPr>
          <w:rFonts w:ascii="Segoe UI Light" w:hAnsi="Segoe UI Light" w:cs="Segoe UI Light"/>
          <w:b/>
          <w:i/>
          <w:sz w:val="32"/>
        </w:rPr>
      </w:pPr>
      <w:r>
        <w:rPr>
          <w:rFonts w:ascii="Segoe UI Light" w:hAnsi="Segoe UI Light" w:cs="Segoe UI Light"/>
          <w:sz w:val="32"/>
        </w:rPr>
        <w:t xml:space="preserve">Submission by </w:t>
      </w:r>
      <w:proofErr w:type="spellStart"/>
      <w:r w:rsidRPr="00BA0169">
        <w:rPr>
          <w:rFonts w:ascii="Segoe UI Light" w:hAnsi="Segoe UI Light" w:cs="Segoe UI Light"/>
          <w:b/>
          <w:i/>
          <w:sz w:val="32"/>
        </w:rPr>
        <w:t>i</w:t>
      </w:r>
      <w:r w:rsidR="008A533F" w:rsidRPr="00BA0169">
        <w:rPr>
          <w:rFonts w:ascii="Segoe UI Light" w:hAnsi="Segoe UI Light" w:cs="Segoe UI Light"/>
          <w:b/>
          <w:i/>
          <w:sz w:val="32"/>
        </w:rPr>
        <w:t>ncubatr</w:t>
      </w:r>
      <w:proofErr w:type="spellEnd"/>
      <w:r w:rsidR="008A533F" w:rsidRPr="00C85275">
        <w:rPr>
          <w:rFonts w:ascii="Segoe UI Light" w:hAnsi="Segoe UI Light" w:cs="Segoe UI Light"/>
          <w:sz w:val="32"/>
        </w:rPr>
        <w:t xml:space="preserve"> to </w:t>
      </w:r>
      <w:r w:rsidR="00A677BC">
        <w:rPr>
          <w:rFonts w:ascii="Segoe UI Light" w:hAnsi="Segoe UI Light" w:cs="Segoe UI Light"/>
          <w:sz w:val="32"/>
        </w:rPr>
        <w:t>t</w:t>
      </w:r>
      <w:r w:rsidR="008A533F" w:rsidRPr="00C85275">
        <w:rPr>
          <w:rFonts w:ascii="Segoe UI Light" w:hAnsi="Segoe UI Light" w:cs="Segoe UI Light"/>
          <w:sz w:val="32"/>
        </w:rPr>
        <w:t xml:space="preserve">he Treasury’s </w:t>
      </w:r>
      <w:r w:rsidR="00772BB6">
        <w:rPr>
          <w:rFonts w:ascii="Segoe UI Light" w:hAnsi="Segoe UI Light" w:cs="Segoe UI Light"/>
          <w:sz w:val="32"/>
        </w:rPr>
        <w:t>D</w:t>
      </w:r>
      <w:r w:rsidR="008A533F" w:rsidRPr="00C85275">
        <w:rPr>
          <w:rFonts w:ascii="Segoe UI Light" w:hAnsi="Segoe UI Light" w:cs="Segoe UI Light"/>
          <w:sz w:val="32"/>
        </w:rPr>
        <w:t xml:space="preserve">iscussion </w:t>
      </w:r>
      <w:r w:rsidR="00772BB6">
        <w:rPr>
          <w:rFonts w:ascii="Segoe UI Light" w:hAnsi="Segoe UI Light" w:cs="Segoe UI Light"/>
          <w:sz w:val="32"/>
        </w:rPr>
        <w:t>P</w:t>
      </w:r>
      <w:r w:rsidR="008A533F" w:rsidRPr="00C85275">
        <w:rPr>
          <w:rFonts w:ascii="Segoe UI Light" w:hAnsi="Segoe UI Light" w:cs="Segoe UI Light"/>
          <w:sz w:val="32"/>
        </w:rPr>
        <w:t>aper</w:t>
      </w:r>
      <w:r w:rsidR="00A677BC">
        <w:rPr>
          <w:rFonts w:ascii="Segoe UI Light" w:hAnsi="Segoe UI Light" w:cs="Segoe UI Light"/>
          <w:sz w:val="32"/>
        </w:rPr>
        <w:t xml:space="preserve"> concerning </w:t>
      </w:r>
      <w:r w:rsidR="008A533F" w:rsidRPr="00C85275">
        <w:rPr>
          <w:rFonts w:ascii="Segoe UI Light" w:hAnsi="Segoe UI Light" w:cs="Segoe UI Light"/>
          <w:b/>
          <w:i/>
          <w:sz w:val="32"/>
        </w:rPr>
        <w:t>Crowd-sourced Equity Funding</w:t>
      </w:r>
    </w:p>
    <w:p w14:paraId="1BADA634" w14:textId="77777777" w:rsidR="00C85275" w:rsidRDefault="00C85275" w:rsidP="00D66499">
      <w:pPr>
        <w:jc w:val="both"/>
        <w:rPr>
          <w:rFonts w:ascii="Segoe UI Light" w:hAnsi="Segoe UI Light" w:cs="Segoe UI Light"/>
          <w:b/>
          <w:i/>
          <w:sz w:val="32"/>
        </w:rPr>
      </w:pPr>
    </w:p>
    <w:p w14:paraId="6FCDCE89" w14:textId="77777777" w:rsidR="00C85275" w:rsidRDefault="00C85275" w:rsidP="00D66499">
      <w:pPr>
        <w:jc w:val="both"/>
        <w:rPr>
          <w:rFonts w:ascii="Segoe UI Light" w:hAnsi="Segoe UI Light" w:cs="Segoe UI Light"/>
          <w:b/>
          <w:i/>
          <w:sz w:val="32"/>
        </w:rPr>
      </w:pPr>
    </w:p>
    <w:p w14:paraId="45796012" w14:textId="77777777" w:rsidR="00C85275" w:rsidRDefault="00C85275" w:rsidP="00D66499">
      <w:pPr>
        <w:jc w:val="both"/>
        <w:rPr>
          <w:rFonts w:ascii="Segoe UI Light" w:hAnsi="Segoe UI Light" w:cs="Segoe UI Light"/>
          <w:b/>
          <w:i/>
          <w:sz w:val="32"/>
        </w:rPr>
      </w:pPr>
    </w:p>
    <w:p w14:paraId="5C676795" w14:textId="77777777" w:rsidR="00C85275" w:rsidRDefault="00C85275" w:rsidP="00D66499">
      <w:pPr>
        <w:jc w:val="both"/>
        <w:rPr>
          <w:rFonts w:ascii="Segoe UI Light" w:hAnsi="Segoe UI Light" w:cs="Segoe UI Light"/>
          <w:b/>
          <w:i/>
          <w:sz w:val="32"/>
        </w:rPr>
      </w:pPr>
    </w:p>
    <w:p w14:paraId="05FD9F31" w14:textId="77777777" w:rsidR="00C85275" w:rsidRDefault="00C85275" w:rsidP="00D66499">
      <w:pPr>
        <w:jc w:val="both"/>
        <w:rPr>
          <w:rFonts w:ascii="Segoe UI Light" w:hAnsi="Segoe UI Light" w:cs="Segoe UI Light"/>
          <w:b/>
          <w:i/>
          <w:sz w:val="32"/>
        </w:rPr>
      </w:pPr>
    </w:p>
    <w:p w14:paraId="6DD0C907" w14:textId="77777777" w:rsidR="00C85275" w:rsidRPr="00C85275" w:rsidRDefault="00C85275" w:rsidP="00D66499">
      <w:pPr>
        <w:jc w:val="both"/>
        <w:rPr>
          <w:rFonts w:ascii="Segoe UI Light" w:hAnsi="Segoe UI Light" w:cs="Segoe UI Light"/>
          <w:b/>
          <w:i/>
          <w:sz w:val="32"/>
        </w:rPr>
      </w:pPr>
    </w:p>
    <w:p w14:paraId="7DBD1484" w14:textId="77777777" w:rsidR="00C85275" w:rsidRDefault="00913295" w:rsidP="00D66499">
      <w:pPr>
        <w:jc w:val="both"/>
        <w:rPr>
          <w:rFonts w:ascii="Segoe UI Light" w:hAnsi="Segoe UI Light" w:cs="Segoe UI Light"/>
          <w:b/>
          <w:sz w:val="32"/>
        </w:rPr>
      </w:pPr>
      <w:r>
        <w:rPr>
          <w:rFonts w:ascii="Segoe UI Light" w:hAnsi="Segoe UI Light" w:cs="Segoe UI Light"/>
          <w:b/>
          <w:sz w:val="32"/>
        </w:rPr>
        <w:t>9</w:t>
      </w:r>
      <w:r w:rsidR="00C85275" w:rsidRPr="00C85275">
        <w:rPr>
          <w:rFonts w:ascii="Segoe UI Light" w:hAnsi="Segoe UI Light" w:cs="Segoe UI Light"/>
          <w:b/>
          <w:sz w:val="32"/>
        </w:rPr>
        <w:t xml:space="preserve"> </w:t>
      </w:r>
      <w:r w:rsidR="00772BB6">
        <w:rPr>
          <w:rFonts w:ascii="Segoe UI Light" w:hAnsi="Segoe UI Light" w:cs="Segoe UI Light"/>
          <w:b/>
          <w:sz w:val="32"/>
        </w:rPr>
        <w:t>February</w:t>
      </w:r>
      <w:r w:rsidR="00C85275" w:rsidRPr="00C85275">
        <w:rPr>
          <w:rFonts w:ascii="Segoe UI Light" w:hAnsi="Segoe UI Light" w:cs="Segoe UI Light"/>
          <w:b/>
          <w:sz w:val="32"/>
        </w:rPr>
        <w:t xml:space="preserve"> 2015</w:t>
      </w:r>
    </w:p>
    <w:p w14:paraId="59C8F946" w14:textId="77777777" w:rsidR="00A6050A" w:rsidRDefault="00A6050A" w:rsidP="00D66499">
      <w:pPr>
        <w:jc w:val="both"/>
        <w:rPr>
          <w:rFonts w:ascii="Segoe UI Light" w:hAnsi="Segoe UI Light" w:cs="Segoe UI Light"/>
          <w:b/>
          <w:sz w:val="32"/>
        </w:rPr>
      </w:pPr>
    </w:p>
    <w:p w14:paraId="0E0FCCDF" w14:textId="77777777" w:rsidR="00A6050A" w:rsidRDefault="00A6050A" w:rsidP="00D66499">
      <w:pPr>
        <w:jc w:val="both"/>
        <w:rPr>
          <w:rFonts w:ascii="Segoe UI Light" w:hAnsi="Segoe UI Light" w:cs="Segoe UI Light"/>
          <w:b/>
          <w:sz w:val="32"/>
        </w:rPr>
      </w:pPr>
    </w:p>
    <w:p w14:paraId="0F3343B5" w14:textId="77777777" w:rsidR="00A6050A" w:rsidRDefault="00A6050A" w:rsidP="00D66499">
      <w:pPr>
        <w:jc w:val="both"/>
        <w:rPr>
          <w:rFonts w:ascii="Segoe UI Light" w:hAnsi="Segoe UI Light" w:cs="Segoe UI Light"/>
          <w:b/>
          <w:sz w:val="32"/>
        </w:rPr>
      </w:pPr>
    </w:p>
    <w:p w14:paraId="3CB92F2D" w14:textId="77777777" w:rsidR="00EC1864" w:rsidRDefault="00EC1864" w:rsidP="00D66499">
      <w:pPr>
        <w:jc w:val="both"/>
        <w:rPr>
          <w:rFonts w:ascii="Segoe UI Light" w:hAnsi="Segoe UI Light" w:cs="Segoe UI Light"/>
          <w:b/>
          <w:sz w:val="36"/>
        </w:rPr>
      </w:pPr>
    </w:p>
    <w:p w14:paraId="2753A292" w14:textId="77777777" w:rsidR="00A6050A" w:rsidRPr="00EC1864" w:rsidRDefault="00A6050A" w:rsidP="00D66499">
      <w:pPr>
        <w:jc w:val="both"/>
        <w:rPr>
          <w:rFonts w:ascii="Segoe UI Light" w:hAnsi="Segoe UI Light" w:cs="Segoe UI Light"/>
          <w:b/>
          <w:i/>
          <w:sz w:val="36"/>
          <w:u w:val="single"/>
        </w:rPr>
      </w:pPr>
      <w:r w:rsidRPr="00EC1864">
        <w:rPr>
          <w:rFonts w:ascii="Segoe UI Light" w:hAnsi="Segoe UI Light" w:cs="Segoe UI Light"/>
          <w:b/>
          <w:sz w:val="36"/>
        </w:rPr>
        <w:t xml:space="preserve">About </w:t>
      </w:r>
      <w:proofErr w:type="spellStart"/>
      <w:r w:rsidRPr="00EC1864">
        <w:rPr>
          <w:rFonts w:ascii="Segoe UI Light" w:hAnsi="Segoe UI Light" w:cs="Segoe UI Light"/>
          <w:b/>
          <w:i/>
          <w:sz w:val="36"/>
          <w:u w:val="single"/>
        </w:rPr>
        <w:t>incubatr</w:t>
      </w:r>
      <w:proofErr w:type="spellEnd"/>
    </w:p>
    <w:p w14:paraId="4E9090FB" w14:textId="77777777" w:rsidR="00A6050A" w:rsidRDefault="00A6050A" w:rsidP="00D66499">
      <w:pPr>
        <w:jc w:val="both"/>
        <w:rPr>
          <w:rFonts w:ascii="Segoe UI Light" w:hAnsi="Segoe UI Light" w:cs="Segoe UI Light"/>
          <w:sz w:val="26"/>
          <w:szCs w:val="26"/>
        </w:rPr>
      </w:pPr>
      <w:r>
        <w:rPr>
          <w:rFonts w:ascii="Segoe UI Light" w:hAnsi="Segoe UI Light" w:cs="Segoe UI Light"/>
          <w:sz w:val="26"/>
          <w:szCs w:val="26"/>
        </w:rPr>
        <w:br/>
      </w:r>
      <w:proofErr w:type="spellStart"/>
      <w:r w:rsidR="00FB4ACC" w:rsidRPr="00DA0E1C">
        <w:rPr>
          <w:rFonts w:ascii="Segoe UI Light" w:hAnsi="Segoe UI Light" w:cs="Segoe UI Light"/>
          <w:b/>
          <w:i/>
          <w:sz w:val="26"/>
          <w:szCs w:val="26"/>
        </w:rPr>
        <w:t>Incubatr</w:t>
      </w:r>
      <w:proofErr w:type="spellEnd"/>
      <w:r w:rsidRPr="00A6050A">
        <w:rPr>
          <w:rFonts w:ascii="Segoe UI Light" w:hAnsi="Segoe UI Light" w:cs="Segoe UI Light"/>
          <w:sz w:val="26"/>
          <w:szCs w:val="26"/>
        </w:rPr>
        <w:t xml:space="preserve"> is an intermediary platform for crowd-sourced equity funding currently in its’ establishment phase.</w:t>
      </w:r>
    </w:p>
    <w:p w14:paraId="1B16D423" w14:textId="77777777" w:rsidR="00D8047F" w:rsidRPr="00A6050A" w:rsidRDefault="00D8047F" w:rsidP="00D66499">
      <w:pPr>
        <w:jc w:val="both"/>
        <w:rPr>
          <w:rFonts w:ascii="Segoe UI Light" w:hAnsi="Segoe UI Light" w:cs="Segoe UI Light"/>
          <w:sz w:val="26"/>
          <w:szCs w:val="26"/>
        </w:rPr>
      </w:pPr>
    </w:p>
    <w:p w14:paraId="55D50C38" w14:textId="77777777" w:rsidR="00A6050A" w:rsidRDefault="00DA0E1C" w:rsidP="00D66499">
      <w:pPr>
        <w:jc w:val="both"/>
        <w:rPr>
          <w:rFonts w:ascii="Segoe UI Light" w:hAnsi="Segoe UI Light" w:cs="Segoe UI Light"/>
          <w:sz w:val="26"/>
          <w:szCs w:val="26"/>
        </w:rPr>
      </w:pPr>
      <w:r>
        <w:rPr>
          <w:rFonts w:ascii="Segoe UI Light" w:hAnsi="Segoe UI Light" w:cs="Segoe UI Light"/>
          <w:sz w:val="26"/>
          <w:szCs w:val="26"/>
        </w:rPr>
        <w:t>At its’ core</w:t>
      </w:r>
      <w:r w:rsidR="00A6050A" w:rsidRPr="00A6050A">
        <w:rPr>
          <w:rFonts w:ascii="Segoe UI Light" w:hAnsi="Segoe UI Light" w:cs="Segoe UI Light"/>
          <w:sz w:val="26"/>
          <w:szCs w:val="26"/>
        </w:rPr>
        <w:t xml:space="preserve">, </w:t>
      </w:r>
      <w:proofErr w:type="spellStart"/>
      <w:r w:rsidR="00A6050A" w:rsidRPr="00764F74">
        <w:rPr>
          <w:rFonts w:ascii="Segoe UI Light" w:hAnsi="Segoe UI Light" w:cs="Segoe UI Light"/>
          <w:b/>
          <w:i/>
          <w:sz w:val="26"/>
          <w:szCs w:val="26"/>
        </w:rPr>
        <w:t>incubatr</w:t>
      </w:r>
      <w:proofErr w:type="spellEnd"/>
      <w:r w:rsidR="00A6050A" w:rsidRPr="00A6050A">
        <w:rPr>
          <w:rFonts w:ascii="Segoe UI Light" w:hAnsi="Segoe UI Light" w:cs="Segoe UI Light"/>
          <w:sz w:val="26"/>
          <w:szCs w:val="26"/>
        </w:rPr>
        <w:t xml:space="preserve"> believes in the poten</w:t>
      </w:r>
      <w:r w:rsidR="00366CC3">
        <w:rPr>
          <w:rFonts w:ascii="Segoe UI Light" w:hAnsi="Segoe UI Light" w:cs="Segoe UI Light"/>
          <w:sz w:val="26"/>
          <w:szCs w:val="26"/>
        </w:rPr>
        <w:t xml:space="preserve">tial </w:t>
      </w:r>
      <w:r w:rsidR="00090DB9">
        <w:rPr>
          <w:rFonts w:ascii="Segoe UI Light" w:hAnsi="Segoe UI Light" w:cs="Segoe UI Light"/>
          <w:sz w:val="26"/>
          <w:szCs w:val="26"/>
        </w:rPr>
        <w:t xml:space="preserve">that </w:t>
      </w:r>
      <w:r w:rsidR="00366CC3">
        <w:rPr>
          <w:rFonts w:ascii="Segoe UI Light" w:hAnsi="Segoe UI Light" w:cs="Segoe UI Light"/>
          <w:sz w:val="26"/>
          <w:szCs w:val="26"/>
        </w:rPr>
        <w:t>capital and opportunity</w:t>
      </w:r>
      <w:r w:rsidR="00A6050A" w:rsidRPr="00A6050A">
        <w:rPr>
          <w:rFonts w:ascii="Segoe UI Light" w:hAnsi="Segoe UI Light" w:cs="Segoe UI Light"/>
          <w:sz w:val="26"/>
          <w:szCs w:val="26"/>
        </w:rPr>
        <w:t xml:space="preserve"> </w:t>
      </w:r>
      <w:r w:rsidR="00090DB9">
        <w:rPr>
          <w:rFonts w:ascii="Segoe UI Light" w:hAnsi="Segoe UI Light" w:cs="Segoe UI Light"/>
          <w:sz w:val="26"/>
          <w:szCs w:val="26"/>
        </w:rPr>
        <w:t>present</w:t>
      </w:r>
      <w:r w:rsidR="006838BE">
        <w:rPr>
          <w:rFonts w:ascii="Segoe UI Light" w:hAnsi="Segoe UI Light" w:cs="Segoe UI Light"/>
          <w:sz w:val="26"/>
          <w:szCs w:val="26"/>
        </w:rPr>
        <w:t>s</w:t>
      </w:r>
      <w:r w:rsidR="00090DB9">
        <w:rPr>
          <w:rFonts w:ascii="Segoe UI Light" w:hAnsi="Segoe UI Light" w:cs="Segoe UI Light"/>
          <w:sz w:val="26"/>
          <w:szCs w:val="26"/>
        </w:rPr>
        <w:t xml:space="preserve"> </w:t>
      </w:r>
      <w:r w:rsidR="00A6050A" w:rsidRPr="00A6050A">
        <w:rPr>
          <w:rFonts w:ascii="Segoe UI Light" w:hAnsi="Segoe UI Light" w:cs="Segoe UI Light"/>
          <w:sz w:val="26"/>
          <w:szCs w:val="26"/>
        </w:rPr>
        <w:t>when unrestrained.</w:t>
      </w:r>
    </w:p>
    <w:p w14:paraId="6942A173" w14:textId="77777777" w:rsidR="00D8047F" w:rsidRDefault="00D8047F" w:rsidP="00D66499">
      <w:pPr>
        <w:jc w:val="both"/>
        <w:rPr>
          <w:rFonts w:ascii="Segoe UI Light" w:hAnsi="Segoe UI Light" w:cs="Segoe UI Light"/>
          <w:sz w:val="26"/>
          <w:szCs w:val="26"/>
        </w:rPr>
      </w:pPr>
    </w:p>
    <w:p w14:paraId="3C38A234" w14:textId="77777777" w:rsidR="00A6050A" w:rsidRDefault="00DA0E1C" w:rsidP="00D66499">
      <w:pPr>
        <w:jc w:val="both"/>
        <w:rPr>
          <w:rFonts w:ascii="Segoe UI Light" w:hAnsi="Segoe UI Light" w:cs="Segoe UI Light"/>
          <w:sz w:val="26"/>
          <w:szCs w:val="26"/>
        </w:rPr>
      </w:pPr>
      <w:r>
        <w:rPr>
          <w:rFonts w:ascii="Segoe UI Light" w:hAnsi="Segoe UI Light" w:cs="Segoe UI Light"/>
          <w:sz w:val="26"/>
          <w:szCs w:val="26"/>
        </w:rPr>
        <w:t xml:space="preserve">As an intermediary, </w:t>
      </w:r>
      <w:proofErr w:type="spellStart"/>
      <w:r w:rsidRPr="00DA0E1C">
        <w:rPr>
          <w:rFonts w:ascii="Segoe UI Light" w:hAnsi="Segoe UI Light" w:cs="Segoe UI Light"/>
          <w:b/>
          <w:i/>
          <w:sz w:val="26"/>
          <w:szCs w:val="26"/>
        </w:rPr>
        <w:t>incubatr</w:t>
      </w:r>
      <w:proofErr w:type="spellEnd"/>
      <w:r w:rsidR="00A6050A" w:rsidRPr="00A6050A">
        <w:rPr>
          <w:rFonts w:ascii="Segoe UI Light" w:hAnsi="Segoe UI Light" w:cs="Segoe UI Light"/>
          <w:sz w:val="26"/>
          <w:szCs w:val="26"/>
        </w:rPr>
        <w:t xml:space="preserve"> </w:t>
      </w:r>
      <w:r>
        <w:rPr>
          <w:rFonts w:ascii="Segoe UI Light" w:hAnsi="Segoe UI Light" w:cs="Segoe UI Light"/>
          <w:sz w:val="26"/>
          <w:szCs w:val="26"/>
        </w:rPr>
        <w:t xml:space="preserve">aims to provide sources of funding for new ventures and </w:t>
      </w:r>
      <w:r w:rsidR="00391FAA">
        <w:rPr>
          <w:rFonts w:ascii="Segoe UI Light" w:hAnsi="Segoe UI Light" w:cs="Segoe UI Light"/>
          <w:sz w:val="26"/>
          <w:szCs w:val="26"/>
        </w:rPr>
        <w:t>established businesses</w:t>
      </w:r>
      <w:r w:rsidR="006838BE">
        <w:rPr>
          <w:rFonts w:ascii="Segoe UI Light" w:hAnsi="Segoe UI Light" w:cs="Segoe UI Light"/>
          <w:sz w:val="26"/>
          <w:szCs w:val="26"/>
        </w:rPr>
        <w:t xml:space="preserve">.  The aim is to </w:t>
      </w:r>
      <w:r>
        <w:rPr>
          <w:rFonts w:ascii="Segoe UI Light" w:hAnsi="Segoe UI Light" w:cs="Segoe UI Light"/>
          <w:sz w:val="26"/>
          <w:szCs w:val="26"/>
        </w:rPr>
        <w:t xml:space="preserve">drive growth and innovation </w:t>
      </w:r>
      <w:r w:rsidR="006A36D5">
        <w:rPr>
          <w:rFonts w:ascii="Segoe UI Light" w:hAnsi="Segoe UI Light" w:cs="Segoe UI Light"/>
          <w:sz w:val="26"/>
          <w:szCs w:val="26"/>
        </w:rPr>
        <w:t>w</w:t>
      </w:r>
      <w:r w:rsidR="006838BE">
        <w:rPr>
          <w:rFonts w:ascii="Segoe UI Light" w:hAnsi="Segoe UI Light" w:cs="Segoe UI Light"/>
          <w:sz w:val="26"/>
          <w:szCs w:val="26"/>
        </w:rPr>
        <w:t xml:space="preserve">hilst also democratising investment opportunity by </w:t>
      </w:r>
      <w:r w:rsidR="00A677BC">
        <w:rPr>
          <w:rFonts w:ascii="Segoe UI Light" w:hAnsi="Segoe UI Light" w:cs="Segoe UI Light"/>
          <w:sz w:val="26"/>
          <w:szCs w:val="26"/>
        </w:rPr>
        <w:t xml:space="preserve">broadening access to </w:t>
      </w:r>
      <w:r>
        <w:rPr>
          <w:rFonts w:ascii="Segoe UI Light" w:hAnsi="Segoe UI Light" w:cs="Segoe UI Light"/>
          <w:sz w:val="26"/>
          <w:szCs w:val="26"/>
        </w:rPr>
        <w:t>retail investors</w:t>
      </w:r>
      <w:r w:rsidR="00391FAA">
        <w:rPr>
          <w:rFonts w:ascii="Segoe UI Light" w:hAnsi="Segoe UI Light" w:cs="Segoe UI Light"/>
          <w:sz w:val="26"/>
          <w:szCs w:val="26"/>
        </w:rPr>
        <w:t>.</w:t>
      </w:r>
    </w:p>
    <w:p w14:paraId="63B36E2B" w14:textId="77777777" w:rsidR="00391FAA" w:rsidRDefault="00391FAA" w:rsidP="00D66499">
      <w:pPr>
        <w:jc w:val="both"/>
        <w:rPr>
          <w:rFonts w:ascii="Segoe UI Light" w:hAnsi="Segoe UI Light" w:cs="Segoe UI Light"/>
          <w:sz w:val="26"/>
          <w:szCs w:val="26"/>
        </w:rPr>
      </w:pPr>
    </w:p>
    <w:p w14:paraId="75965A2F" w14:textId="77777777" w:rsidR="00EC1864" w:rsidRDefault="00EC1864" w:rsidP="00D66499">
      <w:pPr>
        <w:jc w:val="both"/>
        <w:rPr>
          <w:rFonts w:ascii="Segoe UI Light" w:hAnsi="Segoe UI Light" w:cs="Segoe UI Light"/>
          <w:sz w:val="26"/>
          <w:szCs w:val="26"/>
        </w:rPr>
      </w:pPr>
    </w:p>
    <w:p w14:paraId="240EB2DD" w14:textId="77777777" w:rsidR="00AB4445" w:rsidRDefault="00AB4445" w:rsidP="00D66499">
      <w:pPr>
        <w:rPr>
          <w:rFonts w:ascii="Segoe UI Light" w:hAnsi="Segoe UI Light" w:cs="Segoe UI Light"/>
          <w:b/>
          <w:sz w:val="26"/>
          <w:szCs w:val="26"/>
        </w:rPr>
      </w:pPr>
    </w:p>
    <w:p w14:paraId="62F09070" w14:textId="77777777" w:rsidR="00AB4445" w:rsidRDefault="00AB4445" w:rsidP="00D66499">
      <w:pPr>
        <w:rPr>
          <w:rFonts w:ascii="Segoe UI Light" w:hAnsi="Segoe UI Light" w:cs="Segoe UI Light"/>
          <w:b/>
          <w:sz w:val="26"/>
          <w:szCs w:val="26"/>
        </w:rPr>
      </w:pPr>
    </w:p>
    <w:p w14:paraId="41E215D1" w14:textId="77777777" w:rsidR="00AB4445" w:rsidRDefault="00AB4445" w:rsidP="00D66499">
      <w:pPr>
        <w:rPr>
          <w:rFonts w:ascii="Segoe UI Light" w:hAnsi="Segoe UI Light" w:cs="Segoe UI Light"/>
          <w:b/>
          <w:sz w:val="26"/>
          <w:szCs w:val="26"/>
        </w:rPr>
      </w:pPr>
    </w:p>
    <w:p w14:paraId="196BD9CE" w14:textId="77777777" w:rsidR="00AB4445" w:rsidRDefault="00AB4445" w:rsidP="00D66499">
      <w:pPr>
        <w:rPr>
          <w:rFonts w:ascii="Segoe UI Light" w:hAnsi="Segoe UI Light" w:cs="Segoe UI Light"/>
          <w:b/>
          <w:sz w:val="26"/>
          <w:szCs w:val="26"/>
        </w:rPr>
      </w:pPr>
    </w:p>
    <w:p w14:paraId="598F765F" w14:textId="77777777" w:rsidR="00391FAA" w:rsidRPr="00391FAA" w:rsidRDefault="00391FAA" w:rsidP="00D66499">
      <w:pPr>
        <w:rPr>
          <w:rFonts w:ascii="Segoe UI Light" w:hAnsi="Segoe UI Light" w:cs="Segoe UI Light"/>
          <w:b/>
          <w:sz w:val="26"/>
          <w:szCs w:val="26"/>
        </w:rPr>
      </w:pPr>
      <w:r w:rsidRPr="00391FAA">
        <w:rPr>
          <w:rFonts w:ascii="Segoe UI Light" w:hAnsi="Segoe UI Light" w:cs="Segoe UI Light"/>
          <w:b/>
          <w:sz w:val="26"/>
          <w:szCs w:val="26"/>
        </w:rPr>
        <w:t>Contact</w:t>
      </w:r>
      <w:r>
        <w:rPr>
          <w:rFonts w:ascii="Segoe UI Light" w:hAnsi="Segoe UI Light" w:cs="Segoe UI Light"/>
          <w:b/>
          <w:sz w:val="26"/>
          <w:szCs w:val="26"/>
        </w:rPr>
        <w:t>:</w:t>
      </w:r>
    </w:p>
    <w:p w14:paraId="6FBCFFBD" w14:textId="77777777" w:rsidR="00391FAA" w:rsidRPr="00EC1864" w:rsidRDefault="00391FAA" w:rsidP="00D66499">
      <w:pPr>
        <w:rPr>
          <w:rFonts w:ascii="Segoe UI Light" w:hAnsi="Segoe UI Light" w:cs="Segoe UI Light"/>
          <w:sz w:val="26"/>
          <w:szCs w:val="26"/>
        </w:rPr>
      </w:pPr>
      <w:r w:rsidRPr="00EC1864">
        <w:rPr>
          <w:rFonts w:ascii="Segoe UI Light" w:hAnsi="Segoe UI Light" w:cs="Segoe UI Light"/>
          <w:sz w:val="26"/>
          <w:szCs w:val="26"/>
        </w:rPr>
        <w:t>Alex</w:t>
      </w:r>
      <w:r w:rsidR="00BA0169">
        <w:rPr>
          <w:rFonts w:ascii="Segoe UI Light" w:hAnsi="Segoe UI Light" w:cs="Segoe UI Light"/>
          <w:sz w:val="26"/>
          <w:szCs w:val="26"/>
        </w:rPr>
        <w:t>ander</w:t>
      </w:r>
      <w:r w:rsidR="009B4BFB">
        <w:rPr>
          <w:rFonts w:ascii="Segoe UI Light" w:hAnsi="Segoe UI Light" w:cs="Segoe UI Light"/>
          <w:sz w:val="26"/>
          <w:szCs w:val="26"/>
        </w:rPr>
        <w:t xml:space="preserve"> </w:t>
      </w:r>
      <w:proofErr w:type="spellStart"/>
      <w:r w:rsidR="009B4BFB">
        <w:rPr>
          <w:rFonts w:ascii="Segoe UI Light" w:hAnsi="Segoe UI Light" w:cs="Segoe UI Light"/>
          <w:sz w:val="26"/>
          <w:szCs w:val="26"/>
        </w:rPr>
        <w:t>Stankov</w:t>
      </w:r>
      <w:r w:rsidRPr="00EC1864">
        <w:rPr>
          <w:rFonts w:ascii="Segoe UI Light" w:hAnsi="Segoe UI Light" w:cs="Segoe UI Light"/>
          <w:sz w:val="26"/>
          <w:szCs w:val="26"/>
        </w:rPr>
        <w:t>ski</w:t>
      </w:r>
      <w:proofErr w:type="spellEnd"/>
      <w:r w:rsidRPr="00EC1864">
        <w:rPr>
          <w:rFonts w:ascii="Segoe UI Light" w:hAnsi="Segoe UI Light" w:cs="Segoe UI Light"/>
          <w:sz w:val="26"/>
          <w:szCs w:val="26"/>
        </w:rPr>
        <w:t xml:space="preserve"> – </w:t>
      </w:r>
      <w:r w:rsidR="00FA7AC1">
        <w:rPr>
          <w:rFonts w:ascii="Segoe UI Light" w:hAnsi="Segoe UI Light" w:cs="Segoe UI Light"/>
          <w:sz w:val="26"/>
          <w:szCs w:val="26"/>
        </w:rPr>
        <w:t>Chief Executive Officer</w:t>
      </w:r>
      <w:r w:rsidRPr="00EC1864">
        <w:rPr>
          <w:rFonts w:ascii="Segoe UI Light" w:hAnsi="Segoe UI Light" w:cs="Segoe UI Light"/>
          <w:sz w:val="26"/>
          <w:szCs w:val="26"/>
        </w:rPr>
        <w:t xml:space="preserve"> </w:t>
      </w:r>
      <w:r w:rsidRPr="00EC1864">
        <w:rPr>
          <w:rFonts w:ascii="Segoe UI Light" w:hAnsi="Segoe UI Light" w:cs="Segoe UI Light"/>
          <w:sz w:val="26"/>
          <w:szCs w:val="26"/>
        </w:rPr>
        <w:br/>
      </w:r>
      <w:r w:rsidR="001524FD" w:rsidRPr="00EC1864">
        <w:rPr>
          <w:rFonts w:ascii="Segoe UI Light" w:hAnsi="Segoe UI Light" w:cs="Segoe UI Light"/>
          <w:sz w:val="26"/>
          <w:szCs w:val="26"/>
        </w:rPr>
        <w:t xml:space="preserve">Martin </w:t>
      </w:r>
      <w:proofErr w:type="spellStart"/>
      <w:r w:rsidR="001524FD" w:rsidRPr="00EC1864">
        <w:rPr>
          <w:rFonts w:ascii="Segoe UI Light" w:hAnsi="Segoe UI Light" w:cs="Segoe UI Light"/>
          <w:sz w:val="26"/>
          <w:szCs w:val="26"/>
        </w:rPr>
        <w:t>Andonovski</w:t>
      </w:r>
      <w:proofErr w:type="spellEnd"/>
      <w:r w:rsidR="001524FD" w:rsidRPr="00EC1864">
        <w:rPr>
          <w:rFonts w:ascii="Segoe UI Light" w:hAnsi="Segoe UI Light" w:cs="Segoe UI Light"/>
          <w:sz w:val="26"/>
          <w:szCs w:val="26"/>
        </w:rPr>
        <w:t xml:space="preserve"> –</w:t>
      </w:r>
      <w:r w:rsidR="009D6720">
        <w:rPr>
          <w:rFonts w:ascii="Segoe UI Light" w:hAnsi="Segoe UI Light" w:cs="Segoe UI Light"/>
          <w:sz w:val="26"/>
          <w:szCs w:val="26"/>
        </w:rPr>
        <w:t xml:space="preserve"> </w:t>
      </w:r>
      <w:r w:rsidR="00634247">
        <w:rPr>
          <w:rFonts w:ascii="Segoe UI Light" w:hAnsi="Segoe UI Light" w:cs="Segoe UI Light"/>
          <w:sz w:val="26"/>
          <w:szCs w:val="26"/>
        </w:rPr>
        <w:t xml:space="preserve">Executive </w:t>
      </w:r>
      <w:r w:rsidR="00CF30D4">
        <w:rPr>
          <w:rFonts w:ascii="Segoe UI Light" w:hAnsi="Segoe UI Light" w:cs="Segoe UI Light"/>
          <w:sz w:val="26"/>
          <w:szCs w:val="26"/>
        </w:rPr>
        <w:t>Director</w:t>
      </w:r>
      <w:r w:rsidR="0053082D">
        <w:rPr>
          <w:rFonts w:ascii="Segoe UI Light" w:hAnsi="Segoe UI Light" w:cs="Segoe UI Light"/>
          <w:sz w:val="26"/>
          <w:szCs w:val="26"/>
        </w:rPr>
        <w:t xml:space="preserve">, </w:t>
      </w:r>
      <w:r w:rsidR="00CF30D4">
        <w:rPr>
          <w:rFonts w:ascii="Segoe UI Light" w:hAnsi="Segoe UI Light" w:cs="Segoe UI Light"/>
          <w:sz w:val="26"/>
          <w:szCs w:val="26"/>
        </w:rPr>
        <w:t>Operations</w:t>
      </w:r>
      <w:r w:rsidR="001524FD">
        <w:rPr>
          <w:rFonts w:ascii="Segoe UI Light" w:hAnsi="Segoe UI Light" w:cs="Segoe UI Light"/>
          <w:sz w:val="26"/>
          <w:szCs w:val="26"/>
        </w:rPr>
        <w:br/>
      </w:r>
      <w:r w:rsidR="001524FD" w:rsidRPr="00EC1864">
        <w:rPr>
          <w:rFonts w:ascii="Segoe UI Light" w:hAnsi="Segoe UI Light" w:cs="Segoe UI Light"/>
          <w:sz w:val="26"/>
          <w:szCs w:val="26"/>
        </w:rPr>
        <w:t xml:space="preserve">Nick </w:t>
      </w:r>
      <w:proofErr w:type="spellStart"/>
      <w:r w:rsidR="001524FD" w:rsidRPr="00EC1864">
        <w:rPr>
          <w:rFonts w:ascii="Segoe UI Light" w:hAnsi="Segoe UI Light" w:cs="Segoe UI Light"/>
          <w:sz w:val="26"/>
          <w:szCs w:val="26"/>
        </w:rPr>
        <w:t>Zvezdakoski</w:t>
      </w:r>
      <w:proofErr w:type="spellEnd"/>
      <w:r w:rsidR="001524FD" w:rsidRPr="00EC1864">
        <w:rPr>
          <w:rFonts w:ascii="Segoe UI Light" w:hAnsi="Segoe UI Light" w:cs="Segoe UI Light"/>
          <w:sz w:val="26"/>
          <w:szCs w:val="26"/>
        </w:rPr>
        <w:t xml:space="preserve"> –</w:t>
      </w:r>
      <w:r w:rsidR="00D912F9">
        <w:rPr>
          <w:rFonts w:ascii="Segoe UI Light" w:hAnsi="Segoe UI Light" w:cs="Segoe UI Light"/>
          <w:sz w:val="26"/>
          <w:szCs w:val="26"/>
        </w:rPr>
        <w:t xml:space="preserve"> </w:t>
      </w:r>
      <w:r w:rsidR="00A92D84">
        <w:rPr>
          <w:rFonts w:ascii="Segoe UI Light" w:hAnsi="Segoe UI Light" w:cs="Segoe UI Light"/>
          <w:sz w:val="26"/>
          <w:szCs w:val="26"/>
        </w:rPr>
        <w:t>Co-F</w:t>
      </w:r>
      <w:r w:rsidR="008E6EFB">
        <w:rPr>
          <w:rFonts w:ascii="Segoe UI Light" w:hAnsi="Segoe UI Light" w:cs="Segoe UI Light"/>
          <w:sz w:val="26"/>
          <w:szCs w:val="26"/>
        </w:rPr>
        <w:t>ounder &amp;</w:t>
      </w:r>
      <w:r w:rsidR="00D912F9">
        <w:rPr>
          <w:rFonts w:ascii="Segoe UI Light" w:hAnsi="Segoe UI Light" w:cs="Segoe UI Light"/>
          <w:sz w:val="26"/>
          <w:szCs w:val="26"/>
        </w:rPr>
        <w:t xml:space="preserve"> Director</w:t>
      </w:r>
      <w:r w:rsidR="001524FD">
        <w:rPr>
          <w:rFonts w:ascii="Segoe UI Light" w:hAnsi="Segoe UI Light" w:cs="Segoe UI Light"/>
          <w:sz w:val="26"/>
          <w:szCs w:val="26"/>
        </w:rPr>
        <w:br/>
      </w:r>
      <w:r w:rsidRPr="00EC1864">
        <w:rPr>
          <w:rFonts w:ascii="Segoe UI Light" w:hAnsi="Segoe UI Light" w:cs="Segoe UI Light"/>
          <w:sz w:val="26"/>
          <w:szCs w:val="26"/>
        </w:rPr>
        <w:t xml:space="preserve">Igor </w:t>
      </w:r>
      <w:proofErr w:type="spellStart"/>
      <w:r w:rsidRPr="00EC1864">
        <w:rPr>
          <w:rFonts w:ascii="Segoe UI Light" w:hAnsi="Segoe UI Light" w:cs="Segoe UI Light"/>
          <w:sz w:val="26"/>
          <w:szCs w:val="26"/>
        </w:rPr>
        <w:t>Zvezdakoski</w:t>
      </w:r>
      <w:proofErr w:type="spellEnd"/>
      <w:r w:rsidRPr="00EC1864">
        <w:rPr>
          <w:rFonts w:ascii="Segoe UI Light" w:hAnsi="Segoe UI Light" w:cs="Segoe UI Light"/>
          <w:sz w:val="26"/>
          <w:szCs w:val="26"/>
        </w:rPr>
        <w:t xml:space="preserve"> –</w:t>
      </w:r>
      <w:r w:rsidR="00CF251D">
        <w:rPr>
          <w:rFonts w:ascii="Segoe UI Light" w:hAnsi="Segoe UI Light" w:cs="Segoe UI Light"/>
          <w:sz w:val="26"/>
          <w:szCs w:val="26"/>
        </w:rPr>
        <w:t xml:space="preserve"> </w:t>
      </w:r>
      <w:r w:rsidR="00153C35">
        <w:rPr>
          <w:rFonts w:ascii="Segoe UI Light" w:hAnsi="Segoe UI Light" w:cs="Segoe UI Light"/>
          <w:sz w:val="26"/>
          <w:szCs w:val="26"/>
        </w:rPr>
        <w:t xml:space="preserve">Non-executive </w:t>
      </w:r>
      <w:r w:rsidR="00E41EA4">
        <w:rPr>
          <w:rFonts w:ascii="Segoe UI Light" w:hAnsi="Segoe UI Light" w:cs="Segoe UI Light"/>
          <w:sz w:val="26"/>
          <w:szCs w:val="26"/>
        </w:rPr>
        <w:t>Chairman</w:t>
      </w:r>
      <w:r w:rsidRPr="00EC1864">
        <w:rPr>
          <w:rFonts w:ascii="Segoe UI Light" w:hAnsi="Segoe UI Light" w:cs="Segoe UI Light"/>
          <w:sz w:val="26"/>
          <w:szCs w:val="26"/>
        </w:rPr>
        <w:br/>
      </w:r>
    </w:p>
    <w:p w14:paraId="40ABDEB6" w14:textId="77777777" w:rsidR="00391FAA" w:rsidRPr="00775F8E" w:rsidRDefault="00775F8E" w:rsidP="00D66499">
      <w:pPr>
        <w:rPr>
          <w:rFonts w:ascii="Segoe UI Light" w:hAnsi="Segoe UI Light" w:cs="Segoe UI Light"/>
          <w:sz w:val="26"/>
          <w:szCs w:val="26"/>
        </w:rPr>
      </w:pPr>
      <w:r w:rsidRPr="00775F8E">
        <w:rPr>
          <w:rFonts w:ascii="Segoe UI Light" w:hAnsi="Segoe UI Light" w:cs="Segoe UI Light"/>
          <w:sz w:val="26"/>
          <w:szCs w:val="26"/>
        </w:rPr>
        <w:t xml:space="preserve">Suite </w:t>
      </w:r>
      <w:r w:rsidR="00DA1978">
        <w:rPr>
          <w:rFonts w:ascii="Segoe UI Light" w:hAnsi="Segoe UI Light" w:cs="Segoe UI Light"/>
          <w:sz w:val="26"/>
          <w:szCs w:val="26"/>
        </w:rPr>
        <w:t>2</w:t>
      </w:r>
      <w:r w:rsidRPr="00775F8E">
        <w:rPr>
          <w:rFonts w:ascii="Segoe UI Light" w:hAnsi="Segoe UI Light" w:cs="Segoe UI Light"/>
          <w:sz w:val="26"/>
          <w:szCs w:val="26"/>
        </w:rPr>
        <w:t xml:space="preserve">01, Level 2, </w:t>
      </w:r>
      <w:r w:rsidRPr="00775F8E">
        <w:rPr>
          <w:rFonts w:ascii="Segoe UI Light" w:hAnsi="Segoe UI Light" w:cs="Segoe UI Light"/>
          <w:sz w:val="26"/>
          <w:szCs w:val="26"/>
        </w:rPr>
        <w:br/>
        <w:t>3 Collared Close</w:t>
      </w:r>
      <w:r w:rsidRPr="00775F8E">
        <w:rPr>
          <w:rFonts w:ascii="Segoe UI Light" w:hAnsi="Segoe UI Light" w:cs="Segoe UI Light"/>
          <w:sz w:val="26"/>
          <w:szCs w:val="26"/>
        </w:rPr>
        <w:br/>
        <w:t>Bundoora VIC, 3082</w:t>
      </w:r>
    </w:p>
    <w:p w14:paraId="1C8BB8EC" w14:textId="77777777" w:rsidR="00391FAA" w:rsidRPr="00EC1864" w:rsidRDefault="00391FAA" w:rsidP="00D66499">
      <w:pPr>
        <w:rPr>
          <w:rFonts w:ascii="Segoe UI Light" w:hAnsi="Segoe UI Light" w:cs="Segoe UI Light"/>
          <w:sz w:val="26"/>
          <w:szCs w:val="26"/>
        </w:rPr>
      </w:pPr>
      <w:r w:rsidRPr="00EC1864">
        <w:rPr>
          <w:rFonts w:ascii="Segoe UI Light" w:hAnsi="Segoe UI Light" w:cs="Segoe UI Light"/>
          <w:sz w:val="26"/>
          <w:szCs w:val="26"/>
        </w:rPr>
        <w:t xml:space="preserve">Email: </w:t>
      </w:r>
      <w:hyperlink r:id="rId14" w:history="1">
        <w:r w:rsidRPr="00EC1864">
          <w:rPr>
            <w:rStyle w:val="Hyperlink"/>
            <w:rFonts w:ascii="Segoe UI Light" w:hAnsi="Segoe UI Light" w:cs="Segoe UI Light"/>
            <w:sz w:val="26"/>
            <w:szCs w:val="26"/>
          </w:rPr>
          <w:t>admin@incubatr.com.au</w:t>
        </w:r>
      </w:hyperlink>
      <w:r w:rsidRPr="00EC1864">
        <w:rPr>
          <w:rFonts w:ascii="Segoe UI Light" w:hAnsi="Segoe UI Light" w:cs="Segoe UI Light"/>
          <w:sz w:val="26"/>
          <w:szCs w:val="26"/>
        </w:rPr>
        <w:br/>
        <w:t xml:space="preserve">Phone: </w:t>
      </w:r>
      <w:r w:rsidR="002F17FC">
        <w:rPr>
          <w:rFonts w:ascii="Segoe UI Light" w:hAnsi="Segoe UI Light" w:cs="Segoe UI Light"/>
          <w:sz w:val="26"/>
          <w:szCs w:val="26"/>
        </w:rPr>
        <w:t>0417 124 204</w:t>
      </w:r>
    </w:p>
    <w:p w14:paraId="3741F02E" w14:textId="77777777" w:rsidR="00EC1864" w:rsidRDefault="00EC1864" w:rsidP="00D66499">
      <w:pPr>
        <w:jc w:val="both"/>
        <w:rPr>
          <w:rFonts w:ascii="Segoe UI Light" w:hAnsi="Segoe UI Light" w:cs="Segoe UI Light"/>
          <w:b/>
          <w:sz w:val="36"/>
        </w:rPr>
      </w:pPr>
      <w:r>
        <w:rPr>
          <w:rFonts w:ascii="Segoe UI Light" w:hAnsi="Segoe UI Light" w:cs="Segoe UI Light"/>
          <w:b/>
          <w:sz w:val="36"/>
        </w:rPr>
        <w:lastRenderedPageBreak/>
        <w:t>Introduction</w:t>
      </w:r>
    </w:p>
    <w:p w14:paraId="77A7E242" w14:textId="77777777" w:rsidR="00EC1864" w:rsidRDefault="00EC1864" w:rsidP="00D66499">
      <w:pPr>
        <w:jc w:val="both"/>
        <w:rPr>
          <w:rFonts w:ascii="Segoe UI Light" w:hAnsi="Segoe UI Light" w:cs="Segoe UI Light"/>
          <w:sz w:val="24"/>
          <w:szCs w:val="24"/>
        </w:rPr>
      </w:pPr>
      <w:r>
        <w:rPr>
          <w:rFonts w:ascii="Segoe UI Light" w:hAnsi="Segoe UI Light" w:cs="Segoe UI Light"/>
          <w:sz w:val="26"/>
          <w:szCs w:val="26"/>
        </w:rPr>
        <w:br/>
      </w:r>
      <w:proofErr w:type="spellStart"/>
      <w:r w:rsidR="00FB4ACC" w:rsidRPr="00360171">
        <w:rPr>
          <w:rFonts w:ascii="Segoe UI Light" w:hAnsi="Segoe UI Light" w:cs="Segoe UI Light"/>
          <w:b/>
          <w:i/>
          <w:sz w:val="24"/>
          <w:szCs w:val="24"/>
        </w:rPr>
        <w:t>Incubatr</w:t>
      </w:r>
      <w:proofErr w:type="spellEnd"/>
      <w:r w:rsidRPr="00360171">
        <w:rPr>
          <w:rFonts w:ascii="Segoe UI Light" w:hAnsi="Segoe UI Light" w:cs="Segoe UI Light"/>
          <w:sz w:val="24"/>
          <w:szCs w:val="24"/>
        </w:rPr>
        <w:t xml:space="preserve"> welcomes the Government</w:t>
      </w:r>
      <w:r w:rsidR="00234112" w:rsidRPr="00360171">
        <w:rPr>
          <w:rFonts w:ascii="Segoe UI Light" w:hAnsi="Segoe UI Light" w:cs="Segoe UI Light"/>
          <w:sz w:val="24"/>
          <w:szCs w:val="24"/>
        </w:rPr>
        <w:t>’</w:t>
      </w:r>
      <w:r w:rsidRPr="00360171">
        <w:rPr>
          <w:rFonts w:ascii="Segoe UI Light" w:hAnsi="Segoe UI Light" w:cs="Segoe UI Light"/>
          <w:sz w:val="24"/>
          <w:szCs w:val="24"/>
        </w:rPr>
        <w:t xml:space="preserve">s commitment to </w:t>
      </w:r>
      <w:r w:rsidR="00D00D1B" w:rsidRPr="00360171">
        <w:rPr>
          <w:rFonts w:ascii="Segoe UI Light" w:hAnsi="Segoe UI Light" w:cs="Segoe UI Light"/>
          <w:sz w:val="24"/>
          <w:szCs w:val="24"/>
        </w:rPr>
        <w:t>drive</w:t>
      </w:r>
      <w:r w:rsidRPr="00360171">
        <w:rPr>
          <w:rFonts w:ascii="Segoe UI Light" w:hAnsi="Segoe UI Light" w:cs="Segoe UI Light"/>
          <w:sz w:val="24"/>
          <w:szCs w:val="24"/>
        </w:rPr>
        <w:t xml:space="preserve"> greater innovation and investment </w:t>
      </w:r>
      <w:r w:rsidR="006838BE">
        <w:rPr>
          <w:rFonts w:ascii="Segoe UI Light" w:hAnsi="Segoe UI Light" w:cs="Segoe UI Light"/>
          <w:sz w:val="24"/>
          <w:szCs w:val="24"/>
        </w:rPr>
        <w:t>via its</w:t>
      </w:r>
      <w:r w:rsidR="006838BE" w:rsidRPr="00360171">
        <w:rPr>
          <w:rFonts w:ascii="Segoe UI Light" w:hAnsi="Segoe UI Light" w:cs="Segoe UI Light"/>
          <w:sz w:val="24"/>
          <w:szCs w:val="24"/>
        </w:rPr>
        <w:t xml:space="preserve"> </w:t>
      </w:r>
      <w:r w:rsidRPr="00360171">
        <w:rPr>
          <w:rFonts w:ascii="Segoe UI Light" w:hAnsi="Segoe UI Light" w:cs="Segoe UI Light"/>
          <w:sz w:val="24"/>
          <w:szCs w:val="24"/>
        </w:rPr>
        <w:t xml:space="preserve">consultation </w:t>
      </w:r>
      <w:r w:rsidR="007737A2" w:rsidRPr="00360171">
        <w:rPr>
          <w:rFonts w:ascii="Segoe UI Light" w:hAnsi="Segoe UI Light" w:cs="Segoe UI Light"/>
          <w:sz w:val="24"/>
          <w:szCs w:val="24"/>
        </w:rPr>
        <w:t xml:space="preserve">on </w:t>
      </w:r>
      <w:r w:rsidR="006838BE">
        <w:rPr>
          <w:rFonts w:ascii="Segoe UI Light" w:hAnsi="Segoe UI Light" w:cs="Segoe UI Light"/>
          <w:sz w:val="24"/>
          <w:szCs w:val="24"/>
        </w:rPr>
        <w:t xml:space="preserve">the appropriate </w:t>
      </w:r>
      <w:r w:rsidRPr="00360171">
        <w:rPr>
          <w:rFonts w:ascii="Segoe UI Light" w:hAnsi="Segoe UI Light" w:cs="Segoe UI Light"/>
          <w:sz w:val="24"/>
          <w:szCs w:val="24"/>
        </w:rPr>
        <w:t xml:space="preserve">regulatory framework </w:t>
      </w:r>
      <w:r w:rsidR="006838BE">
        <w:rPr>
          <w:rFonts w:ascii="Segoe UI Light" w:hAnsi="Segoe UI Light" w:cs="Segoe UI Light"/>
          <w:sz w:val="24"/>
          <w:szCs w:val="24"/>
        </w:rPr>
        <w:t xml:space="preserve">for </w:t>
      </w:r>
      <w:r w:rsidRPr="00360171">
        <w:rPr>
          <w:rFonts w:ascii="Segoe UI Light" w:hAnsi="Segoe UI Light" w:cs="Segoe UI Light"/>
          <w:sz w:val="24"/>
          <w:szCs w:val="24"/>
        </w:rPr>
        <w:t>Crowd-sourced Equity Funding (CSEF) in Australia.</w:t>
      </w:r>
    </w:p>
    <w:p w14:paraId="7E9FFE1A" w14:textId="77777777" w:rsidR="00D8047F" w:rsidRPr="00360171" w:rsidRDefault="00D8047F" w:rsidP="00D66499">
      <w:pPr>
        <w:jc w:val="both"/>
        <w:rPr>
          <w:rFonts w:ascii="Segoe UI Light" w:hAnsi="Segoe UI Light" w:cs="Segoe UI Light"/>
          <w:sz w:val="24"/>
          <w:szCs w:val="24"/>
        </w:rPr>
      </w:pPr>
    </w:p>
    <w:p w14:paraId="5AE41C83" w14:textId="77777777" w:rsidR="00EC1864" w:rsidRDefault="001E5143" w:rsidP="00D66499">
      <w:pPr>
        <w:jc w:val="both"/>
        <w:rPr>
          <w:rFonts w:ascii="Segoe UI Light" w:hAnsi="Segoe UI Light" w:cs="Segoe UI Light"/>
          <w:sz w:val="24"/>
          <w:szCs w:val="24"/>
        </w:rPr>
      </w:pPr>
      <w:r w:rsidRPr="00360171">
        <w:rPr>
          <w:rFonts w:ascii="Segoe UI Light" w:hAnsi="Segoe UI Light" w:cs="Segoe UI Light"/>
          <w:sz w:val="24"/>
          <w:szCs w:val="24"/>
        </w:rPr>
        <w:t xml:space="preserve">CSEF is </w:t>
      </w:r>
      <w:r w:rsidR="00A55E81" w:rsidRPr="00360171">
        <w:rPr>
          <w:rFonts w:ascii="Segoe UI Light" w:hAnsi="Segoe UI Light" w:cs="Segoe UI Light"/>
          <w:sz w:val="24"/>
          <w:szCs w:val="24"/>
        </w:rPr>
        <w:t>a</w:t>
      </w:r>
      <w:r w:rsidR="0073492C" w:rsidRPr="00360171">
        <w:rPr>
          <w:rFonts w:ascii="Segoe UI Light" w:hAnsi="Segoe UI Light" w:cs="Segoe UI Light"/>
          <w:sz w:val="24"/>
          <w:szCs w:val="24"/>
        </w:rPr>
        <w:t xml:space="preserve">n innovative financing </w:t>
      </w:r>
      <w:r w:rsidR="006C444A">
        <w:rPr>
          <w:rFonts w:ascii="Segoe UI Light" w:hAnsi="Segoe UI Light" w:cs="Segoe UI Light"/>
          <w:sz w:val="24"/>
          <w:szCs w:val="24"/>
        </w:rPr>
        <w:t xml:space="preserve">tool which permits otherwise untapped </w:t>
      </w:r>
      <w:r w:rsidR="0073492C" w:rsidRPr="00360171">
        <w:rPr>
          <w:rFonts w:ascii="Segoe UI Light" w:hAnsi="Segoe UI Light" w:cs="Segoe UI Light"/>
          <w:sz w:val="24"/>
          <w:szCs w:val="24"/>
        </w:rPr>
        <w:t>source</w:t>
      </w:r>
      <w:r w:rsidR="008351F3" w:rsidRPr="00360171">
        <w:rPr>
          <w:rFonts w:ascii="Segoe UI Light" w:hAnsi="Segoe UI Light" w:cs="Segoe UI Light"/>
          <w:sz w:val="24"/>
          <w:szCs w:val="24"/>
        </w:rPr>
        <w:t>s</w:t>
      </w:r>
      <w:r w:rsidR="0073492C" w:rsidRPr="00360171">
        <w:rPr>
          <w:rFonts w:ascii="Segoe UI Light" w:hAnsi="Segoe UI Light" w:cs="Segoe UI Light"/>
          <w:sz w:val="24"/>
          <w:szCs w:val="24"/>
        </w:rPr>
        <w:t xml:space="preserve"> of f</w:t>
      </w:r>
      <w:r w:rsidR="006C444A">
        <w:rPr>
          <w:rFonts w:ascii="Segoe UI Light" w:hAnsi="Segoe UI Light" w:cs="Segoe UI Light"/>
          <w:sz w:val="24"/>
          <w:szCs w:val="24"/>
        </w:rPr>
        <w:t xml:space="preserve">inance to flow through to </w:t>
      </w:r>
      <w:r w:rsidR="007737A2" w:rsidRPr="00360171">
        <w:rPr>
          <w:rFonts w:ascii="Segoe UI Light" w:hAnsi="Segoe UI Light" w:cs="Segoe UI Light"/>
          <w:sz w:val="24"/>
          <w:szCs w:val="24"/>
        </w:rPr>
        <w:t xml:space="preserve">early stage ventures </w:t>
      </w:r>
      <w:r w:rsidR="006C444A">
        <w:rPr>
          <w:rFonts w:ascii="Segoe UI Light" w:hAnsi="Segoe UI Light" w:cs="Segoe UI Light"/>
          <w:sz w:val="24"/>
          <w:szCs w:val="24"/>
        </w:rPr>
        <w:t xml:space="preserve">and to </w:t>
      </w:r>
      <w:r w:rsidR="0073492C" w:rsidRPr="00360171">
        <w:rPr>
          <w:rFonts w:ascii="Segoe UI Light" w:hAnsi="Segoe UI Light" w:cs="Segoe UI Light"/>
          <w:sz w:val="24"/>
          <w:szCs w:val="24"/>
        </w:rPr>
        <w:t>business</w:t>
      </w:r>
      <w:r w:rsidR="006C444A">
        <w:rPr>
          <w:rFonts w:ascii="Segoe UI Light" w:hAnsi="Segoe UI Light" w:cs="Segoe UI Light"/>
          <w:sz w:val="24"/>
          <w:szCs w:val="24"/>
        </w:rPr>
        <w:t xml:space="preserve">es requiring funds for </w:t>
      </w:r>
      <w:r w:rsidR="0073492C" w:rsidRPr="00360171">
        <w:rPr>
          <w:rFonts w:ascii="Segoe UI Light" w:hAnsi="Segoe UI Light" w:cs="Segoe UI Light"/>
          <w:sz w:val="24"/>
          <w:szCs w:val="24"/>
        </w:rPr>
        <w:t>growth</w:t>
      </w:r>
      <w:r w:rsidR="006C444A">
        <w:rPr>
          <w:rFonts w:ascii="Segoe UI Light" w:hAnsi="Segoe UI Light" w:cs="Segoe UI Light"/>
          <w:sz w:val="24"/>
          <w:szCs w:val="24"/>
        </w:rPr>
        <w:t xml:space="preserve">.  It </w:t>
      </w:r>
      <w:r w:rsidR="00355B88">
        <w:rPr>
          <w:rFonts w:ascii="Segoe UI Light" w:hAnsi="Segoe UI Light" w:cs="Segoe UI Light"/>
          <w:sz w:val="24"/>
          <w:szCs w:val="24"/>
        </w:rPr>
        <w:t xml:space="preserve">concurrently </w:t>
      </w:r>
      <w:r w:rsidR="0073492C" w:rsidRPr="00360171">
        <w:rPr>
          <w:rFonts w:ascii="Segoe UI Light" w:hAnsi="Segoe UI Light" w:cs="Segoe UI Light"/>
          <w:sz w:val="24"/>
          <w:szCs w:val="24"/>
        </w:rPr>
        <w:t>provid</w:t>
      </w:r>
      <w:r w:rsidR="006C444A">
        <w:rPr>
          <w:rFonts w:ascii="Segoe UI Light" w:hAnsi="Segoe UI Light" w:cs="Segoe UI Light"/>
          <w:sz w:val="24"/>
          <w:szCs w:val="24"/>
        </w:rPr>
        <w:t xml:space="preserve">es </w:t>
      </w:r>
      <w:r w:rsidR="00563E99">
        <w:rPr>
          <w:rFonts w:ascii="Segoe UI Light" w:hAnsi="Segoe UI Light" w:cs="Segoe UI Light"/>
          <w:sz w:val="24"/>
          <w:szCs w:val="24"/>
        </w:rPr>
        <w:t xml:space="preserve">further </w:t>
      </w:r>
      <w:r w:rsidR="0073492C" w:rsidRPr="00360171">
        <w:rPr>
          <w:rFonts w:ascii="Segoe UI Light" w:hAnsi="Segoe UI Light" w:cs="Segoe UI Light"/>
          <w:sz w:val="24"/>
          <w:szCs w:val="24"/>
        </w:rPr>
        <w:t>access to investment opportunities to retail investors</w:t>
      </w:r>
      <w:r w:rsidR="00355B88">
        <w:rPr>
          <w:rFonts w:ascii="Segoe UI Light" w:hAnsi="Segoe UI Light" w:cs="Segoe UI Light"/>
          <w:sz w:val="24"/>
          <w:szCs w:val="24"/>
        </w:rPr>
        <w:t xml:space="preserve"> which heretofore, have been </w:t>
      </w:r>
      <w:r w:rsidR="00563E99">
        <w:rPr>
          <w:rFonts w:ascii="Segoe UI Light" w:hAnsi="Segoe UI Light" w:cs="Segoe UI Light"/>
          <w:sz w:val="24"/>
          <w:szCs w:val="24"/>
        </w:rPr>
        <w:t>limited in this context</w:t>
      </w:r>
      <w:r w:rsidR="0073492C" w:rsidRPr="00360171">
        <w:rPr>
          <w:rFonts w:ascii="Segoe UI Light" w:hAnsi="Segoe UI Light" w:cs="Segoe UI Light"/>
          <w:sz w:val="24"/>
          <w:szCs w:val="24"/>
        </w:rPr>
        <w:t>.</w:t>
      </w:r>
    </w:p>
    <w:p w14:paraId="7C26AB2C" w14:textId="77777777" w:rsidR="00D8047F" w:rsidRPr="00360171" w:rsidRDefault="00D8047F" w:rsidP="00D66499">
      <w:pPr>
        <w:jc w:val="both"/>
        <w:rPr>
          <w:rFonts w:ascii="Segoe UI Light" w:hAnsi="Segoe UI Light" w:cs="Segoe UI Light"/>
          <w:sz w:val="24"/>
          <w:szCs w:val="24"/>
        </w:rPr>
      </w:pPr>
    </w:p>
    <w:p w14:paraId="7281B22A" w14:textId="77777777" w:rsidR="0056039E" w:rsidRDefault="00911971" w:rsidP="00D66499">
      <w:pPr>
        <w:jc w:val="both"/>
        <w:rPr>
          <w:rFonts w:ascii="Segoe UI Light" w:hAnsi="Segoe UI Light" w:cs="Segoe UI Light"/>
          <w:sz w:val="24"/>
          <w:szCs w:val="24"/>
        </w:rPr>
      </w:pPr>
      <w:r>
        <w:rPr>
          <w:rFonts w:ascii="Segoe UI Light" w:hAnsi="Segoe UI Light" w:cs="Segoe UI Light"/>
          <w:sz w:val="24"/>
          <w:szCs w:val="24"/>
        </w:rPr>
        <w:t>N</w:t>
      </w:r>
      <w:r w:rsidR="00D00D1B" w:rsidRPr="00360171">
        <w:rPr>
          <w:rFonts w:ascii="Segoe UI Light" w:hAnsi="Segoe UI Light" w:cs="Segoe UI Light"/>
          <w:sz w:val="24"/>
          <w:szCs w:val="24"/>
        </w:rPr>
        <w:t>ew ventures and small business</w:t>
      </w:r>
      <w:r>
        <w:rPr>
          <w:rFonts w:ascii="Segoe UI Light" w:hAnsi="Segoe UI Light" w:cs="Segoe UI Light"/>
          <w:sz w:val="24"/>
          <w:szCs w:val="24"/>
        </w:rPr>
        <w:t>es</w:t>
      </w:r>
      <w:r w:rsidR="00D00D1B" w:rsidRPr="00360171">
        <w:rPr>
          <w:rFonts w:ascii="Segoe UI Light" w:hAnsi="Segoe UI Light" w:cs="Segoe UI Light"/>
          <w:sz w:val="24"/>
          <w:szCs w:val="24"/>
        </w:rPr>
        <w:t xml:space="preserve"> are a significant driver of productivity and economic growth, </w:t>
      </w:r>
      <w:r>
        <w:rPr>
          <w:rFonts w:ascii="Segoe UI Light" w:hAnsi="Segoe UI Light" w:cs="Segoe UI Light"/>
          <w:sz w:val="24"/>
          <w:szCs w:val="24"/>
        </w:rPr>
        <w:t xml:space="preserve">however </w:t>
      </w:r>
      <w:r w:rsidR="00D00D1B" w:rsidRPr="00360171">
        <w:rPr>
          <w:rFonts w:ascii="Segoe UI Light" w:hAnsi="Segoe UI Light" w:cs="Segoe UI Light"/>
          <w:sz w:val="24"/>
          <w:szCs w:val="24"/>
        </w:rPr>
        <w:t xml:space="preserve">obtaining access to </w:t>
      </w:r>
      <w:r w:rsidR="00CE2452" w:rsidRPr="00360171">
        <w:rPr>
          <w:rFonts w:ascii="Segoe UI Light" w:hAnsi="Segoe UI Light" w:cs="Segoe UI Light"/>
          <w:sz w:val="24"/>
          <w:szCs w:val="24"/>
        </w:rPr>
        <w:t xml:space="preserve">funds has proved increasingly </w:t>
      </w:r>
      <w:r w:rsidR="00841F2F" w:rsidRPr="00360171">
        <w:rPr>
          <w:rFonts w:ascii="Segoe UI Light" w:hAnsi="Segoe UI Light" w:cs="Segoe UI Light"/>
          <w:sz w:val="24"/>
          <w:szCs w:val="24"/>
        </w:rPr>
        <w:t>difficult</w:t>
      </w:r>
      <w:r>
        <w:rPr>
          <w:rFonts w:ascii="Segoe UI Light" w:hAnsi="Segoe UI Light" w:cs="Segoe UI Light"/>
          <w:sz w:val="24"/>
          <w:szCs w:val="24"/>
        </w:rPr>
        <w:t>; especially</w:t>
      </w:r>
      <w:r w:rsidR="002522EB">
        <w:rPr>
          <w:rFonts w:ascii="Segoe UI Light" w:hAnsi="Segoe UI Light" w:cs="Segoe UI Light"/>
          <w:sz w:val="24"/>
          <w:szCs w:val="24"/>
        </w:rPr>
        <w:t xml:space="preserve"> </w:t>
      </w:r>
      <w:r>
        <w:rPr>
          <w:rFonts w:ascii="Segoe UI Light" w:hAnsi="Segoe UI Light" w:cs="Segoe UI Light"/>
          <w:sz w:val="24"/>
          <w:szCs w:val="24"/>
        </w:rPr>
        <w:t>in the present economic climate</w:t>
      </w:r>
      <w:r w:rsidR="00841F2F" w:rsidRPr="00360171">
        <w:rPr>
          <w:rFonts w:ascii="Segoe UI Light" w:hAnsi="Segoe UI Light" w:cs="Segoe UI Light"/>
          <w:sz w:val="24"/>
          <w:szCs w:val="24"/>
        </w:rPr>
        <w:t xml:space="preserve">. </w:t>
      </w:r>
      <w:r>
        <w:rPr>
          <w:rFonts w:ascii="Segoe UI Light" w:hAnsi="Segoe UI Light" w:cs="Segoe UI Light"/>
          <w:sz w:val="24"/>
          <w:szCs w:val="24"/>
        </w:rPr>
        <w:t xml:space="preserve"> This difficulty has been exacerbated by the re</w:t>
      </w:r>
      <w:r w:rsidR="00D00D1B" w:rsidRPr="00360171">
        <w:rPr>
          <w:rFonts w:ascii="Segoe UI Light" w:hAnsi="Segoe UI Light" w:cs="Segoe UI Light"/>
          <w:sz w:val="24"/>
          <w:szCs w:val="24"/>
        </w:rPr>
        <w:t xml:space="preserve">gulatory restrictions prohibiting businesses </w:t>
      </w:r>
      <w:r w:rsidR="00841F2F" w:rsidRPr="00360171">
        <w:rPr>
          <w:rFonts w:ascii="Segoe UI Light" w:hAnsi="Segoe UI Light" w:cs="Segoe UI Light"/>
          <w:sz w:val="24"/>
          <w:szCs w:val="24"/>
        </w:rPr>
        <w:t xml:space="preserve">from </w:t>
      </w:r>
      <w:r w:rsidR="00223A6F" w:rsidRPr="00360171">
        <w:rPr>
          <w:rFonts w:ascii="Segoe UI Light" w:hAnsi="Segoe UI Light" w:cs="Segoe UI Light"/>
          <w:sz w:val="24"/>
          <w:szCs w:val="24"/>
        </w:rPr>
        <w:t>raising capital</w:t>
      </w:r>
      <w:r w:rsidR="00CE2452" w:rsidRPr="00360171">
        <w:rPr>
          <w:rFonts w:ascii="Segoe UI Light" w:hAnsi="Segoe UI Light" w:cs="Segoe UI Light"/>
          <w:sz w:val="24"/>
          <w:szCs w:val="24"/>
        </w:rPr>
        <w:t>.</w:t>
      </w:r>
      <w:r w:rsidR="00FA0D68">
        <w:rPr>
          <w:rFonts w:ascii="Segoe UI Light" w:hAnsi="Segoe UI Light" w:cs="Segoe UI Light"/>
          <w:sz w:val="24"/>
          <w:szCs w:val="24"/>
        </w:rPr>
        <w:t xml:space="preserve">  Whilst </w:t>
      </w:r>
      <w:proofErr w:type="spellStart"/>
      <w:r w:rsidR="00FA0D68">
        <w:rPr>
          <w:rFonts w:ascii="Segoe UI Light" w:hAnsi="Segoe UI Light" w:cs="Segoe UI Light"/>
          <w:b/>
          <w:i/>
          <w:sz w:val="24"/>
          <w:szCs w:val="24"/>
        </w:rPr>
        <w:t>incubatr</w:t>
      </w:r>
      <w:proofErr w:type="spellEnd"/>
      <w:r w:rsidR="00223A6F" w:rsidRPr="00360171">
        <w:rPr>
          <w:rFonts w:ascii="Segoe UI Light" w:hAnsi="Segoe UI Light" w:cs="Segoe UI Light"/>
          <w:sz w:val="24"/>
          <w:szCs w:val="24"/>
        </w:rPr>
        <w:t xml:space="preserve"> </w:t>
      </w:r>
      <w:r w:rsidR="00FA0D68">
        <w:rPr>
          <w:rFonts w:ascii="Segoe UI Light" w:hAnsi="Segoe UI Light" w:cs="Segoe UI Light"/>
          <w:sz w:val="24"/>
          <w:szCs w:val="24"/>
        </w:rPr>
        <w:t xml:space="preserve">acknowledges that the disclosure requirements (and other regulatory restrictions) </w:t>
      </w:r>
      <w:r w:rsidR="006202D7">
        <w:rPr>
          <w:rFonts w:ascii="Segoe UI Light" w:hAnsi="Segoe UI Light" w:cs="Segoe UI Light"/>
          <w:sz w:val="24"/>
          <w:szCs w:val="24"/>
        </w:rPr>
        <w:t>s</w:t>
      </w:r>
      <w:r w:rsidR="00223A6F" w:rsidRPr="00360171">
        <w:rPr>
          <w:rFonts w:ascii="Segoe UI Light" w:hAnsi="Segoe UI Light" w:cs="Segoe UI Light"/>
          <w:sz w:val="24"/>
          <w:szCs w:val="24"/>
        </w:rPr>
        <w:t>e</w:t>
      </w:r>
      <w:r w:rsidR="006202D7">
        <w:rPr>
          <w:rFonts w:ascii="Segoe UI Light" w:hAnsi="Segoe UI Light" w:cs="Segoe UI Light"/>
          <w:sz w:val="24"/>
          <w:szCs w:val="24"/>
        </w:rPr>
        <w:t xml:space="preserve">rve an important consumer protection function, given the revolution in technology and the opportunity this presents for innovation and growth, a </w:t>
      </w:r>
      <w:r w:rsidR="00223A6F" w:rsidRPr="00360171">
        <w:rPr>
          <w:rFonts w:ascii="Segoe UI Light" w:hAnsi="Segoe UI Light" w:cs="Segoe UI Light"/>
          <w:sz w:val="24"/>
          <w:szCs w:val="24"/>
        </w:rPr>
        <w:t>CSEF regulatory framework</w:t>
      </w:r>
      <w:r w:rsidR="00CE2452" w:rsidRPr="00360171">
        <w:rPr>
          <w:rFonts w:ascii="Segoe UI Light" w:hAnsi="Segoe UI Light" w:cs="Segoe UI Light"/>
          <w:sz w:val="24"/>
          <w:szCs w:val="24"/>
        </w:rPr>
        <w:t xml:space="preserve"> </w:t>
      </w:r>
      <w:r w:rsidR="006202D7">
        <w:rPr>
          <w:rFonts w:ascii="Segoe UI Light" w:hAnsi="Segoe UI Light" w:cs="Segoe UI Light"/>
          <w:sz w:val="24"/>
          <w:szCs w:val="24"/>
        </w:rPr>
        <w:t>which seizes upon this opportunity whilst maintaining appropriate safeguards for investors is highly desirable</w:t>
      </w:r>
      <w:r w:rsidR="00223A6F" w:rsidRPr="00360171">
        <w:rPr>
          <w:rFonts w:ascii="Segoe UI Light" w:hAnsi="Segoe UI Light" w:cs="Segoe UI Light"/>
          <w:sz w:val="24"/>
          <w:szCs w:val="24"/>
        </w:rPr>
        <w:t>.</w:t>
      </w:r>
    </w:p>
    <w:p w14:paraId="749CE6C5" w14:textId="77777777" w:rsidR="00D8047F" w:rsidRPr="00360171" w:rsidRDefault="00D8047F" w:rsidP="00D66499">
      <w:pPr>
        <w:jc w:val="both"/>
        <w:rPr>
          <w:rFonts w:ascii="Segoe UI Light" w:hAnsi="Segoe UI Light" w:cs="Segoe UI Light"/>
          <w:sz w:val="24"/>
          <w:szCs w:val="24"/>
        </w:rPr>
      </w:pPr>
    </w:p>
    <w:p w14:paraId="424E1AF6" w14:textId="77777777" w:rsidR="00245972" w:rsidRDefault="00BB2472" w:rsidP="00D66499">
      <w:pPr>
        <w:jc w:val="both"/>
        <w:rPr>
          <w:rFonts w:ascii="Segoe UI Light" w:hAnsi="Segoe UI Light" w:cs="Segoe UI Light"/>
          <w:sz w:val="24"/>
          <w:szCs w:val="24"/>
        </w:rPr>
      </w:pPr>
      <w:r>
        <w:rPr>
          <w:rFonts w:ascii="Segoe UI Light" w:hAnsi="Segoe UI Light" w:cs="Segoe UI Light"/>
          <w:sz w:val="24"/>
          <w:szCs w:val="24"/>
        </w:rPr>
        <w:t xml:space="preserve">It is appropriate that any review of the </w:t>
      </w:r>
      <w:r w:rsidR="00AD77B3" w:rsidRPr="00360171">
        <w:rPr>
          <w:rFonts w:ascii="Segoe UI Light" w:hAnsi="Segoe UI Light" w:cs="Segoe UI Light"/>
          <w:sz w:val="24"/>
          <w:szCs w:val="24"/>
        </w:rPr>
        <w:t>regulatory framework should consider the three core players in the CSEF model; the investors (</w:t>
      </w:r>
      <w:r>
        <w:rPr>
          <w:rFonts w:ascii="Segoe UI Light" w:hAnsi="Segoe UI Light" w:cs="Segoe UI Light"/>
          <w:sz w:val="24"/>
          <w:szCs w:val="24"/>
        </w:rPr>
        <w:t xml:space="preserve">whether they be </w:t>
      </w:r>
      <w:r w:rsidR="00AD77B3" w:rsidRPr="00360171">
        <w:rPr>
          <w:rFonts w:ascii="Segoe UI Light" w:hAnsi="Segoe UI Light" w:cs="Segoe UI Light"/>
          <w:sz w:val="24"/>
          <w:szCs w:val="24"/>
        </w:rPr>
        <w:t xml:space="preserve">retail </w:t>
      </w:r>
      <w:r>
        <w:rPr>
          <w:rFonts w:ascii="Segoe UI Light" w:hAnsi="Segoe UI Light" w:cs="Segoe UI Light"/>
          <w:sz w:val="24"/>
          <w:szCs w:val="24"/>
        </w:rPr>
        <w:t>or sophisticated</w:t>
      </w:r>
      <w:r w:rsidR="00AD77B3" w:rsidRPr="00360171">
        <w:rPr>
          <w:rFonts w:ascii="Segoe UI Light" w:hAnsi="Segoe UI Light" w:cs="Segoe UI Light"/>
          <w:sz w:val="24"/>
          <w:szCs w:val="24"/>
        </w:rPr>
        <w:t>), the new ventures and businesses seeking capital</w:t>
      </w:r>
      <w:r>
        <w:rPr>
          <w:rFonts w:ascii="Segoe UI Light" w:hAnsi="Segoe UI Light" w:cs="Segoe UI Light"/>
          <w:sz w:val="24"/>
          <w:szCs w:val="24"/>
        </w:rPr>
        <w:t>,</w:t>
      </w:r>
      <w:r w:rsidR="00AD77B3" w:rsidRPr="00360171">
        <w:rPr>
          <w:rFonts w:ascii="Segoe UI Light" w:hAnsi="Segoe UI Light" w:cs="Segoe UI Light"/>
          <w:sz w:val="24"/>
          <w:szCs w:val="24"/>
        </w:rPr>
        <w:t xml:space="preserve"> and the intermediaries whose platforms make the CSEF model feasible and efficient.</w:t>
      </w:r>
      <w:r w:rsidR="003B7C6C" w:rsidRPr="00360171">
        <w:rPr>
          <w:rFonts w:ascii="Segoe UI Light" w:hAnsi="Segoe UI Light" w:cs="Segoe UI Light"/>
          <w:sz w:val="24"/>
          <w:szCs w:val="24"/>
        </w:rPr>
        <w:t xml:space="preserve"> A suitable regulatory framework should ensure </w:t>
      </w:r>
      <w:r w:rsidR="00B83B4A">
        <w:rPr>
          <w:rFonts w:ascii="Segoe UI Light" w:hAnsi="Segoe UI Light" w:cs="Segoe UI Light"/>
          <w:sz w:val="24"/>
          <w:szCs w:val="24"/>
        </w:rPr>
        <w:t>viability for the intermediary</w:t>
      </w:r>
      <w:r w:rsidR="00A73CAA">
        <w:rPr>
          <w:rFonts w:ascii="Segoe UI Light" w:hAnsi="Segoe UI Light" w:cs="Segoe UI Light"/>
          <w:sz w:val="24"/>
          <w:szCs w:val="24"/>
        </w:rPr>
        <w:t>,</w:t>
      </w:r>
      <w:r w:rsidR="00B83B4A">
        <w:rPr>
          <w:rFonts w:ascii="Segoe UI Light" w:hAnsi="Segoe UI Light" w:cs="Segoe UI Light"/>
          <w:sz w:val="24"/>
          <w:szCs w:val="24"/>
        </w:rPr>
        <w:t xml:space="preserve"> </w:t>
      </w:r>
      <w:r w:rsidR="00807D15">
        <w:rPr>
          <w:rFonts w:ascii="Segoe UI Light" w:hAnsi="Segoe UI Light" w:cs="Segoe UI Light"/>
          <w:sz w:val="24"/>
          <w:szCs w:val="24"/>
        </w:rPr>
        <w:t xml:space="preserve">whilst also providing </w:t>
      </w:r>
      <w:r w:rsidR="00B95504" w:rsidRPr="00360171">
        <w:rPr>
          <w:rFonts w:ascii="Segoe UI Light" w:hAnsi="Segoe UI Light" w:cs="Segoe UI Light"/>
          <w:sz w:val="24"/>
          <w:szCs w:val="24"/>
        </w:rPr>
        <w:t xml:space="preserve">opportunity for </w:t>
      </w:r>
      <w:r w:rsidR="00B83B4A">
        <w:rPr>
          <w:rFonts w:ascii="Segoe UI Light" w:hAnsi="Segoe UI Light" w:cs="Segoe UI Light"/>
          <w:sz w:val="24"/>
          <w:szCs w:val="24"/>
        </w:rPr>
        <w:t>issuer</w:t>
      </w:r>
      <w:r w:rsidR="003E7EAD">
        <w:rPr>
          <w:rFonts w:ascii="Segoe UI Light" w:hAnsi="Segoe UI Light" w:cs="Segoe UI Light"/>
          <w:sz w:val="24"/>
          <w:szCs w:val="24"/>
        </w:rPr>
        <w:t>s</w:t>
      </w:r>
      <w:r w:rsidR="00B95504" w:rsidRPr="00360171">
        <w:rPr>
          <w:rFonts w:ascii="Segoe UI Light" w:hAnsi="Segoe UI Light" w:cs="Segoe UI Light"/>
          <w:sz w:val="24"/>
          <w:szCs w:val="24"/>
        </w:rPr>
        <w:t xml:space="preserve"> </w:t>
      </w:r>
      <w:r w:rsidR="00B83B4A">
        <w:rPr>
          <w:rFonts w:ascii="Segoe UI Light" w:hAnsi="Segoe UI Light" w:cs="Segoe UI Light"/>
          <w:sz w:val="24"/>
          <w:szCs w:val="24"/>
        </w:rPr>
        <w:t xml:space="preserve">and </w:t>
      </w:r>
      <w:r w:rsidR="00B95504" w:rsidRPr="00360171">
        <w:rPr>
          <w:rFonts w:ascii="Segoe UI Light" w:hAnsi="Segoe UI Light" w:cs="Segoe UI Light"/>
          <w:sz w:val="24"/>
          <w:szCs w:val="24"/>
        </w:rPr>
        <w:t xml:space="preserve">the </w:t>
      </w:r>
      <w:r w:rsidR="00B83B4A">
        <w:rPr>
          <w:rFonts w:ascii="Segoe UI Light" w:hAnsi="Segoe UI Light" w:cs="Segoe UI Light"/>
          <w:sz w:val="24"/>
          <w:szCs w:val="24"/>
        </w:rPr>
        <w:t>necessary safeguards for investor</w:t>
      </w:r>
      <w:r w:rsidR="00A73CAA">
        <w:rPr>
          <w:rFonts w:ascii="Segoe UI Light" w:hAnsi="Segoe UI Light" w:cs="Segoe UI Light"/>
          <w:sz w:val="24"/>
          <w:szCs w:val="24"/>
        </w:rPr>
        <w:t>s</w:t>
      </w:r>
      <w:r w:rsidR="00B95504" w:rsidRPr="00360171">
        <w:rPr>
          <w:rFonts w:ascii="Segoe UI Light" w:hAnsi="Segoe UI Light" w:cs="Segoe UI Light"/>
          <w:sz w:val="24"/>
          <w:szCs w:val="24"/>
        </w:rPr>
        <w:t xml:space="preserve">.  </w:t>
      </w:r>
    </w:p>
    <w:p w14:paraId="496D31E6" w14:textId="77777777" w:rsidR="00D8047F" w:rsidRPr="00360171" w:rsidRDefault="00D8047F" w:rsidP="00D66499">
      <w:pPr>
        <w:jc w:val="both"/>
        <w:rPr>
          <w:rFonts w:ascii="Segoe UI Light" w:hAnsi="Segoe UI Light" w:cs="Segoe UI Light"/>
          <w:sz w:val="24"/>
          <w:szCs w:val="24"/>
        </w:rPr>
      </w:pPr>
    </w:p>
    <w:p w14:paraId="7D2018EC" w14:textId="77777777" w:rsidR="001A1E8F" w:rsidRDefault="00AB5028" w:rsidP="00D66499">
      <w:pPr>
        <w:jc w:val="both"/>
        <w:rPr>
          <w:rFonts w:ascii="Segoe UI Light" w:hAnsi="Segoe UI Light" w:cs="Segoe UI Light"/>
          <w:sz w:val="24"/>
          <w:szCs w:val="24"/>
        </w:rPr>
      </w:pPr>
      <w:proofErr w:type="spellStart"/>
      <w:r w:rsidRPr="00360171">
        <w:rPr>
          <w:rFonts w:ascii="Segoe UI Light" w:hAnsi="Segoe UI Light" w:cs="Segoe UI Light"/>
          <w:b/>
          <w:i/>
          <w:sz w:val="24"/>
          <w:szCs w:val="24"/>
        </w:rPr>
        <w:t>I</w:t>
      </w:r>
      <w:r w:rsidR="00DC0F94" w:rsidRPr="00360171">
        <w:rPr>
          <w:rFonts w:ascii="Segoe UI Light" w:hAnsi="Segoe UI Light" w:cs="Segoe UI Light"/>
          <w:b/>
          <w:i/>
          <w:sz w:val="24"/>
          <w:szCs w:val="24"/>
        </w:rPr>
        <w:t>ncubatr</w:t>
      </w:r>
      <w:proofErr w:type="spellEnd"/>
      <w:r w:rsidRPr="00360171">
        <w:rPr>
          <w:rFonts w:ascii="Segoe UI Light" w:hAnsi="Segoe UI Light" w:cs="Segoe UI Light"/>
          <w:b/>
          <w:i/>
          <w:sz w:val="24"/>
          <w:szCs w:val="24"/>
        </w:rPr>
        <w:t xml:space="preserve"> </w:t>
      </w:r>
      <w:r w:rsidR="00DC0F94" w:rsidRPr="00360171">
        <w:rPr>
          <w:rFonts w:ascii="Segoe UI Light" w:hAnsi="Segoe UI Light" w:cs="Segoe UI Light"/>
          <w:sz w:val="24"/>
          <w:szCs w:val="24"/>
        </w:rPr>
        <w:t>holds that the New Zealand mode</w:t>
      </w:r>
      <w:r w:rsidR="00801C5A">
        <w:rPr>
          <w:rFonts w:ascii="Segoe UI Light" w:hAnsi="Segoe UI Light" w:cs="Segoe UI Light"/>
          <w:sz w:val="24"/>
          <w:szCs w:val="24"/>
        </w:rPr>
        <w:t>l</w:t>
      </w:r>
      <w:r w:rsidR="00BC3F68" w:rsidRPr="00360171">
        <w:rPr>
          <w:rFonts w:ascii="Segoe UI Light" w:hAnsi="Segoe UI Light" w:cs="Segoe UI Light"/>
          <w:sz w:val="24"/>
          <w:szCs w:val="24"/>
        </w:rPr>
        <w:t xml:space="preserve"> </w:t>
      </w:r>
      <w:r w:rsidR="00EC28B7" w:rsidRPr="00360171">
        <w:rPr>
          <w:rFonts w:ascii="Segoe UI Light" w:hAnsi="Segoe UI Light" w:cs="Segoe UI Light"/>
          <w:sz w:val="24"/>
          <w:szCs w:val="24"/>
        </w:rPr>
        <w:t xml:space="preserve">strikes </w:t>
      </w:r>
      <w:r w:rsidR="00F266A0">
        <w:rPr>
          <w:rFonts w:ascii="Segoe UI Light" w:hAnsi="Segoe UI Light" w:cs="Segoe UI Light"/>
          <w:sz w:val="24"/>
          <w:szCs w:val="24"/>
        </w:rPr>
        <w:t>a reasonable</w:t>
      </w:r>
      <w:r w:rsidR="003E7EAD">
        <w:rPr>
          <w:rFonts w:ascii="Segoe UI Light" w:hAnsi="Segoe UI Light" w:cs="Segoe UI Light"/>
          <w:sz w:val="24"/>
          <w:szCs w:val="24"/>
        </w:rPr>
        <w:t xml:space="preserve"> </w:t>
      </w:r>
      <w:r w:rsidR="00DC0F94" w:rsidRPr="00360171">
        <w:rPr>
          <w:rFonts w:ascii="Segoe UI Light" w:hAnsi="Segoe UI Light" w:cs="Segoe UI Light"/>
          <w:sz w:val="24"/>
          <w:szCs w:val="24"/>
        </w:rPr>
        <w:t xml:space="preserve">balance </w:t>
      </w:r>
      <w:r w:rsidR="002F2715">
        <w:rPr>
          <w:rFonts w:ascii="Segoe UI Light" w:hAnsi="Segoe UI Light" w:cs="Segoe UI Light"/>
          <w:sz w:val="24"/>
          <w:szCs w:val="24"/>
        </w:rPr>
        <w:t xml:space="preserve">in </w:t>
      </w:r>
      <w:r w:rsidR="003E7EAD">
        <w:rPr>
          <w:rFonts w:ascii="Segoe UI Light" w:hAnsi="Segoe UI Light" w:cs="Segoe UI Light"/>
          <w:sz w:val="24"/>
          <w:szCs w:val="24"/>
        </w:rPr>
        <w:t xml:space="preserve">achieving the above stated goals.  Whilst </w:t>
      </w:r>
      <w:r w:rsidR="006356D3" w:rsidRPr="00360171">
        <w:rPr>
          <w:rFonts w:ascii="Segoe UI Light" w:hAnsi="Segoe UI Light" w:cs="Segoe UI Light"/>
          <w:sz w:val="24"/>
          <w:szCs w:val="24"/>
        </w:rPr>
        <w:t>the CAMAC model provides a suitable balance for supporting investment, reducing compliance costs for issuers and maintaining an appropriate level of investor protection</w:t>
      </w:r>
      <w:r w:rsidR="003E7EAD">
        <w:rPr>
          <w:rFonts w:ascii="Segoe UI Light" w:hAnsi="Segoe UI Light" w:cs="Segoe UI Light"/>
          <w:sz w:val="24"/>
          <w:szCs w:val="24"/>
        </w:rPr>
        <w:t xml:space="preserve">, the suggested requirement for an Australian Financial Services License (AFSL), instead of a tailored licensing regime makes </w:t>
      </w:r>
      <w:r w:rsidR="00F608FF">
        <w:rPr>
          <w:rFonts w:ascii="Segoe UI Light" w:hAnsi="Segoe UI Light" w:cs="Segoe UI Light"/>
          <w:sz w:val="24"/>
          <w:szCs w:val="24"/>
        </w:rPr>
        <w:t xml:space="preserve">its </w:t>
      </w:r>
      <w:r w:rsidR="003E7EAD">
        <w:rPr>
          <w:rFonts w:ascii="Segoe UI Light" w:hAnsi="Segoe UI Light" w:cs="Segoe UI Light"/>
          <w:sz w:val="24"/>
          <w:szCs w:val="24"/>
        </w:rPr>
        <w:t xml:space="preserve">viability for intermediaries </w:t>
      </w:r>
      <w:r w:rsidR="00306BA3">
        <w:rPr>
          <w:rFonts w:ascii="Segoe UI Light" w:hAnsi="Segoe UI Light" w:cs="Segoe UI Light"/>
          <w:sz w:val="24"/>
          <w:szCs w:val="24"/>
        </w:rPr>
        <w:t>questionable</w:t>
      </w:r>
      <w:r w:rsidR="003E7EAD">
        <w:rPr>
          <w:rFonts w:ascii="Segoe UI Light" w:hAnsi="Segoe UI Light" w:cs="Segoe UI Light"/>
          <w:sz w:val="24"/>
          <w:szCs w:val="24"/>
        </w:rPr>
        <w:t>.</w:t>
      </w:r>
      <w:r w:rsidR="00F12508">
        <w:rPr>
          <w:rFonts w:ascii="Segoe UI Light" w:hAnsi="Segoe UI Light" w:cs="Segoe UI Light"/>
          <w:sz w:val="24"/>
          <w:szCs w:val="24"/>
        </w:rPr>
        <w:t xml:space="preserve">  </w:t>
      </w:r>
    </w:p>
    <w:p w14:paraId="536903CE" w14:textId="77777777" w:rsidR="001A1E8F" w:rsidRDefault="001A1E8F" w:rsidP="00D66499">
      <w:pPr>
        <w:jc w:val="both"/>
        <w:rPr>
          <w:rFonts w:ascii="Segoe UI Light" w:hAnsi="Segoe UI Light" w:cs="Segoe UI Light"/>
          <w:sz w:val="24"/>
          <w:szCs w:val="24"/>
        </w:rPr>
      </w:pPr>
    </w:p>
    <w:p w14:paraId="7EC3C93A" w14:textId="77777777" w:rsidR="00D8047F" w:rsidRDefault="00F608FF" w:rsidP="00D66499">
      <w:pPr>
        <w:jc w:val="both"/>
        <w:rPr>
          <w:rFonts w:ascii="Segoe UI Light" w:hAnsi="Segoe UI Light" w:cs="Segoe UI Light"/>
          <w:sz w:val="24"/>
          <w:szCs w:val="24"/>
        </w:rPr>
      </w:pPr>
      <w:r>
        <w:rPr>
          <w:rFonts w:ascii="Segoe UI Light" w:hAnsi="Segoe UI Light" w:cs="Segoe UI Light"/>
          <w:sz w:val="24"/>
          <w:szCs w:val="24"/>
        </w:rPr>
        <w:lastRenderedPageBreak/>
        <w:t>M</w:t>
      </w:r>
      <w:r w:rsidR="003E7EAD">
        <w:rPr>
          <w:rFonts w:ascii="Segoe UI Light" w:hAnsi="Segoe UI Light" w:cs="Segoe UI Light"/>
          <w:sz w:val="24"/>
          <w:szCs w:val="24"/>
        </w:rPr>
        <w:t xml:space="preserve">aintaining the present regulatory position (that is, the status quo), </w:t>
      </w:r>
      <w:proofErr w:type="spellStart"/>
      <w:r w:rsidRPr="00A9751C">
        <w:rPr>
          <w:rFonts w:ascii="Segoe UI Light" w:hAnsi="Segoe UI Light" w:cs="Segoe UI Light"/>
          <w:b/>
          <w:i/>
          <w:sz w:val="24"/>
          <w:szCs w:val="24"/>
        </w:rPr>
        <w:t>incubatr</w:t>
      </w:r>
      <w:proofErr w:type="spellEnd"/>
      <w:r w:rsidRPr="00F608FF">
        <w:rPr>
          <w:rFonts w:ascii="Segoe UI Light" w:hAnsi="Segoe UI Light" w:cs="Segoe UI Light"/>
          <w:sz w:val="24"/>
          <w:szCs w:val="24"/>
        </w:rPr>
        <w:t xml:space="preserve"> submits</w:t>
      </w:r>
      <w:r w:rsidR="00527324">
        <w:rPr>
          <w:rFonts w:ascii="Segoe UI Light" w:hAnsi="Segoe UI Light" w:cs="Segoe UI Light"/>
          <w:sz w:val="24"/>
          <w:szCs w:val="24"/>
        </w:rPr>
        <w:t>,</w:t>
      </w:r>
      <w:r>
        <w:rPr>
          <w:rFonts w:ascii="Segoe UI Light" w:hAnsi="Segoe UI Light" w:cs="Segoe UI Light"/>
          <w:sz w:val="24"/>
          <w:szCs w:val="24"/>
        </w:rPr>
        <w:t xml:space="preserve"> </w:t>
      </w:r>
      <w:r w:rsidR="003E7EAD">
        <w:rPr>
          <w:rFonts w:ascii="Segoe UI Light" w:hAnsi="Segoe UI Light" w:cs="Segoe UI Light"/>
          <w:sz w:val="24"/>
          <w:szCs w:val="24"/>
        </w:rPr>
        <w:t xml:space="preserve">is </w:t>
      </w:r>
      <w:r w:rsidR="001A1E8F">
        <w:rPr>
          <w:rFonts w:ascii="Segoe UI Light" w:hAnsi="Segoe UI Light" w:cs="Segoe UI Light"/>
          <w:sz w:val="24"/>
          <w:szCs w:val="24"/>
        </w:rPr>
        <w:t>not</w:t>
      </w:r>
      <w:r w:rsidR="00A22A75">
        <w:rPr>
          <w:rFonts w:ascii="Segoe UI Light" w:hAnsi="Segoe UI Light" w:cs="Segoe UI Light"/>
          <w:sz w:val="24"/>
          <w:szCs w:val="24"/>
        </w:rPr>
        <w:t xml:space="preserve"> </w:t>
      </w:r>
      <w:r w:rsidR="001A1E8F">
        <w:rPr>
          <w:rFonts w:ascii="Segoe UI Light" w:hAnsi="Segoe UI Light" w:cs="Segoe UI Light"/>
          <w:sz w:val="24"/>
          <w:szCs w:val="24"/>
        </w:rPr>
        <w:t>a</w:t>
      </w:r>
      <w:r>
        <w:rPr>
          <w:rFonts w:ascii="Segoe UI Light" w:hAnsi="Segoe UI Light" w:cs="Segoe UI Light"/>
          <w:sz w:val="24"/>
          <w:szCs w:val="24"/>
        </w:rPr>
        <w:t xml:space="preserve"> desirable</w:t>
      </w:r>
      <w:r w:rsidR="00A93149">
        <w:rPr>
          <w:rFonts w:ascii="Segoe UI Light" w:hAnsi="Segoe UI Light" w:cs="Segoe UI Light"/>
          <w:sz w:val="24"/>
          <w:szCs w:val="24"/>
        </w:rPr>
        <w:t xml:space="preserve"> option</w:t>
      </w:r>
      <w:r>
        <w:rPr>
          <w:rFonts w:ascii="Segoe UI Light" w:hAnsi="Segoe UI Light" w:cs="Segoe UI Light"/>
          <w:sz w:val="24"/>
          <w:szCs w:val="24"/>
        </w:rPr>
        <w:t xml:space="preserve">.  </w:t>
      </w:r>
      <w:r w:rsidR="00527324">
        <w:rPr>
          <w:rFonts w:ascii="Segoe UI Light" w:hAnsi="Segoe UI Light" w:cs="Segoe UI Light"/>
          <w:sz w:val="24"/>
          <w:szCs w:val="24"/>
        </w:rPr>
        <w:t>This position is p</w:t>
      </w:r>
      <w:r w:rsidR="00A22A75">
        <w:rPr>
          <w:rFonts w:ascii="Segoe UI Light" w:hAnsi="Segoe UI Light" w:cs="Segoe UI Light"/>
          <w:sz w:val="24"/>
          <w:szCs w:val="24"/>
        </w:rPr>
        <w:t>remised</w:t>
      </w:r>
      <w:r w:rsidR="00527324">
        <w:rPr>
          <w:rFonts w:ascii="Segoe UI Light" w:hAnsi="Segoe UI Light" w:cs="Segoe UI Light"/>
          <w:sz w:val="24"/>
          <w:szCs w:val="24"/>
        </w:rPr>
        <w:t xml:space="preserve"> on the view that this regulation, when </w:t>
      </w:r>
      <w:r w:rsidR="00497121">
        <w:rPr>
          <w:rFonts w:ascii="Segoe UI Light" w:hAnsi="Segoe UI Light" w:cs="Segoe UI Light"/>
          <w:sz w:val="24"/>
          <w:szCs w:val="24"/>
        </w:rPr>
        <w:t xml:space="preserve">enacted, </w:t>
      </w:r>
      <w:r w:rsidR="00527324">
        <w:rPr>
          <w:rFonts w:ascii="Segoe UI Light" w:hAnsi="Segoe UI Light" w:cs="Segoe UI Light"/>
          <w:sz w:val="24"/>
          <w:szCs w:val="24"/>
        </w:rPr>
        <w:t>did not have i</w:t>
      </w:r>
      <w:r>
        <w:rPr>
          <w:rFonts w:ascii="Segoe UI Light" w:hAnsi="Segoe UI Light" w:cs="Segoe UI Light"/>
          <w:sz w:val="24"/>
          <w:szCs w:val="24"/>
        </w:rPr>
        <w:t xml:space="preserve">n its contemplation </w:t>
      </w:r>
      <w:r w:rsidR="00497121">
        <w:rPr>
          <w:rFonts w:ascii="Segoe UI Light" w:hAnsi="Segoe UI Light" w:cs="Segoe UI Light"/>
          <w:sz w:val="24"/>
          <w:szCs w:val="24"/>
        </w:rPr>
        <w:t xml:space="preserve">application to </w:t>
      </w:r>
      <w:r w:rsidR="002B71B7">
        <w:rPr>
          <w:rFonts w:ascii="Segoe UI Light" w:hAnsi="Segoe UI Light" w:cs="Segoe UI Light"/>
          <w:sz w:val="24"/>
          <w:szCs w:val="24"/>
        </w:rPr>
        <w:t>the</w:t>
      </w:r>
      <w:r w:rsidR="00497121">
        <w:rPr>
          <w:rFonts w:ascii="Segoe UI Light" w:hAnsi="Segoe UI Light" w:cs="Segoe UI Light"/>
          <w:sz w:val="24"/>
          <w:szCs w:val="24"/>
        </w:rPr>
        <w:t xml:space="preserve"> CSEF </w:t>
      </w:r>
      <w:r w:rsidR="002B71B7">
        <w:rPr>
          <w:rFonts w:ascii="Segoe UI Light" w:hAnsi="Segoe UI Light" w:cs="Segoe UI Light"/>
          <w:sz w:val="24"/>
          <w:szCs w:val="24"/>
        </w:rPr>
        <w:t>context</w:t>
      </w:r>
      <w:r w:rsidR="00527324">
        <w:rPr>
          <w:rFonts w:ascii="Segoe UI Light" w:hAnsi="Segoe UI Light" w:cs="Segoe UI Light"/>
          <w:sz w:val="24"/>
          <w:szCs w:val="24"/>
        </w:rPr>
        <w:t xml:space="preserve"> and is </w:t>
      </w:r>
      <w:r w:rsidR="00497121">
        <w:rPr>
          <w:rFonts w:ascii="Segoe UI Light" w:hAnsi="Segoe UI Light" w:cs="Segoe UI Light"/>
          <w:sz w:val="24"/>
          <w:szCs w:val="24"/>
        </w:rPr>
        <w:t xml:space="preserve">therefore not </w:t>
      </w:r>
      <w:r>
        <w:rPr>
          <w:rFonts w:ascii="Segoe UI Light" w:hAnsi="Segoe UI Light" w:cs="Segoe UI Light"/>
          <w:sz w:val="24"/>
          <w:szCs w:val="24"/>
        </w:rPr>
        <w:t>fit for purpose</w:t>
      </w:r>
      <w:r w:rsidR="00801C5A">
        <w:rPr>
          <w:rFonts w:ascii="Segoe UI Light" w:hAnsi="Segoe UI Light" w:cs="Segoe UI Light"/>
          <w:sz w:val="24"/>
          <w:szCs w:val="24"/>
        </w:rPr>
        <w:t>.</w:t>
      </w:r>
    </w:p>
    <w:p w14:paraId="380BBCA4" w14:textId="77777777" w:rsidR="00D8047F" w:rsidRDefault="00D8047F" w:rsidP="00D66499">
      <w:pPr>
        <w:jc w:val="both"/>
        <w:rPr>
          <w:rFonts w:ascii="Segoe UI Light" w:hAnsi="Segoe UI Light" w:cs="Segoe UI Light"/>
          <w:sz w:val="24"/>
          <w:szCs w:val="24"/>
        </w:rPr>
      </w:pPr>
    </w:p>
    <w:p w14:paraId="3550C21C" w14:textId="77777777" w:rsidR="0073492C" w:rsidRPr="00360171" w:rsidRDefault="003E7EAD" w:rsidP="00D66499">
      <w:pPr>
        <w:jc w:val="both"/>
        <w:rPr>
          <w:rFonts w:ascii="Segoe UI Light" w:hAnsi="Segoe UI Light" w:cs="Segoe UI Light"/>
          <w:b/>
          <w:i/>
          <w:sz w:val="24"/>
          <w:szCs w:val="24"/>
          <w:u w:val="single"/>
        </w:rPr>
      </w:pPr>
      <w:r>
        <w:rPr>
          <w:rFonts w:ascii="Segoe UI Light" w:hAnsi="Segoe UI Light" w:cs="Segoe UI Light"/>
          <w:sz w:val="24"/>
          <w:szCs w:val="24"/>
        </w:rPr>
        <w:t>T</w:t>
      </w:r>
      <w:r w:rsidR="006356D3" w:rsidRPr="00360171">
        <w:rPr>
          <w:rFonts w:ascii="Segoe UI Light" w:hAnsi="Segoe UI Light" w:cs="Segoe UI Light"/>
          <w:sz w:val="24"/>
          <w:szCs w:val="24"/>
        </w:rPr>
        <w:t xml:space="preserve">he overall view of </w:t>
      </w:r>
      <w:proofErr w:type="spellStart"/>
      <w:r w:rsidR="006356D3" w:rsidRPr="00360171">
        <w:rPr>
          <w:rFonts w:ascii="Segoe UI Light" w:hAnsi="Segoe UI Light" w:cs="Segoe UI Light"/>
          <w:b/>
          <w:i/>
          <w:sz w:val="24"/>
          <w:szCs w:val="24"/>
        </w:rPr>
        <w:t>incubatr</w:t>
      </w:r>
      <w:proofErr w:type="spellEnd"/>
      <w:r w:rsidR="006356D3" w:rsidRPr="00360171">
        <w:rPr>
          <w:rFonts w:ascii="Segoe UI Light" w:hAnsi="Segoe UI Light" w:cs="Segoe UI Light"/>
          <w:sz w:val="24"/>
          <w:szCs w:val="24"/>
        </w:rPr>
        <w:t xml:space="preserve"> </w:t>
      </w:r>
      <w:r>
        <w:rPr>
          <w:rFonts w:ascii="Segoe UI Light" w:hAnsi="Segoe UI Light" w:cs="Segoe UI Light"/>
          <w:sz w:val="24"/>
          <w:szCs w:val="24"/>
        </w:rPr>
        <w:t xml:space="preserve">is that </w:t>
      </w:r>
      <w:r w:rsidR="006356D3" w:rsidRPr="00360171">
        <w:rPr>
          <w:rFonts w:ascii="Segoe UI Light" w:hAnsi="Segoe UI Light" w:cs="Segoe UI Light"/>
          <w:sz w:val="24"/>
          <w:szCs w:val="24"/>
        </w:rPr>
        <w:t xml:space="preserve">the ideal model to facilitate CSEF </w:t>
      </w:r>
      <w:r>
        <w:rPr>
          <w:rFonts w:ascii="Segoe UI Light" w:hAnsi="Segoe UI Light" w:cs="Segoe UI Light"/>
          <w:sz w:val="24"/>
          <w:szCs w:val="24"/>
        </w:rPr>
        <w:t xml:space="preserve">in Australia </w:t>
      </w:r>
      <w:r w:rsidR="006356D3" w:rsidRPr="00360171">
        <w:rPr>
          <w:rFonts w:ascii="Segoe UI Light" w:hAnsi="Segoe UI Light" w:cs="Segoe UI Light"/>
          <w:sz w:val="24"/>
          <w:szCs w:val="24"/>
        </w:rPr>
        <w:t xml:space="preserve">should be a </w:t>
      </w:r>
      <w:r w:rsidR="00801C5A">
        <w:rPr>
          <w:rFonts w:ascii="Segoe UI Light" w:hAnsi="Segoe UI Light" w:cs="Segoe UI Light"/>
          <w:sz w:val="24"/>
          <w:szCs w:val="24"/>
        </w:rPr>
        <w:t xml:space="preserve">model closely resembling the </w:t>
      </w:r>
      <w:r w:rsidR="006356D3" w:rsidRPr="00360171">
        <w:rPr>
          <w:rFonts w:ascii="Segoe UI Light" w:hAnsi="Segoe UI Light" w:cs="Segoe UI Light"/>
          <w:sz w:val="24"/>
          <w:szCs w:val="24"/>
        </w:rPr>
        <w:t xml:space="preserve">New Zealand model </w:t>
      </w:r>
      <w:r w:rsidR="00801C5A">
        <w:rPr>
          <w:rFonts w:ascii="Segoe UI Light" w:hAnsi="Segoe UI Light" w:cs="Segoe UI Light"/>
          <w:sz w:val="24"/>
          <w:szCs w:val="24"/>
        </w:rPr>
        <w:t xml:space="preserve">or </w:t>
      </w:r>
      <w:r w:rsidR="006356D3" w:rsidRPr="00360171">
        <w:rPr>
          <w:rFonts w:ascii="Segoe UI Light" w:hAnsi="Segoe UI Light" w:cs="Segoe UI Light"/>
          <w:sz w:val="24"/>
          <w:szCs w:val="24"/>
        </w:rPr>
        <w:t>the CAMAC proposed model</w:t>
      </w:r>
      <w:r w:rsidR="00801C5A">
        <w:rPr>
          <w:rFonts w:ascii="Segoe UI Light" w:hAnsi="Segoe UI Light" w:cs="Segoe UI Light"/>
          <w:sz w:val="24"/>
          <w:szCs w:val="24"/>
        </w:rPr>
        <w:t xml:space="preserve"> with modifications (to be discussed more fully below)</w:t>
      </w:r>
      <w:r w:rsidR="006356D3" w:rsidRPr="00360171">
        <w:rPr>
          <w:rFonts w:ascii="Segoe UI Light" w:hAnsi="Segoe UI Light" w:cs="Segoe UI Light"/>
          <w:sz w:val="24"/>
          <w:szCs w:val="24"/>
        </w:rPr>
        <w:t>.</w:t>
      </w:r>
    </w:p>
    <w:p w14:paraId="7633808A" w14:textId="77777777" w:rsidR="008725D9" w:rsidRPr="00A9751C" w:rsidRDefault="008725D9" w:rsidP="00D66499">
      <w:pPr>
        <w:jc w:val="both"/>
        <w:rPr>
          <w:rFonts w:ascii="Segoe UI Light" w:hAnsi="Segoe UI Light" w:cs="Segoe UI Light"/>
          <w:sz w:val="24"/>
          <w:szCs w:val="24"/>
        </w:rPr>
      </w:pPr>
    </w:p>
    <w:p w14:paraId="30D71C34" w14:textId="77777777" w:rsidR="00637035" w:rsidRDefault="00FD1C52" w:rsidP="00D66499">
      <w:pPr>
        <w:jc w:val="both"/>
        <w:rPr>
          <w:rFonts w:ascii="Segoe UI Light" w:hAnsi="Segoe UI Light" w:cs="Segoe UI Light"/>
          <w:b/>
          <w:sz w:val="36"/>
        </w:rPr>
      </w:pPr>
      <w:r>
        <w:rPr>
          <w:rFonts w:ascii="Segoe UI Light" w:hAnsi="Segoe UI Light" w:cs="Segoe UI Light"/>
          <w:b/>
          <w:sz w:val="36"/>
        </w:rPr>
        <w:t>Opportunities Presented by Crowd-sourced Equity Funding (CSEF)</w:t>
      </w:r>
      <w:r>
        <w:rPr>
          <w:rStyle w:val="FootnoteReference"/>
          <w:rFonts w:ascii="Segoe UI Light" w:hAnsi="Segoe UI Light" w:cs="Segoe UI Light"/>
          <w:b/>
          <w:sz w:val="36"/>
        </w:rPr>
        <w:footnoteReference w:id="1"/>
      </w:r>
      <w:r>
        <w:rPr>
          <w:rFonts w:ascii="Segoe UI Light" w:hAnsi="Segoe UI Light" w:cs="Segoe UI Light"/>
          <w:b/>
          <w:sz w:val="36"/>
        </w:rPr>
        <w:t xml:space="preserve"> </w:t>
      </w:r>
    </w:p>
    <w:p w14:paraId="4761CA49" w14:textId="77777777" w:rsidR="00EC1864" w:rsidRPr="00A9751C" w:rsidRDefault="00EC1864" w:rsidP="00D66499">
      <w:pPr>
        <w:jc w:val="both"/>
        <w:rPr>
          <w:rFonts w:ascii="Segoe UI Light" w:hAnsi="Segoe UI Light" w:cs="Segoe UI Light"/>
          <w:sz w:val="24"/>
          <w:szCs w:val="24"/>
        </w:rPr>
      </w:pPr>
    </w:p>
    <w:p w14:paraId="0D9A32BB" w14:textId="77777777" w:rsidR="000F583E" w:rsidRPr="000F583E" w:rsidRDefault="000F583E" w:rsidP="00D66499">
      <w:pPr>
        <w:jc w:val="both"/>
        <w:rPr>
          <w:rFonts w:ascii="Segoe UI Light" w:hAnsi="Segoe UI Light" w:cs="Segoe UI Light"/>
          <w:b/>
          <w:sz w:val="24"/>
          <w:szCs w:val="24"/>
        </w:rPr>
      </w:pPr>
      <w:r>
        <w:rPr>
          <w:rFonts w:ascii="Segoe UI Light" w:hAnsi="Segoe UI Light" w:cs="Segoe UI Light"/>
          <w:b/>
          <w:sz w:val="24"/>
          <w:szCs w:val="24"/>
        </w:rPr>
        <w:t>Review of CSEF</w:t>
      </w:r>
    </w:p>
    <w:p w14:paraId="6F98EC19" w14:textId="77777777" w:rsidR="00D8047F" w:rsidRDefault="00B26968" w:rsidP="00D66499">
      <w:pPr>
        <w:jc w:val="both"/>
        <w:rPr>
          <w:rFonts w:ascii="Segoe UI Light" w:hAnsi="Segoe UI Light" w:cs="Segoe UI Light"/>
          <w:sz w:val="24"/>
          <w:szCs w:val="24"/>
        </w:rPr>
      </w:pPr>
      <w:r w:rsidRPr="00360171">
        <w:rPr>
          <w:rFonts w:ascii="Segoe UI Light" w:hAnsi="Segoe UI Light" w:cs="Segoe UI Light"/>
          <w:sz w:val="24"/>
          <w:szCs w:val="24"/>
        </w:rPr>
        <w:t xml:space="preserve">It is the position of </w:t>
      </w:r>
      <w:proofErr w:type="spellStart"/>
      <w:r w:rsidRPr="00360171">
        <w:rPr>
          <w:rFonts w:ascii="Segoe UI Light" w:hAnsi="Segoe UI Light" w:cs="Segoe UI Light"/>
          <w:b/>
          <w:i/>
          <w:sz w:val="24"/>
          <w:szCs w:val="24"/>
        </w:rPr>
        <w:t>incubatr</w:t>
      </w:r>
      <w:proofErr w:type="spellEnd"/>
      <w:r w:rsidRPr="00360171">
        <w:rPr>
          <w:rFonts w:ascii="Segoe UI Light" w:hAnsi="Segoe UI Light" w:cs="Segoe UI Light"/>
          <w:sz w:val="24"/>
          <w:szCs w:val="24"/>
        </w:rPr>
        <w:t xml:space="preserve"> that the predominant barrier to CSEF</w:t>
      </w:r>
      <w:r w:rsidR="00167E73">
        <w:rPr>
          <w:rFonts w:ascii="Segoe UI Light" w:hAnsi="Segoe UI Light" w:cs="Segoe UI Light"/>
          <w:sz w:val="24"/>
          <w:szCs w:val="24"/>
        </w:rPr>
        <w:t>’s implementation</w:t>
      </w:r>
      <w:r w:rsidRPr="00360171">
        <w:rPr>
          <w:rFonts w:ascii="Segoe UI Light" w:hAnsi="Segoe UI Light" w:cs="Segoe UI Light"/>
          <w:sz w:val="24"/>
          <w:szCs w:val="24"/>
        </w:rPr>
        <w:t xml:space="preserve"> in Australia is the </w:t>
      </w:r>
      <w:r w:rsidR="008C733E" w:rsidRPr="00360171">
        <w:rPr>
          <w:rFonts w:ascii="Segoe UI Light" w:hAnsi="Segoe UI Light" w:cs="Segoe UI Light"/>
          <w:sz w:val="24"/>
          <w:szCs w:val="24"/>
        </w:rPr>
        <w:t xml:space="preserve">lack of a </w:t>
      </w:r>
      <w:r w:rsidRPr="00360171">
        <w:rPr>
          <w:rFonts w:ascii="Segoe UI Light" w:hAnsi="Segoe UI Light" w:cs="Segoe UI Light"/>
          <w:sz w:val="24"/>
          <w:szCs w:val="24"/>
        </w:rPr>
        <w:t xml:space="preserve">regulatory structure </w:t>
      </w:r>
      <w:r w:rsidR="008C733E" w:rsidRPr="00360171">
        <w:rPr>
          <w:rFonts w:ascii="Segoe UI Light" w:hAnsi="Segoe UI Light" w:cs="Segoe UI Light"/>
          <w:sz w:val="24"/>
          <w:szCs w:val="24"/>
        </w:rPr>
        <w:t xml:space="preserve">tailored to </w:t>
      </w:r>
      <w:r w:rsidR="00167E73">
        <w:rPr>
          <w:rFonts w:ascii="Segoe UI Light" w:hAnsi="Segoe UI Light" w:cs="Segoe UI Light"/>
          <w:sz w:val="24"/>
          <w:szCs w:val="24"/>
        </w:rPr>
        <w:t xml:space="preserve">the </w:t>
      </w:r>
      <w:r w:rsidR="008C733E" w:rsidRPr="00360171">
        <w:rPr>
          <w:rFonts w:ascii="Segoe UI Light" w:hAnsi="Segoe UI Light" w:cs="Segoe UI Light"/>
          <w:sz w:val="24"/>
          <w:szCs w:val="24"/>
        </w:rPr>
        <w:t>CSEF</w:t>
      </w:r>
      <w:r w:rsidR="00167E73">
        <w:rPr>
          <w:rFonts w:ascii="Segoe UI Light" w:hAnsi="Segoe UI Light" w:cs="Segoe UI Light"/>
          <w:sz w:val="24"/>
          <w:szCs w:val="24"/>
        </w:rPr>
        <w:t xml:space="preserve"> model</w:t>
      </w:r>
      <w:r w:rsidR="00035F53">
        <w:rPr>
          <w:rFonts w:ascii="Segoe UI Light" w:hAnsi="Segoe UI Light" w:cs="Segoe UI Light"/>
          <w:sz w:val="24"/>
          <w:szCs w:val="24"/>
        </w:rPr>
        <w:t xml:space="preserve"> and concept</w:t>
      </w:r>
      <w:r w:rsidRPr="00360171">
        <w:rPr>
          <w:rFonts w:ascii="Segoe UI Light" w:hAnsi="Segoe UI Light" w:cs="Segoe UI Light"/>
          <w:sz w:val="24"/>
          <w:szCs w:val="24"/>
        </w:rPr>
        <w:t xml:space="preserve">.  Whilst </w:t>
      </w:r>
      <w:r w:rsidR="00097807" w:rsidRPr="00360171">
        <w:rPr>
          <w:rFonts w:ascii="Segoe UI Light" w:hAnsi="Segoe UI Light" w:cs="Segoe UI Light"/>
          <w:sz w:val="24"/>
          <w:szCs w:val="24"/>
        </w:rPr>
        <w:t xml:space="preserve">a form of </w:t>
      </w:r>
      <w:r w:rsidRPr="00360171">
        <w:rPr>
          <w:rFonts w:ascii="Segoe UI Light" w:hAnsi="Segoe UI Light" w:cs="Segoe UI Light"/>
          <w:sz w:val="24"/>
          <w:szCs w:val="24"/>
        </w:rPr>
        <w:t>CSEF may be achieved through the present framework</w:t>
      </w:r>
      <w:r w:rsidR="00714B04">
        <w:rPr>
          <w:rFonts w:ascii="Segoe UI Light" w:hAnsi="Segoe UI Light" w:cs="Segoe UI Light"/>
          <w:sz w:val="24"/>
          <w:szCs w:val="24"/>
        </w:rPr>
        <w:t xml:space="preserve">, </w:t>
      </w:r>
      <w:r w:rsidR="00097807" w:rsidRPr="00360171">
        <w:rPr>
          <w:rFonts w:ascii="Segoe UI Light" w:hAnsi="Segoe UI Light" w:cs="Segoe UI Light"/>
          <w:sz w:val="24"/>
          <w:szCs w:val="24"/>
        </w:rPr>
        <w:t xml:space="preserve">utilising a </w:t>
      </w:r>
      <w:r w:rsidRPr="00360171">
        <w:rPr>
          <w:rFonts w:ascii="Segoe UI Light" w:hAnsi="Segoe UI Light" w:cs="Segoe UI Light"/>
          <w:sz w:val="24"/>
          <w:szCs w:val="24"/>
        </w:rPr>
        <w:t>M</w:t>
      </w:r>
      <w:r w:rsidR="00167E73">
        <w:rPr>
          <w:rFonts w:ascii="Segoe UI Light" w:hAnsi="Segoe UI Light" w:cs="Segoe UI Light"/>
          <w:sz w:val="24"/>
          <w:szCs w:val="24"/>
        </w:rPr>
        <w:t xml:space="preserve">anaged </w:t>
      </w:r>
      <w:r w:rsidRPr="00360171">
        <w:rPr>
          <w:rFonts w:ascii="Segoe UI Light" w:hAnsi="Segoe UI Light" w:cs="Segoe UI Light"/>
          <w:sz w:val="24"/>
          <w:szCs w:val="24"/>
        </w:rPr>
        <w:t>I</w:t>
      </w:r>
      <w:r w:rsidR="00167E73">
        <w:rPr>
          <w:rFonts w:ascii="Segoe UI Light" w:hAnsi="Segoe UI Light" w:cs="Segoe UI Light"/>
          <w:sz w:val="24"/>
          <w:szCs w:val="24"/>
        </w:rPr>
        <w:t xml:space="preserve">nvestment </w:t>
      </w:r>
      <w:r w:rsidRPr="00360171">
        <w:rPr>
          <w:rFonts w:ascii="Segoe UI Light" w:hAnsi="Segoe UI Light" w:cs="Segoe UI Light"/>
          <w:sz w:val="24"/>
          <w:szCs w:val="24"/>
        </w:rPr>
        <w:t>S</w:t>
      </w:r>
      <w:r w:rsidR="00167E73">
        <w:rPr>
          <w:rFonts w:ascii="Segoe UI Light" w:hAnsi="Segoe UI Light" w:cs="Segoe UI Light"/>
          <w:sz w:val="24"/>
          <w:szCs w:val="24"/>
        </w:rPr>
        <w:t>cheme (MIS)</w:t>
      </w:r>
      <w:r w:rsidRPr="00360171">
        <w:rPr>
          <w:rFonts w:ascii="Segoe UI Light" w:hAnsi="Segoe UI Light" w:cs="Segoe UI Light"/>
          <w:sz w:val="24"/>
          <w:szCs w:val="24"/>
        </w:rPr>
        <w:t xml:space="preserve"> and </w:t>
      </w:r>
      <w:r w:rsidR="00097807" w:rsidRPr="00360171">
        <w:rPr>
          <w:rFonts w:ascii="Segoe UI Light" w:hAnsi="Segoe UI Light" w:cs="Segoe UI Light"/>
          <w:sz w:val="24"/>
          <w:szCs w:val="24"/>
        </w:rPr>
        <w:t xml:space="preserve">the </w:t>
      </w:r>
      <w:r w:rsidRPr="00360171">
        <w:rPr>
          <w:rFonts w:ascii="Segoe UI Light" w:hAnsi="Segoe UI Light" w:cs="Segoe UI Light"/>
          <w:sz w:val="24"/>
          <w:szCs w:val="24"/>
        </w:rPr>
        <w:t>small scale personal offer exemption</w:t>
      </w:r>
      <w:r w:rsidR="00167E73">
        <w:rPr>
          <w:rFonts w:ascii="Segoe UI Light" w:hAnsi="Segoe UI Light" w:cs="Segoe UI Light"/>
          <w:sz w:val="24"/>
          <w:szCs w:val="24"/>
        </w:rPr>
        <w:t xml:space="preserve"> </w:t>
      </w:r>
      <w:r w:rsidR="00035F53">
        <w:rPr>
          <w:rFonts w:ascii="Segoe UI Light" w:hAnsi="Segoe UI Light" w:cs="Segoe UI Light"/>
          <w:sz w:val="24"/>
          <w:szCs w:val="24"/>
        </w:rPr>
        <w:t>(</w:t>
      </w:r>
      <w:r w:rsidR="00167E73">
        <w:rPr>
          <w:rFonts w:ascii="Segoe UI Light" w:hAnsi="Segoe UI Light" w:cs="Segoe UI Light"/>
          <w:sz w:val="24"/>
          <w:szCs w:val="24"/>
        </w:rPr>
        <w:t>amongst other measures</w:t>
      </w:r>
      <w:r w:rsidRPr="00360171">
        <w:rPr>
          <w:rFonts w:ascii="Segoe UI Light" w:hAnsi="Segoe UI Light" w:cs="Segoe UI Light"/>
          <w:sz w:val="24"/>
          <w:szCs w:val="24"/>
        </w:rPr>
        <w:t xml:space="preserve">), this framework </w:t>
      </w:r>
      <w:r w:rsidR="00097807" w:rsidRPr="00360171">
        <w:rPr>
          <w:rFonts w:ascii="Segoe UI Light" w:hAnsi="Segoe UI Light" w:cs="Segoe UI Light"/>
          <w:sz w:val="24"/>
          <w:szCs w:val="24"/>
        </w:rPr>
        <w:t xml:space="preserve">is severely limited in its applicability to the </w:t>
      </w:r>
      <w:r w:rsidRPr="00360171">
        <w:rPr>
          <w:rFonts w:ascii="Segoe UI Light" w:hAnsi="Segoe UI Light" w:cs="Segoe UI Light"/>
          <w:sz w:val="24"/>
          <w:szCs w:val="24"/>
        </w:rPr>
        <w:t>specific requirements of CSEF</w:t>
      </w:r>
      <w:r w:rsidR="00167E73">
        <w:rPr>
          <w:rFonts w:ascii="Segoe UI Light" w:hAnsi="Segoe UI Light" w:cs="Segoe UI Light"/>
          <w:sz w:val="24"/>
          <w:szCs w:val="24"/>
        </w:rPr>
        <w:t xml:space="preserve">.  </w:t>
      </w:r>
      <w:r w:rsidRPr="00360171">
        <w:rPr>
          <w:rFonts w:ascii="Segoe UI Light" w:hAnsi="Segoe UI Light" w:cs="Segoe UI Light"/>
          <w:sz w:val="24"/>
          <w:szCs w:val="24"/>
        </w:rPr>
        <w:t xml:space="preserve"> </w:t>
      </w:r>
    </w:p>
    <w:p w14:paraId="58A675D0" w14:textId="77777777" w:rsidR="00D26E75" w:rsidRPr="00360171" w:rsidRDefault="00B26968" w:rsidP="00D66499">
      <w:pPr>
        <w:jc w:val="both"/>
        <w:rPr>
          <w:rFonts w:ascii="Segoe UI Light" w:hAnsi="Segoe UI Light" w:cs="Segoe UI Light"/>
          <w:b/>
          <w:sz w:val="24"/>
          <w:szCs w:val="24"/>
        </w:rPr>
      </w:pPr>
      <w:r w:rsidRPr="00360171">
        <w:rPr>
          <w:rFonts w:ascii="Segoe UI Light" w:hAnsi="Segoe UI Light" w:cs="Segoe UI Light"/>
          <w:sz w:val="24"/>
          <w:szCs w:val="24"/>
        </w:rPr>
        <w:t xml:space="preserve">  </w:t>
      </w:r>
    </w:p>
    <w:p w14:paraId="05029AA3" w14:textId="77777777" w:rsidR="00D8047F" w:rsidRDefault="00327EA3" w:rsidP="00D66499">
      <w:pPr>
        <w:jc w:val="both"/>
        <w:rPr>
          <w:rFonts w:ascii="Segoe UI Light" w:hAnsi="Segoe UI Light" w:cs="Segoe UI Light"/>
          <w:sz w:val="24"/>
          <w:szCs w:val="24"/>
        </w:rPr>
      </w:pPr>
      <w:r w:rsidRPr="00360171">
        <w:rPr>
          <w:rFonts w:ascii="Segoe UI Light" w:hAnsi="Segoe UI Light" w:cs="Segoe UI Light"/>
          <w:sz w:val="24"/>
          <w:szCs w:val="24"/>
        </w:rPr>
        <w:t>The M</w:t>
      </w:r>
      <w:r w:rsidR="00714B04">
        <w:rPr>
          <w:rFonts w:ascii="Segoe UI Light" w:hAnsi="Segoe UI Light" w:cs="Segoe UI Light"/>
          <w:sz w:val="24"/>
          <w:szCs w:val="24"/>
        </w:rPr>
        <w:t>IS</w:t>
      </w:r>
      <w:r w:rsidRPr="00360171">
        <w:rPr>
          <w:rFonts w:ascii="Segoe UI Light" w:hAnsi="Segoe UI Light" w:cs="Segoe UI Light"/>
          <w:sz w:val="24"/>
          <w:szCs w:val="24"/>
        </w:rPr>
        <w:t xml:space="preserve"> </w:t>
      </w:r>
      <w:r w:rsidR="00221134" w:rsidRPr="00360171">
        <w:rPr>
          <w:rFonts w:ascii="Segoe UI Light" w:hAnsi="Segoe UI Light" w:cs="Segoe UI Light"/>
          <w:sz w:val="24"/>
          <w:szCs w:val="24"/>
        </w:rPr>
        <w:t xml:space="preserve">and </w:t>
      </w:r>
      <w:r w:rsidRPr="00360171">
        <w:rPr>
          <w:rFonts w:ascii="Segoe UI Light" w:hAnsi="Segoe UI Light" w:cs="Segoe UI Light"/>
          <w:sz w:val="24"/>
          <w:szCs w:val="24"/>
        </w:rPr>
        <w:t>small scale personal offer exemption</w:t>
      </w:r>
      <w:r w:rsidR="00221134" w:rsidRPr="00360171">
        <w:rPr>
          <w:rFonts w:ascii="Segoe UI Light" w:hAnsi="Segoe UI Light" w:cs="Segoe UI Light"/>
          <w:sz w:val="24"/>
          <w:szCs w:val="24"/>
        </w:rPr>
        <w:t xml:space="preserve"> do not provide a </w:t>
      </w:r>
      <w:r w:rsidR="00035F53">
        <w:rPr>
          <w:rFonts w:ascii="Segoe UI Light" w:hAnsi="Segoe UI Light" w:cs="Segoe UI Light"/>
          <w:sz w:val="24"/>
          <w:szCs w:val="24"/>
        </w:rPr>
        <w:t>sufficient basis for al</w:t>
      </w:r>
      <w:r w:rsidR="00221134" w:rsidRPr="00360171">
        <w:rPr>
          <w:rFonts w:ascii="Segoe UI Light" w:hAnsi="Segoe UI Light" w:cs="Segoe UI Light"/>
          <w:sz w:val="24"/>
          <w:szCs w:val="24"/>
        </w:rPr>
        <w:t xml:space="preserve">lowing </w:t>
      </w:r>
      <w:r w:rsidR="00035F53">
        <w:rPr>
          <w:rFonts w:ascii="Segoe UI Light" w:hAnsi="Segoe UI Light" w:cs="Segoe UI Light"/>
          <w:sz w:val="24"/>
          <w:szCs w:val="24"/>
        </w:rPr>
        <w:t xml:space="preserve">a </w:t>
      </w:r>
      <w:r w:rsidR="00221134" w:rsidRPr="00360171">
        <w:rPr>
          <w:rFonts w:ascii="Segoe UI Light" w:hAnsi="Segoe UI Light" w:cs="Segoe UI Light"/>
          <w:sz w:val="24"/>
          <w:szCs w:val="24"/>
        </w:rPr>
        <w:t xml:space="preserve">large pool of </w:t>
      </w:r>
      <w:r w:rsidR="00035F53">
        <w:rPr>
          <w:rFonts w:ascii="Segoe UI Light" w:hAnsi="Segoe UI Light" w:cs="Segoe UI Light"/>
          <w:sz w:val="24"/>
          <w:szCs w:val="24"/>
        </w:rPr>
        <w:t xml:space="preserve">investors to take an equity position in new ventures and businesses seeking growth. </w:t>
      </w:r>
      <w:r w:rsidR="001653E2">
        <w:rPr>
          <w:rFonts w:ascii="Segoe UI Light" w:hAnsi="Segoe UI Light" w:cs="Segoe UI Light"/>
          <w:sz w:val="24"/>
          <w:szCs w:val="24"/>
        </w:rPr>
        <w:t xml:space="preserve"> Pursuant to the </w:t>
      </w:r>
      <w:r w:rsidR="001653E2" w:rsidRPr="001653E2">
        <w:rPr>
          <w:rFonts w:ascii="Segoe UI Light" w:hAnsi="Segoe UI Light" w:cs="Segoe UI Light"/>
          <w:sz w:val="24"/>
          <w:szCs w:val="24"/>
        </w:rPr>
        <w:t>small scale personal offer exemption</w:t>
      </w:r>
      <w:r w:rsidR="001653E2">
        <w:rPr>
          <w:rFonts w:ascii="Segoe UI Light" w:hAnsi="Segoe UI Light" w:cs="Segoe UI Light"/>
          <w:sz w:val="24"/>
          <w:szCs w:val="24"/>
        </w:rPr>
        <w:t xml:space="preserve">, </w:t>
      </w:r>
      <w:r w:rsidR="001653E2" w:rsidRPr="001653E2">
        <w:rPr>
          <w:rFonts w:ascii="Segoe UI Light" w:hAnsi="Segoe UI Light" w:cs="Segoe UI Light"/>
          <w:sz w:val="24"/>
          <w:szCs w:val="24"/>
        </w:rPr>
        <w:t>disclosure document</w:t>
      </w:r>
      <w:r w:rsidR="001653E2">
        <w:rPr>
          <w:rFonts w:ascii="Segoe UI Light" w:hAnsi="Segoe UI Light" w:cs="Segoe UI Light"/>
          <w:sz w:val="24"/>
          <w:szCs w:val="24"/>
        </w:rPr>
        <w:t>s are</w:t>
      </w:r>
      <w:r w:rsidR="001653E2" w:rsidRPr="001653E2">
        <w:rPr>
          <w:rFonts w:ascii="Segoe UI Light" w:hAnsi="Segoe UI Light" w:cs="Segoe UI Light"/>
          <w:sz w:val="24"/>
          <w:szCs w:val="24"/>
        </w:rPr>
        <w:t xml:space="preserve"> not required </w:t>
      </w:r>
      <w:r w:rsidR="001653E2">
        <w:rPr>
          <w:rFonts w:ascii="Segoe UI Light" w:hAnsi="Segoe UI Light" w:cs="Segoe UI Light"/>
          <w:sz w:val="24"/>
          <w:szCs w:val="24"/>
        </w:rPr>
        <w:t xml:space="preserve">where </w:t>
      </w:r>
      <w:r w:rsidR="001653E2" w:rsidRPr="001653E2">
        <w:rPr>
          <w:rFonts w:ascii="Segoe UI Light" w:hAnsi="Segoe UI Light" w:cs="Segoe UI Light"/>
          <w:sz w:val="24"/>
          <w:szCs w:val="24"/>
        </w:rPr>
        <w:t>a person makes a</w:t>
      </w:r>
      <w:r w:rsidR="001653E2">
        <w:rPr>
          <w:rFonts w:ascii="Segoe UI Light" w:hAnsi="Segoe UI Light" w:cs="Segoe UI Light"/>
          <w:sz w:val="24"/>
          <w:szCs w:val="24"/>
        </w:rPr>
        <w:t xml:space="preserve">n </w:t>
      </w:r>
      <w:r w:rsidR="001653E2" w:rsidRPr="001653E2">
        <w:rPr>
          <w:rFonts w:ascii="Segoe UI Light" w:hAnsi="Segoe UI Light" w:cs="Segoe UI Light"/>
          <w:sz w:val="24"/>
          <w:szCs w:val="24"/>
        </w:rPr>
        <w:t xml:space="preserve">offer of </w:t>
      </w:r>
      <w:r w:rsidR="001653E2">
        <w:rPr>
          <w:rFonts w:ascii="Segoe UI Light" w:hAnsi="Segoe UI Light" w:cs="Segoe UI Light"/>
          <w:sz w:val="24"/>
          <w:szCs w:val="24"/>
        </w:rPr>
        <w:t>s</w:t>
      </w:r>
      <w:r w:rsidR="001653E2" w:rsidRPr="001653E2">
        <w:rPr>
          <w:rFonts w:ascii="Segoe UI Light" w:hAnsi="Segoe UI Light" w:cs="Segoe UI Light"/>
          <w:sz w:val="24"/>
          <w:szCs w:val="24"/>
        </w:rPr>
        <w:t xml:space="preserve">ecurities that results in </w:t>
      </w:r>
      <w:r w:rsidR="001653E2">
        <w:rPr>
          <w:rFonts w:ascii="Segoe UI Light" w:hAnsi="Segoe UI Light" w:cs="Segoe UI Light"/>
          <w:sz w:val="24"/>
          <w:szCs w:val="24"/>
        </w:rPr>
        <w:t xml:space="preserve">an </w:t>
      </w:r>
      <w:r w:rsidR="001653E2" w:rsidRPr="001653E2">
        <w:rPr>
          <w:rFonts w:ascii="Segoe UI Light" w:hAnsi="Segoe UI Light" w:cs="Segoe UI Light"/>
          <w:sz w:val="24"/>
          <w:szCs w:val="24"/>
        </w:rPr>
        <w:t>issue or transfer</w:t>
      </w:r>
      <w:r w:rsidR="001653E2">
        <w:rPr>
          <w:rFonts w:ascii="Segoe UI Light" w:hAnsi="Segoe UI Light" w:cs="Segoe UI Light"/>
          <w:sz w:val="24"/>
          <w:szCs w:val="24"/>
        </w:rPr>
        <w:t xml:space="preserve"> of those securities to </w:t>
      </w:r>
      <w:r w:rsidR="001653E2" w:rsidRPr="001653E2">
        <w:rPr>
          <w:rFonts w:ascii="Segoe UI Light" w:hAnsi="Segoe UI Light" w:cs="Segoe UI Light"/>
          <w:sz w:val="24"/>
          <w:szCs w:val="24"/>
        </w:rPr>
        <w:t>20 or fewer persons</w:t>
      </w:r>
      <w:r w:rsidR="001653E2">
        <w:rPr>
          <w:rFonts w:ascii="Segoe UI Light" w:hAnsi="Segoe UI Light" w:cs="Segoe UI Light"/>
          <w:sz w:val="24"/>
          <w:szCs w:val="24"/>
        </w:rPr>
        <w:t xml:space="preserve"> </w:t>
      </w:r>
      <w:r w:rsidR="001653E2" w:rsidRPr="001653E2">
        <w:rPr>
          <w:rFonts w:ascii="Segoe UI Light" w:hAnsi="Segoe UI Light" w:cs="Segoe UI Light"/>
          <w:sz w:val="24"/>
          <w:szCs w:val="24"/>
        </w:rPr>
        <w:t>in a</w:t>
      </w:r>
      <w:r w:rsidR="001653E2">
        <w:rPr>
          <w:rFonts w:ascii="Segoe UI Light" w:hAnsi="Segoe UI Light" w:cs="Segoe UI Light"/>
          <w:sz w:val="24"/>
          <w:szCs w:val="24"/>
        </w:rPr>
        <w:t xml:space="preserve"> 1</w:t>
      </w:r>
      <w:r w:rsidR="001653E2" w:rsidRPr="001653E2">
        <w:rPr>
          <w:rFonts w:ascii="Segoe UI Light" w:hAnsi="Segoe UI Light" w:cs="Segoe UI Light"/>
          <w:sz w:val="24"/>
          <w:szCs w:val="24"/>
        </w:rPr>
        <w:t>2 month period</w:t>
      </w:r>
      <w:r w:rsidR="001653E2">
        <w:rPr>
          <w:rFonts w:ascii="Segoe UI Light" w:hAnsi="Segoe UI Light" w:cs="Segoe UI Light"/>
          <w:sz w:val="24"/>
          <w:szCs w:val="24"/>
        </w:rPr>
        <w:t>.</w:t>
      </w:r>
      <w:r w:rsidR="001653E2">
        <w:rPr>
          <w:rStyle w:val="FootnoteReference"/>
          <w:rFonts w:ascii="Segoe UI Light" w:hAnsi="Segoe UI Light" w:cs="Segoe UI Light"/>
          <w:sz w:val="24"/>
          <w:szCs w:val="24"/>
        </w:rPr>
        <w:footnoteReference w:id="2"/>
      </w:r>
      <w:r w:rsidR="00035F53">
        <w:rPr>
          <w:rFonts w:ascii="Segoe UI Light" w:hAnsi="Segoe UI Light" w:cs="Segoe UI Light"/>
          <w:sz w:val="24"/>
          <w:szCs w:val="24"/>
        </w:rPr>
        <w:t xml:space="preserve"> </w:t>
      </w:r>
      <w:r w:rsidR="001653E2">
        <w:rPr>
          <w:rFonts w:ascii="Segoe UI Light" w:hAnsi="Segoe UI Light" w:cs="Segoe UI Light"/>
          <w:sz w:val="24"/>
          <w:szCs w:val="24"/>
        </w:rPr>
        <w:t xml:space="preserve"> By </w:t>
      </w:r>
      <w:r w:rsidR="00D8047F">
        <w:rPr>
          <w:rFonts w:ascii="Segoe UI Light" w:hAnsi="Segoe UI Light" w:cs="Segoe UI Light"/>
          <w:sz w:val="24"/>
          <w:szCs w:val="24"/>
        </w:rPr>
        <w:t xml:space="preserve">its very nature, CSEF requires that small contributions </w:t>
      </w:r>
      <w:r w:rsidR="006D341E">
        <w:rPr>
          <w:rFonts w:ascii="Segoe UI Light" w:hAnsi="Segoe UI Light" w:cs="Segoe UI Light"/>
          <w:sz w:val="24"/>
          <w:szCs w:val="24"/>
        </w:rPr>
        <w:t>be</w:t>
      </w:r>
      <w:r w:rsidR="00D8047F">
        <w:rPr>
          <w:rFonts w:ascii="Segoe UI Light" w:hAnsi="Segoe UI Light" w:cs="Segoe UI Light"/>
          <w:sz w:val="24"/>
          <w:szCs w:val="24"/>
        </w:rPr>
        <w:t xml:space="preserve"> made by the many</w:t>
      </w:r>
      <w:r w:rsidR="006D341E">
        <w:rPr>
          <w:rFonts w:ascii="Segoe UI Light" w:hAnsi="Segoe UI Light" w:cs="Segoe UI Light"/>
          <w:sz w:val="24"/>
          <w:szCs w:val="24"/>
        </w:rPr>
        <w:t xml:space="preserve"> and n</w:t>
      </w:r>
      <w:r w:rsidR="00D8047F">
        <w:rPr>
          <w:rFonts w:ascii="Segoe UI Light" w:hAnsi="Segoe UI Light" w:cs="Segoe UI Light"/>
          <w:sz w:val="24"/>
          <w:szCs w:val="24"/>
        </w:rPr>
        <w:t xml:space="preserve">ot </w:t>
      </w:r>
      <w:r w:rsidR="006D341E">
        <w:rPr>
          <w:rFonts w:ascii="Segoe UI Light" w:hAnsi="Segoe UI Light" w:cs="Segoe UI Light"/>
          <w:sz w:val="24"/>
          <w:szCs w:val="24"/>
        </w:rPr>
        <w:t xml:space="preserve">just </w:t>
      </w:r>
      <w:r w:rsidR="00D8047F">
        <w:rPr>
          <w:rFonts w:ascii="Segoe UI Light" w:hAnsi="Segoe UI Light" w:cs="Segoe UI Light"/>
          <w:sz w:val="24"/>
          <w:szCs w:val="24"/>
        </w:rPr>
        <w:t>the few</w:t>
      </w:r>
      <w:r w:rsidR="00E87A40">
        <w:rPr>
          <w:rFonts w:ascii="Segoe UI Light" w:hAnsi="Segoe UI Light" w:cs="Segoe UI Light"/>
          <w:sz w:val="24"/>
          <w:szCs w:val="24"/>
        </w:rPr>
        <w:t>, and that the wisdom of the crowd be utilised</w:t>
      </w:r>
      <w:r w:rsidR="00D8047F">
        <w:rPr>
          <w:rFonts w:ascii="Segoe UI Light" w:hAnsi="Segoe UI Light" w:cs="Segoe UI Light"/>
          <w:sz w:val="24"/>
          <w:szCs w:val="24"/>
        </w:rPr>
        <w:t>.  As stated earlier, this was not contemplated by the current regulatory framework.</w:t>
      </w:r>
    </w:p>
    <w:p w14:paraId="4FF30C2C" w14:textId="77777777" w:rsidR="00D8047F" w:rsidRDefault="00D8047F" w:rsidP="00D66499">
      <w:pPr>
        <w:jc w:val="both"/>
        <w:rPr>
          <w:rFonts w:ascii="Segoe UI Light" w:hAnsi="Segoe UI Light" w:cs="Segoe UI Light"/>
          <w:sz w:val="24"/>
          <w:szCs w:val="24"/>
        </w:rPr>
      </w:pPr>
    </w:p>
    <w:p w14:paraId="3A26CD3A" w14:textId="77777777" w:rsidR="00FF26CA" w:rsidRDefault="00D8047F" w:rsidP="00D66499">
      <w:pPr>
        <w:jc w:val="both"/>
        <w:rPr>
          <w:rFonts w:ascii="Segoe UI Light" w:hAnsi="Segoe UI Light" w:cs="Segoe UI Light"/>
          <w:sz w:val="24"/>
          <w:szCs w:val="24"/>
        </w:rPr>
      </w:pPr>
      <w:r>
        <w:rPr>
          <w:rFonts w:ascii="Segoe UI Light" w:hAnsi="Segoe UI Light" w:cs="Segoe UI Light"/>
          <w:sz w:val="24"/>
          <w:szCs w:val="24"/>
        </w:rPr>
        <w:t xml:space="preserve">In addition to </w:t>
      </w:r>
      <w:r w:rsidR="00F46D23">
        <w:rPr>
          <w:rFonts w:ascii="Segoe UI Light" w:hAnsi="Segoe UI Light" w:cs="Segoe UI Light"/>
          <w:sz w:val="24"/>
          <w:szCs w:val="24"/>
        </w:rPr>
        <w:t>issues with the small scale personal offer exemption</w:t>
      </w:r>
      <w:r w:rsidR="00F66710">
        <w:rPr>
          <w:rFonts w:ascii="Segoe UI Light" w:hAnsi="Segoe UI Light" w:cs="Segoe UI Light"/>
          <w:sz w:val="24"/>
          <w:szCs w:val="24"/>
        </w:rPr>
        <w:t xml:space="preserve">, </w:t>
      </w:r>
      <w:r w:rsidR="00F46D23">
        <w:rPr>
          <w:rFonts w:ascii="Segoe UI Light" w:hAnsi="Segoe UI Light" w:cs="Segoe UI Light"/>
          <w:sz w:val="24"/>
          <w:szCs w:val="24"/>
        </w:rPr>
        <w:t>other requirements inherent in the MIS structure</w:t>
      </w:r>
      <w:r w:rsidR="00F66710">
        <w:rPr>
          <w:rFonts w:ascii="Segoe UI Light" w:hAnsi="Segoe UI Light" w:cs="Segoe UI Light"/>
          <w:sz w:val="24"/>
          <w:szCs w:val="24"/>
        </w:rPr>
        <w:t xml:space="preserve"> make this framework inappropriate for application to the CSEF context.  Specifically, the </w:t>
      </w:r>
      <w:r w:rsidR="004B1B7E">
        <w:rPr>
          <w:rFonts w:ascii="Segoe UI Light" w:hAnsi="Segoe UI Light" w:cs="Segoe UI Light"/>
          <w:sz w:val="24"/>
          <w:szCs w:val="24"/>
        </w:rPr>
        <w:t xml:space="preserve">MIS </w:t>
      </w:r>
      <w:r w:rsidR="00F66710">
        <w:rPr>
          <w:rFonts w:ascii="Segoe UI Light" w:hAnsi="Segoe UI Light" w:cs="Segoe UI Light"/>
          <w:sz w:val="24"/>
          <w:szCs w:val="24"/>
        </w:rPr>
        <w:t xml:space="preserve">requirement </w:t>
      </w:r>
      <w:r w:rsidR="0050152B">
        <w:rPr>
          <w:rFonts w:ascii="Segoe UI Light" w:hAnsi="Segoe UI Light" w:cs="Segoe UI Light"/>
          <w:sz w:val="24"/>
          <w:szCs w:val="24"/>
        </w:rPr>
        <w:t xml:space="preserve">for </w:t>
      </w:r>
      <w:r w:rsidR="00FF26CA">
        <w:rPr>
          <w:rFonts w:ascii="Segoe UI Light" w:hAnsi="Segoe UI Light" w:cs="Segoe UI Light"/>
          <w:sz w:val="24"/>
          <w:szCs w:val="24"/>
        </w:rPr>
        <w:t>an</w:t>
      </w:r>
      <w:r w:rsidR="00F66710">
        <w:rPr>
          <w:rFonts w:ascii="Segoe UI Light" w:hAnsi="Segoe UI Light" w:cs="Segoe UI Light"/>
          <w:sz w:val="24"/>
          <w:szCs w:val="24"/>
        </w:rPr>
        <w:t xml:space="preserve"> AFSL and </w:t>
      </w:r>
      <w:r w:rsidR="002251B1">
        <w:rPr>
          <w:rFonts w:ascii="Segoe UI Light" w:hAnsi="Segoe UI Light" w:cs="Segoe UI Light"/>
          <w:sz w:val="24"/>
          <w:szCs w:val="24"/>
        </w:rPr>
        <w:t>the</w:t>
      </w:r>
      <w:r w:rsidR="00F66710">
        <w:rPr>
          <w:rFonts w:ascii="Segoe UI Light" w:hAnsi="Segoe UI Light" w:cs="Segoe UI Light"/>
          <w:sz w:val="24"/>
          <w:szCs w:val="24"/>
        </w:rPr>
        <w:t xml:space="preserve"> utilis</w:t>
      </w:r>
      <w:r w:rsidR="00FF26CA">
        <w:rPr>
          <w:rFonts w:ascii="Segoe UI Light" w:hAnsi="Segoe UI Light" w:cs="Segoe UI Light"/>
          <w:sz w:val="24"/>
          <w:szCs w:val="24"/>
        </w:rPr>
        <w:t>ation of</w:t>
      </w:r>
      <w:r w:rsidR="00F66710">
        <w:rPr>
          <w:rFonts w:ascii="Segoe UI Light" w:hAnsi="Segoe UI Light" w:cs="Segoe UI Light"/>
          <w:sz w:val="24"/>
          <w:szCs w:val="24"/>
        </w:rPr>
        <w:t xml:space="preserve"> </w:t>
      </w:r>
      <w:r w:rsidR="004B1B7E">
        <w:rPr>
          <w:rFonts w:ascii="Segoe UI Light" w:hAnsi="Segoe UI Light" w:cs="Segoe UI Light"/>
          <w:sz w:val="24"/>
          <w:szCs w:val="24"/>
        </w:rPr>
        <w:t>(</w:t>
      </w:r>
      <w:r w:rsidR="00341D2A">
        <w:rPr>
          <w:rFonts w:ascii="Segoe UI Light" w:hAnsi="Segoe UI Light" w:cs="Segoe UI Light"/>
          <w:sz w:val="24"/>
          <w:szCs w:val="24"/>
        </w:rPr>
        <w:t>only</w:t>
      </w:r>
      <w:r w:rsidR="004B1B7E">
        <w:rPr>
          <w:rFonts w:ascii="Segoe UI Light" w:hAnsi="Segoe UI Light" w:cs="Segoe UI Light"/>
          <w:sz w:val="24"/>
          <w:szCs w:val="24"/>
        </w:rPr>
        <w:t>)</w:t>
      </w:r>
      <w:r w:rsidR="00341D2A">
        <w:rPr>
          <w:rFonts w:ascii="Segoe UI Light" w:hAnsi="Segoe UI Light" w:cs="Segoe UI Light"/>
          <w:sz w:val="24"/>
          <w:szCs w:val="24"/>
        </w:rPr>
        <w:t xml:space="preserve"> </w:t>
      </w:r>
      <w:r w:rsidR="00F66710">
        <w:rPr>
          <w:rFonts w:ascii="Segoe UI Light" w:hAnsi="Segoe UI Light" w:cs="Segoe UI Light"/>
          <w:sz w:val="24"/>
          <w:szCs w:val="24"/>
        </w:rPr>
        <w:t xml:space="preserve">a </w:t>
      </w:r>
      <w:r w:rsidR="00F66710">
        <w:rPr>
          <w:rFonts w:ascii="Segoe UI Light" w:hAnsi="Segoe UI Light" w:cs="Segoe UI Light"/>
          <w:sz w:val="24"/>
          <w:szCs w:val="24"/>
        </w:rPr>
        <w:lastRenderedPageBreak/>
        <w:t xml:space="preserve">public company structure are particularly </w:t>
      </w:r>
      <w:r w:rsidR="002251B1">
        <w:rPr>
          <w:rFonts w:ascii="Segoe UI Light" w:hAnsi="Segoe UI Light" w:cs="Segoe UI Light"/>
          <w:sz w:val="24"/>
          <w:szCs w:val="24"/>
        </w:rPr>
        <w:t>burdensome</w:t>
      </w:r>
      <w:r w:rsidR="00F66710">
        <w:rPr>
          <w:rFonts w:ascii="Segoe UI Light" w:hAnsi="Segoe UI Light" w:cs="Segoe UI Light"/>
          <w:sz w:val="24"/>
          <w:szCs w:val="24"/>
        </w:rPr>
        <w:t xml:space="preserve">.  The disclosure and compliance requirements are both capital and time intensive, and inappropriate to the average CSEF issuer </w:t>
      </w:r>
      <w:r w:rsidR="00FF26CA">
        <w:rPr>
          <w:rFonts w:ascii="Segoe UI Light" w:hAnsi="Segoe UI Light" w:cs="Segoe UI Light"/>
          <w:sz w:val="24"/>
          <w:szCs w:val="24"/>
        </w:rPr>
        <w:t xml:space="preserve">and intermediaries </w:t>
      </w:r>
      <w:r w:rsidR="00F66710">
        <w:rPr>
          <w:rFonts w:ascii="Segoe UI Light" w:hAnsi="Segoe UI Light" w:cs="Segoe UI Light"/>
          <w:sz w:val="24"/>
          <w:szCs w:val="24"/>
        </w:rPr>
        <w:t xml:space="preserve">for that reason.  </w:t>
      </w:r>
      <w:r w:rsidR="002251B1">
        <w:rPr>
          <w:rFonts w:ascii="Segoe UI Light" w:hAnsi="Segoe UI Light" w:cs="Segoe UI Light"/>
          <w:sz w:val="24"/>
          <w:szCs w:val="24"/>
        </w:rPr>
        <w:t>Resultantly, they do not sufficiently facilitate online offers.</w:t>
      </w:r>
    </w:p>
    <w:p w14:paraId="7D9BEA5B" w14:textId="77777777" w:rsidR="00FF26CA" w:rsidRDefault="00FF26CA" w:rsidP="00D66499">
      <w:pPr>
        <w:jc w:val="both"/>
        <w:rPr>
          <w:rFonts w:ascii="Segoe UI Light" w:hAnsi="Segoe UI Light" w:cs="Segoe UI Light"/>
          <w:sz w:val="24"/>
          <w:szCs w:val="24"/>
        </w:rPr>
      </w:pPr>
    </w:p>
    <w:p w14:paraId="617A9F6A" w14:textId="77777777" w:rsidR="00D8047F" w:rsidRDefault="00FF26CA" w:rsidP="00D66499">
      <w:pPr>
        <w:jc w:val="both"/>
        <w:rPr>
          <w:rFonts w:ascii="Segoe UI Light" w:hAnsi="Segoe UI Light" w:cs="Segoe UI Light"/>
          <w:sz w:val="24"/>
          <w:szCs w:val="24"/>
        </w:rPr>
      </w:pPr>
      <w:r>
        <w:rPr>
          <w:rFonts w:ascii="Segoe UI Light" w:hAnsi="Segoe UI Light" w:cs="Segoe UI Light"/>
          <w:sz w:val="24"/>
          <w:szCs w:val="24"/>
        </w:rPr>
        <w:t>T</w:t>
      </w:r>
      <w:r w:rsidR="00F66710">
        <w:rPr>
          <w:rFonts w:ascii="Segoe UI Light" w:hAnsi="Segoe UI Light" w:cs="Segoe UI Light"/>
          <w:sz w:val="24"/>
          <w:szCs w:val="24"/>
        </w:rPr>
        <w:t xml:space="preserve">he requirement for an AFSL (which is suggested </w:t>
      </w:r>
      <w:r w:rsidR="00C9776A">
        <w:rPr>
          <w:rFonts w:ascii="Segoe UI Light" w:hAnsi="Segoe UI Light" w:cs="Segoe UI Light"/>
          <w:sz w:val="24"/>
          <w:szCs w:val="24"/>
        </w:rPr>
        <w:t xml:space="preserve">in </w:t>
      </w:r>
      <w:r w:rsidR="00F66710">
        <w:rPr>
          <w:rFonts w:ascii="Segoe UI Light" w:hAnsi="Segoe UI Light" w:cs="Segoe UI Light"/>
          <w:sz w:val="24"/>
          <w:szCs w:val="24"/>
        </w:rPr>
        <w:t xml:space="preserve">the CAMAC model), is </w:t>
      </w:r>
      <w:r w:rsidR="00E92E87">
        <w:rPr>
          <w:rFonts w:ascii="Segoe UI Light" w:hAnsi="Segoe UI Light" w:cs="Segoe UI Light"/>
          <w:sz w:val="24"/>
          <w:szCs w:val="24"/>
        </w:rPr>
        <w:t xml:space="preserve">also </w:t>
      </w:r>
      <w:r w:rsidR="00C9776A">
        <w:rPr>
          <w:rFonts w:ascii="Segoe UI Light" w:hAnsi="Segoe UI Light" w:cs="Segoe UI Light"/>
          <w:sz w:val="24"/>
          <w:szCs w:val="24"/>
        </w:rPr>
        <w:t xml:space="preserve">burdensome for intermediaries.  It is both very expensive to maintain on an ongoing basis, and also posits a high ‘entry’ threshold that arguably goes above and beyond what is required in the CSEF context.  It is in this regard that </w:t>
      </w:r>
      <w:proofErr w:type="spellStart"/>
      <w:r w:rsidR="00C9776A">
        <w:rPr>
          <w:rFonts w:ascii="Segoe UI Light" w:hAnsi="Segoe UI Light" w:cs="Segoe UI Light"/>
          <w:b/>
          <w:i/>
          <w:sz w:val="24"/>
          <w:szCs w:val="24"/>
        </w:rPr>
        <w:t>incubatr</w:t>
      </w:r>
      <w:proofErr w:type="spellEnd"/>
      <w:r w:rsidR="00C9776A">
        <w:rPr>
          <w:rFonts w:ascii="Segoe UI Light" w:hAnsi="Segoe UI Light" w:cs="Segoe UI Light"/>
          <w:b/>
          <w:i/>
          <w:sz w:val="24"/>
          <w:szCs w:val="24"/>
        </w:rPr>
        <w:t xml:space="preserve"> </w:t>
      </w:r>
      <w:r w:rsidR="00F40CA2">
        <w:rPr>
          <w:rFonts w:ascii="Segoe UI Light" w:hAnsi="Segoe UI Light" w:cs="Segoe UI Light"/>
          <w:sz w:val="24"/>
          <w:szCs w:val="24"/>
        </w:rPr>
        <w:t xml:space="preserve">views New Zealand’s licensing regime as striking the correct balance in terms of cost, ease of application for intermediaries and protection </w:t>
      </w:r>
      <w:r w:rsidR="00E92E87">
        <w:rPr>
          <w:rFonts w:ascii="Segoe UI Light" w:hAnsi="Segoe UI Light" w:cs="Segoe UI Light"/>
          <w:sz w:val="24"/>
          <w:szCs w:val="24"/>
        </w:rPr>
        <w:t>of</w:t>
      </w:r>
      <w:r w:rsidR="00F40CA2">
        <w:rPr>
          <w:rFonts w:ascii="Segoe UI Light" w:hAnsi="Segoe UI Light" w:cs="Segoe UI Light"/>
          <w:sz w:val="24"/>
          <w:szCs w:val="24"/>
        </w:rPr>
        <w:t xml:space="preserve"> investors.</w:t>
      </w:r>
      <w:r w:rsidR="00205385">
        <w:rPr>
          <w:rFonts w:ascii="Segoe UI Light" w:hAnsi="Segoe UI Light" w:cs="Segoe UI Light"/>
          <w:sz w:val="24"/>
          <w:szCs w:val="24"/>
        </w:rPr>
        <w:t xml:space="preserve">    </w:t>
      </w:r>
      <w:r w:rsidR="00F66710">
        <w:rPr>
          <w:rFonts w:ascii="Segoe UI Light" w:hAnsi="Segoe UI Light" w:cs="Segoe UI Light"/>
          <w:sz w:val="24"/>
          <w:szCs w:val="24"/>
        </w:rPr>
        <w:t xml:space="preserve">   </w:t>
      </w:r>
      <w:r w:rsidR="00F46D23">
        <w:rPr>
          <w:rFonts w:ascii="Segoe UI Light" w:hAnsi="Segoe UI Light" w:cs="Segoe UI Light"/>
          <w:sz w:val="24"/>
          <w:szCs w:val="24"/>
        </w:rPr>
        <w:t xml:space="preserve"> </w:t>
      </w:r>
    </w:p>
    <w:p w14:paraId="3842972D" w14:textId="77777777" w:rsidR="00D8047F" w:rsidRPr="00360171" w:rsidRDefault="00D8047F" w:rsidP="00D66499">
      <w:pPr>
        <w:jc w:val="both"/>
        <w:rPr>
          <w:rFonts w:ascii="Segoe UI Light" w:hAnsi="Segoe UI Light" w:cs="Segoe UI Light"/>
          <w:b/>
          <w:sz w:val="24"/>
          <w:szCs w:val="24"/>
        </w:rPr>
      </w:pPr>
    </w:p>
    <w:p w14:paraId="6DAE61E0" w14:textId="77777777" w:rsidR="00D8047F" w:rsidRDefault="001001B1" w:rsidP="00D66499">
      <w:pPr>
        <w:jc w:val="both"/>
        <w:rPr>
          <w:rFonts w:ascii="Segoe UI Light" w:hAnsi="Segoe UI Light" w:cs="Segoe UI Light"/>
          <w:sz w:val="24"/>
          <w:szCs w:val="24"/>
        </w:rPr>
      </w:pPr>
      <w:r>
        <w:rPr>
          <w:rFonts w:ascii="Segoe UI Light" w:hAnsi="Segoe UI Light" w:cs="Segoe UI Light"/>
          <w:sz w:val="24"/>
          <w:szCs w:val="24"/>
        </w:rPr>
        <w:t>The status quo position is further complicated by a</w:t>
      </w:r>
      <w:r w:rsidR="00884597" w:rsidRPr="00360171">
        <w:rPr>
          <w:rFonts w:ascii="Segoe UI Light" w:hAnsi="Segoe UI Light" w:cs="Segoe UI Light"/>
          <w:sz w:val="24"/>
          <w:szCs w:val="24"/>
        </w:rPr>
        <w:t>dditional</w:t>
      </w:r>
      <w:r w:rsidR="007B6C67" w:rsidRPr="00360171">
        <w:rPr>
          <w:rFonts w:ascii="Segoe UI Light" w:hAnsi="Segoe UI Light" w:cs="Segoe UI Light"/>
          <w:sz w:val="24"/>
          <w:szCs w:val="24"/>
        </w:rPr>
        <w:t xml:space="preserve"> </w:t>
      </w:r>
      <w:r w:rsidR="002401AA" w:rsidRPr="00360171">
        <w:rPr>
          <w:rFonts w:ascii="Segoe UI Light" w:hAnsi="Segoe UI Light" w:cs="Segoe UI Light"/>
          <w:sz w:val="24"/>
          <w:szCs w:val="24"/>
        </w:rPr>
        <w:t xml:space="preserve">barriers to </w:t>
      </w:r>
      <w:r w:rsidR="00635383" w:rsidRPr="00360171">
        <w:rPr>
          <w:rFonts w:ascii="Segoe UI Light" w:hAnsi="Segoe UI Light" w:cs="Segoe UI Light"/>
          <w:sz w:val="24"/>
          <w:szCs w:val="24"/>
        </w:rPr>
        <w:t>the feasible implementation</w:t>
      </w:r>
      <w:r w:rsidR="002401AA" w:rsidRPr="00360171">
        <w:rPr>
          <w:rFonts w:ascii="Segoe UI Light" w:hAnsi="Segoe UI Light" w:cs="Segoe UI Light"/>
          <w:sz w:val="24"/>
          <w:szCs w:val="24"/>
        </w:rPr>
        <w:t xml:space="preserve"> of CSEF in Australia</w:t>
      </w:r>
      <w:r w:rsidR="00D06159">
        <w:rPr>
          <w:rFonts w:ascii="Segoe UI Light" w:hAnsi="Segoe UI Light" w:cs="Segoe UI Light"/>
          <w:sz w:val="24"/>
          <w:szCs w:val="24"/>
        </w:rPr>
        <w:t xml:space="preserve"> such as </w:t>
      </w:r>
      <w:r w:rsidR="00F44180" w:rsidRPr="00360171">
        <w:rPr>
          <w:rFonts w:ascii="Segoe UI Light" w:hAnsi="Segoe UI Light" w:cs="Segoe UI Light"/>
          <w:sz w:val="24"/>
          <w:szCs w:val="24"/>
        </w:rPr>
        <w:t>restrictions on advertising equity offers</w:t>
      </w:r>
      <w:r w:rsidR="00A146E8">
        <w:rPr>
          <w:rFonts w:ascii="Segoe UI Light" w:hAnsi="Segoe UI Light" w:cs="Segoe UI Light"/>
          <w:sz w:val="24"/>
          <w:szCs w:val="24"/>
        </w:rPr>
        <w:t xml:space="preserve"> even if pursuant to the</w:t>
      </w:r>
      <w:r w:rsidR="00A0732D" w:rsidRPr="00A0732D">
        <w:t xml:space="preserve"> </w:t>
      </w:r>
      <w:r w:rsidR="00A0732D" w:rsidRPr="00A0732D">
        <w:rPr>
          <w:rFonts w:ascii="Segoe UI Light" w:hAnsi="Segoe UI Light" w:cs="Segoe UI Light"/>
          <w:sz w:val="24"/>
          <w:szCs w:val="24"/>
        </w:rPr>
        <w:t>small scale personal offer exemption</w:t>
      </w:r>
      <w:r w:rsidR="00D06159">
        <w:rPr>
          <w:rFonts w:ascii="Segoe UI Light" w:hAnsi="Segoe UI Light" w:cs="Segoe UI Light"/>
          <w:sz w:val="24"/>
          <w:szCs w:val="24"/>
        </w:rPr>
        <w:t>.</w:t>
      </w:r>
      <w:r w:rsidR="00A146E8">
        <w:rPr>
          <w:rStyle w:val="FootnoteReference"/>
          <w:rFonts w:ascii="Segoe UI Light" w:hAnsi="Segoe UI Light" w:cs="Segoe UI Light"/>
          <w:sz w:val="24"/>
          <w:szCs w:val="24"/>
        </w:rPr>
        <w:footnoteReference w:id="3"/>
      </w:r>
      <w:r w:rsidR="00D06159">
        <w:rPr>
          <w:rFonts w:ascii="Segoe UI Light" w:hAnsi="Segoe UI Light" w:cs="Segoe UI Light"/>
          <w:sz w:val="24"/>
          <w:szCs w:val="24"/>
        </w:rPr>
        <w:t xml:space="preserve">  Taken cumulatively</w:t>
      </w:r>
      <w:r w:rsidR="00F44180" w:rsidRPr="00360171">
        <w:rPr>
          <w:rFonts w:ascii="Segoe UI Light" w:hAnsi="Segoe UI Light" w:cs="Segoe UI Light"/>
          <w:sz w:val="24"/>
          <w:szCs w:val="24"/>
        </w:rPr>
        <w:t>, the regulatory burden</w:t>
      </w:r>
      <w:r w:rsidR="007630E3" w:rsidRPr="00360171">
        <w:rPr>
          <w:rFonts w:ascii="Segoe UI Light" w:hAnsi="Segoe UI Light" w:cs="Segoe UI Light"/>
          <w:sz w:val="24"/>
          <w:szCs w:val="24"/>
        </w:rPr>
        <w:t>, disclosure</w:t>
      </w:r>
      <w:r w:rsidR="00F44180" w:rsidRPr="00360171">
        <w:rPr>
          <w:rFonts w:ascii="Segoe UI Light" w:hAnsi="Segoe UI Light" w:cs="Segoe UI Light"/>
          <w:sz w:val="24"/>
          <w:szCs w:val="24"/>
        </w:rPr>
        <w:t xml:space="preserve"> and compliance </w:t>
      </w:r>
      <w:r w:rsidR="00F56BC0" w:rsidRPr="00360171">
        <w:rPr>
          <w:rFonts w:ascii="Segoe UI Light" w:hAnsi="Segoe UI Light" w:cs="Segoe UI Light"/>
          <w:sz w:val="24"/>
          <w:szCs w:val="24"/>
        </w:rPr>
        <w:t>requirements</w:t>
      </w:r>
      <w:r w:rsidR="00D06159">
        <w:rPr>
          <w:rFonts w:ascii="Segoe UI Light" w:hAnsi="Segoe UI Light" w:cs="Segoe UI Light"/>
          <w:sz w:val="24"/>
          <w:szCs w:val="24"/>
        </w:rPr>
        <w:t xml:space="preserve">, </w:t>
      </w:r>
      <w:r w:rsidR="00CB0424">
        <w:rPr>
          <w:rFonts w:ascii="Segoe UI Light" w:hAnsi="Segoe UI Light" w:cs="Segoe UI Light"/>
          <w:sz w:val="24"/>
          <w:szCs w:val="24"/>
        </w:rPr>
        <w:t xml:space="preserve">the lack of applicability to proprietary limited companies, </w:t>
      </w:r>
      <w:r w:rsidR="00D06159">
        <w:rPr>
          <w:rFonts w:ascii="Segoe UI Light" w:hAnsi="Segoe UI Light" w:cs="Segoe UI Light"/>
          <w:sz w:val="24"/>
          <w:szCs w:val="24"/>
        </w:rPr>
        <w:t>and th</w:t>
      </w:r>
      <w:r w:rsidR="00F44180" w:rsidRPr="00360171">
        <w:rPr>
          <w:rFonts w:ascii="Segoe UI Light" w:hAnsi="Segoe UI Light" w:cs="Segoe UI Light"/>
          <w:sz w:val="24"/>
          <w:szCs w:val="24"/>
        </w:rPr>
        <w:t>e requirement for an AFSL affect the viability of the model</w:t>
      </w:r>
      <w:r w:rsidR="00CB0424">
        <w:rPr>
          <w:rFonts w:ascii="Segoe UI Light" w:hAnsi="Segoe UI Light" w:cs="Segoe UI Light"/>
          <w:sz w:val="24"/>
          <w:szCs w:val="24"/>
        </w:rPr>
        <w:t>.  Further</w:t>
      </w:r>
      <w:r w:rsidR="00F44180" w:rsidRPr="00360171">
        <w:rPr>
          <w:rFonts w:ascii="Segoe UI Light" w:hAnsi="Segoe UI Light" w:cs="Segoe UI Light"/>
          <w:sz w:val="24"/>
          <w:szCs w:val="24"/>
        </w:rPr>
        <w:t xml:space="preserve">, the requirements </w:t>
      </w:r>
      <w:r w:rsidR="00D06159">
        <w:rPr>
          <w:rFonts w:ascii="Segoe UI Light" w:hAnsi="Segoe UI Light" w:cs="Segoe UI Light"/>
          <w:sz w:val="24"/>
          <w:szCs w:val="24"/>
        </w:rPr>
        <w:t>do not sit comfortably with the policy goal of CSEF</w:t>
      </w:r>
      <w:r w:rsidR="00CB0424">
        <w:rPr>
          <w:rFonts w:ascii="Segoe UI Light" w:hAnsi="Segoe UI Light" w:cs="Segoe UI Light"/>
          <w:sz w:val="24"/>
          <w:szCs w:val="24"/>
        </w:rPr>
        <w:t xml:space="preserve"> to </w:t>
      </w:r>
      <w:r w:rsidR="00D06159">
        <w:rPr>
          <w:rFonts w:ascii="Segoe UI Light" w:hAnsi="Segoe UI Light" w:cs="Segoe UI Light"/>
          <w:sz w:val="24"/>
          <w:szCs w:val="24"/>
        </w:rPr>
        <w:t>facilitat</w:t>
      </w:r>
      <w:r w:rsidR="00CB0424">
        <w:rPr>
          <w:rFonts w:ascii="Segoe UI Light" w:hAnsi="Segoe UI Light" w:cs="Segoe UI Light"/>
          <w:sz w:val="24"/>
          <w:szCs w:val="24"/>
        </w:rPr>
        <w:t xml:space="preserve">e the movement of </w:t>
      </w:r>
      <w:r w:rsidR="00D06159">
        <w:rPr>
          <w:rFonts w:ascii="Segoe UI Light" w:hAnsi="Segoe UI Light" w:cs="Segoe UI Light"/>
          <w:sz w:val="24"/>
          <w:szCs w:val="24"/>
        </w:rPr>
        <w:t>capital to new ventures and businesses in order to aid innovation and growth</w:t>
      </w:r>
      <w:r w:rsidR="00F44180" w:rsidRPr="00360171">
        <w:rPr>
          <w:rFonts w:ascii="Segoe UI Light" w:hAnsi="Segoe UI Light" w:cs="Segoe UI Light"/>
          <w:sz w:val="24"/>
          <w:szCs w:val="24"/>
        </w:rPr>
        <w:t xml:space="preserve">.  </w:t>
      </w:r>
    </w:p>
    <w:p w14:paraId="55EDC7FC" w14:textId="77777777" w:rsidR="00333705" w:rsidRDefault="00333705" w:rsidP="00D66499">
      <w:pPr>
        <w:jc w:val="both"/>
        <w:rPr>
          <w:rFonts w:ascii="Segoe UI Light" w:hAnsi="Segoe UI Light" w:cs="Segoe UI Light"/>
          <w:sz w:val="24"/>
          <w:szCs w:val="24"/>
        </w:rPr>
      </w:pPr>
    </w:p>
    <w:p w14:paraId="1E1DE0E5" w14:textId="77777777" w:rsidR="001457B7" w:rsidRDefault="0068725D">
      <w:pPr>
        <w:jc w:val="both"/>
        <w:rPr>
          <w:rFonts w:ascii="Segoe UI Light" w:hAnsi="Segoe UI Light" w:cs="Segoe UI Light"/>
          <w:sz w:val="24"/>
          <w:szCs w:val="24"/>
        </w:rPr>
      </w:pPr>
      <w:r>
        <w:rPr>
          <w:rFonts w:ascii="Segoe UI Light" w:hAnsi="Segoe UI Light" w:cs="Segoe UI Light"/>
          <w:sz w:val="24"/>
          <w:szCs w:val="24"/>
        </w:rPr>
        <w:t>Whether it is desirable that there be a broader application of the CSEF concept depends partly upon the definition of small business; of which there is no consistent usage between various government departments</w:t>
      </w:r>
      <w:r w:rsidR="009C64E2">
        <w:rPr>
          <w:rFonts w:ascii="Segoe UI Light" w:hAnsi="Segoe UI Light" w:cs="Segoe UI Light"/>
          <w:sz w:val="24"/>
          <w:szCs w:val="24"/>
        </w:rPr>
        <w:t>.</w:t>
      </w:r>
      <w:r w:rsidR="009C64E2">
        <w:rPr>
          <w:rStyle w:val="FootnoteReference"/>
          <w:rFonts w:ascii="Segoe UI Light" w:hAnsi="Segoe UI Light" w:cs="Segoe UI Light"/>
          <w:sz w:val="24"/>
          <w:szCs w:val="24"/>
        </w:rPr>
        <w:footnoteReference w:id="4"/>
      </w:r>
      <w:r>
        <w:rPr>
          <w:rFonts w:ascii="Segoe UI Light" w:hAnsi="Segoe UI Light" w:cs="Segoe UI Light"/>
          <w:sz w:val="24"/>
          <w:szCs w:val="24"/>
        </w:rPr>
        <w:t xml:space="preserve">  If the Australian Tax Office’s definition of $2M in turnover</w:t>
      </w:r>
      <w:r w:rsidR="009C64E2">
        <w:rPr>
          <w:rStyle w:val="FootnoteReference"/>
          <w:rFonts w:ascii="Segoe UI Light" w:hAnsi="Segoe UI Light" w:cs="Segoe UI Light"/>
          <w:sz w:val="24"/>
          <w:szCs w:val="24"/>
        </w:rPr>
        <w:footnoteReference w:id="5"/>
      </w:r>
      <w:r>
        <w:rPr>
          <w:rFonts w:ascii="Segoe UI Light" w:hAnsi="Segoe UI Light" w:cs="Segoe UI Light"/>
          <w:sz w:val="24"/>
          <w:szCs w:val="24"/>
        </w:rPr>
        <w:t xml:space="preserve"> is utilised, then this is clearly inadequate as evidenced by CAMAC’s suggested revenue limit of $5M </w:t>
      </w:r>
      <w:r w:rsidR="005053E3">
        <w:rPr>
          <w:rFonts w:ascii="Segoe UI Light" w:hAnsi="Segoe UI Light" w:cs="Segoe UI Light"/>
          <w:sz w:val="24"/>
          <w:szCs w:val="24"/>
        </w:rPr>
        <w:t xml:space="preserve">for </w:t>
      </w:r>
      <w:r>
        <w:rPr>
          <w:rFonts w:ascii="Segoe UI Light" w:hAnsi="Segoe UI Light" w:cs="Segoe UI Light"/>
          <w:sz w:val="24"/>
          <w:szCs w:val="24"/>
        </w:rPr>
        <w:t xml:space="preserve">the exempt public company.  Putting aside definitional issues, it is </w:t>
      </w:r>
      <w:proofErr w:type="spellStart"/>
      <w:r>
        <w:rPr>
          <w:rFonts w:ascii="Segoe UI Light" w:hAnsi="Segoe UI Light" w:cs="Segoe UI Light"/>
          <w:b/>
          <w:i/>
          <w:sz w:val="24"/>
          <w:szCs w:val="24"/>
        </w:rPr>
        <w:t>i</w:t>
      </w:r>
      <w:r w:rsidR="00CE51B0">
        <w:rPr>
          <w:rFonts w:ascii="Segoe UI Light" w:hAnsi="Segoe UI Light" w:cs="Segoe UI Light"/>
          <w:b/>
          <w:i/>
          <w:sz w:val="24"/>
          <w:szCs w:val="24"/>
        </w:rPr>
        <w:t>ncubatr</w:t>
      </w:r>
      <w:r w:rsidR="00480A42">
        <w:rPr>
          <w:rFonts w:ascii="Segoe UI Light" w:hAnsi="Segoe UI Light" w:cs="Segoe UI Light"/>
          <w:b/>
          <w:i/>
          <w:sz w:val="24"/>
          <w:szCs w:val="24"/>
        </w:rPr>
        <w:t>’s</w:t>
      </w:r>
      <w:proofErr w:type="spellEnd"/>
      <w:r w:rsidR="00CE51B0">
        <w:rPr>
          <w:rFonts w:ascii="Segoe UI Light" w:hAnsi="Segoe UI Light" w:cs="Segoe UI Light"/>
          <w:b/>
          <w:i/>
          <w:sz w:val="24"/>
          <w:szCs w:val="24"/>
        </w:rPr>
        <w:t xml:space="preserve"> </w:t>
      </w:r>
      <w:r w:rsidR="00CE51B0">
        <w:rPr>
          <w:rFonts w:ascii="Segoe UI Light" w:hAnsi="Segoe UI Light" w:cs="Segoe UI Light"/>
          <w:sz w:val="24"/>
          <w:szCs w:val="24"/>
        </w:rPr>
        <w:t>view that there is a broader financing role to be played by CSEF.  The benefit and strength of CSEF is its potential to allocate capital effectively to businesses in need of capital.</w:t>
      </w:r>
      <w:r w:rsidR="00480A42">
        <w:rPr>
          <w:rFonts w:ascii="Segoe UI Light" w:hAnsi="Segoe UI Light" w:cs="Segoe UI Light"/>
          <w:sz w:val="24"/>
          <w:szCs w:val="24"/>
        </w:rPr>
        <w:t xml:space="preserve">  This is consistent with CSEF’s </w:t>
      </w:r>
      <w:r w:rsidR="00333705">
        <w:rPr>
          <w:rFonts w:ascii="Segoe UI Light" w:hAnsi="Segoe UI Light" w:cs="Segoe UI Light"/>
          <w:sz w:val="24"/>
          <w:szCs w:val="24"/>
        </w:rPr>
        <w:t xml:space="preserve">core </w:t>
      </w:r>
      <w:r w:rsidR="00480A42">
        <w:rPr>
          <w:rFonts w:ascii="Segoe UI Light" w:hAnsi="Segoe UI Light" w:cs="Segoe UI Light"/>
          <w:sz w:val="24"/>
          <w:szCs w:val="24"/>
        </w:rPr>
        <w:t xml:space="preserve">policy </w:t>
      </w:r>
      <w:r w:rsidR="00333705">
        <w:rPr>
          <w:rFonts w:ascii="Segoe UI Light" w:hAnsi="Segoe UI Light" w:cs="Segoe UI Light"/>
          <w:sz w:val="24"/>
          <w:szCs w:val="24"/>
        </w:rPr>
        <w:t xml:space="preserve">driver </w:t>
      </w:r>
      <w:r w:rsidR="00480A42">
        <w:rPr>
          <w:rFonts w:ascii="Segoe UI Light" w:hAnsi="Segoe UI Light" w:cs="Segoe UI Light"/>
          <w:sz w:val="24"/>
          <w:szCs w:val="24"/>
        </w:rPr>
        <w:t xml:space="preserve">of </w:t>
      </w:r>
      <w:r w:rsidR="00333705">
        <w:rPr>
          <w:rFonts w:ascii="Segoe UI Light" w:hAnsi="Segoe UI Light" w:cs="Segoe UI Light"/>
          <w:sz w:val="24"/>
          <w:szCs w:val="24"/>
        </w:rPr>
        <w:t>foster</w:t>
      </w:r>
      <w:r w:rsidR="00480A42">
        <w:rPr>
          <w:rFonts w:ascii="Segoe UI Light" w:hAnsi="Segoe UI Light" w:cs="Segoe UI Light"/>
          <w:sz w:val="24"/>
          <w:szCs w:val="24"/>
        </w:rPr>
        <w:t xml:space="preserve">ing </w:t>
      </w:r>
      <w:r w:rsidR="00333705">
        <w:rPr>
          <w:rFonts w:ascii="Segoe UI Light" w:hAnsi="Segoe UI Light" w:cs="Segoe UI Light"/>
          <w:sz w:val="24"/>
          <w:szCs w:val="24"/>
        </w:rPr>
        <w:t>growth and innovation</w:t>
      </w:r>
      <w:r w:rsidR="00480A42">
        <w:rPr>
          <w:rFonts w:ascii="Segoe UI Light" w:hAnsi="Segoe UI Light" w:cs="Segoe UI Light"/>
          <w:sz w:val="24"/>
          <w:szCs w:val="24"/>
        </w:rPr>
        <w:t xml:space="preserve"> and it is therefore in </w:t>
      </w:r>
      <w:proofErr w:type="spellStart"/>
      <w:r w:rsidR="00480A42">
        <w:rPr>
          <w:rFonts w:ascii="Segoe UI Light" w:hAnsi="Segoe UI Light" w:cs="Segoe UI Light"/>
          <w:b/>
          <w:i/>
          <w:sz w:val="24"/>
          <w:szCs w:val="24"/>
        </w:rPr>
        <w:t>incubatr’s</w:t>
      </w:r>
      <w:proofErr w:type="spellEnd"/>
      <w:r w:rsidR="00480A42">
        <w:rPr>
          <w:rFonts w:ascii="Segoe UI Light" w:hAnsi="Segoe UI Light" w:cs="Segoe UI Light"/>
          <w:b/>
          <w:i/>
          <w:sz w:val="24"/>
          <w:szCs w:val="24"/>
        </w:rPr>
        <w:t xml:space="preserve"> </w:t>
      </w:r>
      <w:r w:rsidR="00480A42">
        <w:rPr>
          <w:rFonts w:ascii="Segoe UI Light" w:hAnsi="Segoe UI Light" w:cs="Segoe UI Light"/>
          <w:sz w:val="24"/>
          <w:szCs w:val="24"/>
        </w:rPr>
        <w:t xml:space="preserve">view that </w:t>
      </w:r>
      <w:r w:rsidR="009C64E2">
        <w:rPr>
          <w:rFonts w:ascii="Segoe UI Light" w:hAnsi="Segoe UI Light" w:cs="Segoe UI Light"/>
          <w:sz w:val="24"/>
          <w:szCs w:val="24"/>
        </w:rPr>
        <w:t xml:space="preserve">limits which are </w:t>
      </w:r>
      <w:r w:rsidR="00480A42">
        <w:rPr>
          <w:rFonts w:ascii="Segoe UI Light" w:hAnsi="Segoe UI Light" w:cs="Segoe UI Light"/>
          <w:sz w:val="24"/>
          <w:szCs w:val="24"/>
        </w:rPr>
        <w:t xml:space="preserve">too restrictive </w:t>
      </w:r>
      <w:r w:rsidR="009C64E2">
        <w:rPr>
          <w:rFonts w:ascii="Segoe UI Light" w:hAnsi="Segoe UI Light" w:cs="Segoe UI Light"/>
          <w:sz w:val="24"/>
          <w:szCs w:val="24"/>
        </w:rPr>
        <w:t>should be avoided.</w:t>
      </w:r>
      <w:r w:rsidR="00480A42">
        <w:rPr>
          <w:rFonts w:ascii="Segoe UI Light" w:hAnsi="Segoe UI Light" w:cs="Segoe UI Light"/>
          <w:sz w:val="24"/>
          <w:szCs w:val="24"/>
        </w:rPr>
        <w:t xml:space="preserve"> </w:t>
      </w:r>
      <w:r w:rsidR="00333705">
        <w:rPr>
          <w:rFonts w:ascii="Segoe UI Light" w:hAnsi="Segoe UI Light" w:cs="Segoe UI Light"/>
          <w:sz w:val="24"/>
          <w:szCs w:val="24"/>
        </w:rPr>
        <w:t xml:space="preserve"> </w:t>
      </w:r>
    </w:p>
    <w:p w14:paraId="7B497C91" w14:textId="77777777" w:rsidR="001457B7" w:rsidRDefault="001457B7" w:rsidP="00D66499">
      <w:pPr>
        <w:jc w:val="both"/>
        <w:rPr>
          <w:rFonts w:ascii="Segoe UI Light" w:hAnsi="Segoe UI Light" w:cs="Segoe UI Light"/>
          <w:sz w:val="24"/>
          <w:szCs w:val="24"/>
        </w:rPr>
      </w:pPr>
    </w:p>
    <w:p w14:paraId="4D3CBC8A" w14:textId="77777777" w:rsidR="00055A98" w:rsidRPr="00360171" w:rsidRDefault="00AF73D2" w:rsidP="00D66499">
      <w:pPr>
        <w:jc w:val="both"/>
        <w:rPr>
          <w:rFonts w:ascii="Segoe UI Light" w:hAnsi="Segoe UI Light" w:cs="Segoe UI Light"/>
          <w:sz w:val="24"/>
          <w:szCs w:val="24"/>
        </w:rPr>
      </w:pPr>
      <w:r>
        <w:rPr>
          <w:rFonts w:ascii="Segoe UI Light" w:hAnsi="Segoe UI Light" w:cs="Segoe UI Light"/>
          <w:sz w:val="24"/>
          <w:szCs w:val="24"/>
        </w:rPr>
        <w:lastRenderedPageBreak/>
        <w:t xml:space="preserve">Whilst </w:t>
      </w:r>
      <w:proofErr w:type="spellStart"/>
      <w:r>
        <w:rPr>
          <w:rFonts w:ascii="Segoe UI Light" w:hAnsi="Segoe UI Light" w:cs="Segoe UI Light"/>
          <w:b/>
          <w:i/>
          <w:sz w:val="24"/>
          <w:szCs w:val="24"/>
        </w:rPr>
        <w:t>incubatr</w:t>
      </w:r>
      <w:proofErr w:type="spellEnd"/>
      <w:r>
        <w:rPr>
          <w:rFonts w:ascii="Segoe UI Light" w:hAnsi="Segoe UI Light" w:cs="Segoe UI Light"/>
          <w:b/>
          <w:i/>
          <w:sz w:val="24"/>
          <w:szCs w:val="24"/>
        </w:rPr>
        <w:t xml:space="preserve"> </w:t>
      </w:r>
      <w:r>
        <w:rPr>
          <w:rFonts w:ascii="Segoe UI Light" w:hAnsi="Segoe UI Light" w:cs="Segoe UI Light"/>
          <w:sz w:val="24"/>
          <w:szCs w:val="24"/>
        </w:rPr>
        <w:t xml:space="preserve">acknowledges that an extension of the CSEF principle to </w:t>
      </w:r>
      <w:r w:rsidR="001457B7">
        <w:rPr>
          <w:rFonts w:ascii="Segoe UI Light" w:hAnsi="Segoe UI Light" w:cs="Segoe UI Light"/>
          <w:sz w:val="24"/>
          <w:szCs w:val="24"/>
        </w:rPr>
        <w:t xml:space="preserve">other areas </w:t>
      </w:r>
      <w:r>
        <w:rPr>
          <w:rFonts w:ascii="Segoe UI Light" w:hAnsi="Segoe UI Light" w:cs="Segoe UI Light"/>
          <w:sz w:val="24"/>
          <w:szCs w:val="24"/>
        </w:rPr>
        <w:t xml:space="preserve">may require </w:t>
      </w:r>
      <w:r w:rsidR="001457B7">
        <w:rPr>
          <w:rFonts w:ascii="Segoe UI Light" w:hAnsi="Segoe UI Light" w:cs="Segoe UI Light"/>
          <w:sz w:val="24"/>
          <w:szCs w:val="24"/>
        </w:rPr>
        <w:t xml:space="preserve">reasonable additional regulatory safeguards, there is no reason (from a policy perspective) that it should not be a considered extension </w:t>
      </w:r>
      <w:r w:rsidR="006457DF">
        <w:rPr>
          <w:rFonts w:ascii="Segoe UI Light" w:hAnsi="Segoe UI Light" w:cs="Segoe UI Light"/>
          <w:sz w:val="24"/>
          <w:szCs w:val="24"/>
        </w:rPr>
        <w:t xml:space="preserve">to </w:t>
      </w:r>
      <w:r w:rsidR="001457B7">
        <w:rPr>
          <w:rFonts w:ascii="Segoe UI Light" w:hAnsi="Segoe UI Light" w:cs="Segoe UI Light"/>
          <w:sz w:val="24"/>
          <w:szCs w:val="24"/>
        </w:rPr>
        <w:t xml:space="preserve">any </w:t>
      </w:r>
      <w:r w:rsidR="006457DF">
        <w:rPr>
          <w:rFonts w:ascii="Segoe UI Light" w:hAnsi="Segoe UI Light" w:cs="Segoe UI Light"/>
          <w:sz w:val="24"/>
          <w:szCs w:val="24"/>
        </w:rPr>
        <w:t xml:space="preserve">forthcoming </w:t>
      </w:r>
      <w:r w:rsidR="001457B7">
        <w:rPr>
          <w:rFonts w:ascii="Segoe UI Light" w:hAnsi="Segoe UI Light" w:cs="Segoe UI Light"/>
          <w:sz w:val="24"/>
          <w:szCs w:val="24"/>
        </w:rPr>
        <w:t xml:space="preserve">existing CSEF model.  On the contrary, they seek to accomplish the same policy objectives.  </w:t>
      </w:r>
    </w:p>
    <w:p w14:paraId="2E19C955" w14:textId="77777777" w:rsidR="008725D9" w:rsidRPr="00A9751C" w:rsidRDefault="008725D9" w:rsidP="00D66499">
      <w:pPr>
        <w:jc w:val="both"/>
        <w:rPr>
          <w:rFonts w:ascii="Segoe UI Light" w:hAnsi="Segoe UI Light" w:cs="Segoe UI Light"/>
          <w:b/>
          <w:sz w:val="24"/>
          <w:szCs w:val="24"/>
        </w:rPr>
      </w:pPr>
    </w:p>
    <w:p w14:paraId="2E4D9B7F" w14:textId="77777777" w:rsidR="00055A98" w:rsidRPr="006623B5" w:rsidRDefault="00F7175A" w:rsidP="00D66499">
      <w:pPr>
        <w:jc w:val="both"/>
        <w:rPr>
          <w:rFonts w:ascii="Segoe UI Light" w:hAnsi="Segoe UI Light" w:cs="Segoe UI Light"/>
          <w:b/>
          <w:sz w:val="36"/>
          <w:szCs w:val="36"/>
        </w:rPr>
      </w:pPr>
      <w:r w:rsidRPr="006623B5">
        <w:rPr>
          <w:rFonts w:ascii="Segoe UI Light" w:hAnsi="Segoe UI Light" w:cs="Segoe UI Light"/>
          <w:b/>
          <w:sz w:val="36"/>
          <w:szCs w:val="36"/>
        </w:rPr>
        <w:t>Impact Analysis</w:t>
      </w:r>
    </w:p>
    <w:p w14:paraId="725313E7" w14:textId="77777777" w:rsidR="00F7175A" w:rsidRDefault="00F7175A" w:rsidP="00D66499">
      <w:pPr>
        <w:jc w:val="both"/>
        <w:rPr>
          <w:rFonts w:ascii="Segoe UI Light" w:hAnsi="Segoe UI Light" w:cs="Segoe UI Light"/>
          <w:sz w:val="24"/>
          <w:szCs w:val="24"/>
        </w:rPr>
      </w:pPr>
    </w:p>
    <w:p w14:paraId="782F6AAB" w14:textId="77777777" w:rsidR="00D3444A" w:rsidRPr="00D3444A" w:rsidRDefault="00D3444A" w:rsidP="00D66499">
      <w:pPr>
        <w:jc w:val="both"/>
        <w:rPr>
          <w:rFonts w:ascii="Segoe UI Light" w:hAnsi="Segoe UI Light" w:cs="Segoe UI Light"/>
          <w:b/>
          <w:sz w:val="24"/>
          <w:szCs w:val="24"/>
        </w:rPr>
      </w:pPr>
      <w:r>
        <w:rPr>
          <w:rFonts w:ascii="Segoe UI Light" w:hAnsi="Segoe UI Light" w:cs="Segoe UI Light"/>
          <w:b/>
          <w:sz w:val="24"/>
          <w:szCs w:val="24"/>
        </w:rPr>
        <w:t>Option 1: Regulatory Framework Based on the CAMAC Model</w:t>
      </w:r>
    </w:p>
    <w:p w14:paraId="4E1C1596" w14:textId="77777777" w:rsidR="00EB1F66" w:rsidRDefault="00FB4ACC" w:rsidP="00D66499">
      <w:pPr>
        <w:jc w:val="both"/>
        <w:rPr>
          <w:rFonts w:ascii="Segoe UI Light" w:hAnsi="Segoe UI Light" w:cs="Segoe UI Light"/>
          <w:sz w:val="24"/>
          <w:szCs w:val="24"/>
        </w:rPr>
      </w:pPr>
      <w:proofErr w:type="spellStart"/>
      <w:r w:rsidRPr="00360171">
        <w:rPr>
          <w:rFonts w:ascii="Segoe UI Light" w:hAnsi="Segoe UI Light" w:cs="Segoe UI Light"/>
          <w:b/>
          <w:i/>
          <w:sz w:val="24"/>
          <w:szCs w:val="24"/>
        </w:rPr>
        <w:t>Incubatr</w:t>
      </w:r>
      <w:proofErr w:type="spellEnd"/>
      <w:r w:rsidR="00002A03" w:rsidRPr="00360171">
        <w:rPr>
          <w:rFonts w:ascii="Segoe UI Light" w:hAnsi="Segoe UI Light" w:cs="Segoe UI Light"/>
          <w:sz w:val="24"/>
          <w:szCs w:val="24"/>
        </w:rPr>
        <w:t xml:space="preserve"> hold</w:t>
      </w:r>
      <w:r w:rsidR="002212B4" w:rsidRPr="00360171">
        <w:rPr>
          <w:rFonts w:ascii="Segoe UI Light" w:hAnsi="Segoe UI Light" w:cs="Segoe UI Light"/>
          <w:sz w:val="24"/>
          <w:szCs w:val="24"/>
        </w:rPr>
        <w:t>s</w:t>
      </w:r>
      <w:r w:rsidR="00002A03" w:rsidRPr="00360171">
        <w:rPr>
          <w:rFonts w:ascii="Segoe UI Light" w:hAnsi="Segoe UI Light" w:cs="Segoe UI Light"/>
          <w:sz w:val="24"/>
          <w:szCs w:val="24"/>
        </w:rPr>
        <w:t xml:space="preserve"> the view that the exempt public company structure strikes</w:t>
      </w:r>
      <w:r w:rsidR="00EB1F66" w:rsidRPr="00360171">
        <w:rPr>
          <w:rFonts w:ascii="Segoe UI Light" w:hAnsi="Segoe UI Light" w:cs="Segoe UI Light"/>
          <w:sz w:val="24"/>
          <w:szCs w:val="24"/>
        </w:rPr>
        <w:t xml:space="preserve"> the right balance between supporting investment, reducing compliance costs for issuers and maintaining an appropriate level of investor protection.</w:t>
      </w:r>
    </w:p>
    <w:p w14:paraId="2674F1E3" w14:textId="77777777" w:rsidR="006A5B11" w:rsidRDefault="006A5B11" w:rsidP="00D66499">
      <w:pPr>
        <w:jc w:val="both"/>
        <w:rPr>
          <w:rFonts w:ascii="Segoe UI Light" w:hAnsi="Segoe UI Light" w:cs="Segoe UI Light"/>
          <w:sz w:val="24"/>
          <w:szCs w:val="24"/>
        </w:rPr>
      </w:pPr>
    </w:p>
    <w:p w14:paraId="6F70557F" w14:textId="77777777" w:rsidR="00384652" w:rsidRDefault="00384652" w:rsidP="00D66499">
      <w:pPr>
        <w:jc w:val="both"/>
        <w:rPr>
          <w:rFonts w:ascii="Segoe UI Light" w:hAnsi="Segoe UI Light" w:cs="Segoe UI Light"/>
          <w:sz w:val="24"/>
          <w:szCs w:val="24"/>
        </w:rPr>
      </w:pPr>
      <w:r>
        <w:rPr>
          <w:rFonts w:ascii="Segoe UI Light" w:hAnsi="Segoe UI Light" w:cs="Segoe UI Light"/>
          <w:sz w:val="24"/>
          <w:szCs w:val="24"/>
        </w:rPr>
        <w:t>C</w:t>
      </w:r>
      <w:r w:rsidR="00C37B30">
        <w:rPr>
          <w:rFonts w:ascii="Segoe UI Light" w:hAnsi="Segoe UI Light" w:cs="Segoe UI Light"/>
          <w:sz w:val="24"/>
          <w:szCs w:val="24"/>
        </w:rPr>
        <w:t xml:space="preserve">ompliance costs associated with the existing public company structure are too </w:t>
      </w:r>
      <w:r>
        <w:rPr>
          <w:rFonts w:ascii="Segoe UI Light" w:hAnsi="Segoe UI Light" w:cs="Segoe UI Light"/>
          <w:sz w:val="24"/>
          <w:szCs w:val="24"/>
        </w:rPr>
        <w:t xml:space="preserve">onerous </w:t>
      </w:r>
      <w:r w:rsidR="00C37B30">
        <w:rPr>
          <w:rFonts w:ascii="Segoe UI Light" w:hAnsi="Segoe UI Light" w:cs="Segoe UI Light"/>
          <w:sz w:val="24"/>
          <w:szCs w:val="24"/>
        </w:rPr>
        <w:t xml:space="preserve">for application to </w:t>
      </w:r>
      <w:r w:rsidR="00FB0F83">
        <w:rPr>
          <w:rFonts w:ascii="Segoe UI Light" w:hAnsi="Segoe UI Light" w:cs="Segoe UI Light"/>
          <w:sz w:val="24"/>
          <w:szCs w:val="24"/>
        </w:rPr>
        <w:t xml:space="preserve">small </w:t>
      </w:r>
      <w:r w:rsidR="00C37B30">
        <w:rPr>
          <w:rFonts w:ascii="Segoe UI Light" w:hAnsi="Segoe UI Light" w:cs="Segoe UI Light"/>
          <w:sz w:val="24"/>
          <w:szCs w:val="24"/>
        </w:rPr>
        <w:t>CSEF</w:t>
      </w:r>
      <w:r w:rsidR="00FB0F83">
        <w:rPr>
          <w:rFonts w:ascii="Segoe UI Light" w:hAnsi="Segoe UI Light" w:cs="Segoe UI Light"/>
          <w:sz w:val="24"/>
          <w:szCs w:val="24"/>
        </w:rPr>
        <w:t xml:space="preserve"> issuers</w:t>
      </w:r>
      <w:r w:rsidR="00C37B30">
        <w:rPr>
          <w:rFonts w:ascii="Segoe UI Light" w:hAnsi="Segoe UI Light" w:cs="Segoe UI Light"/>
          <w:sz w:val="24"/>
          <w:szCs w:val="24"/>
        </w:rPr>
        <w:t xml:space="preserve">.  Broad disclosure obligations, and the broad </w:t>
      </w:r>
      <w:r w:rsidR="002B6FA8">
        <w:rPr>
          <w:rFonts w:ascii="Segoe UI Light" w:hAnsi="Segoe UI Light" w:cs="Segoe UI Light"/>
          <w:sz w:val="24"/>
          <w:szCs w:val="24"/>
        </w:rPr>
        <w:t>compliance imperatives necessitated by that structure are not in line with either the size of the CSEF issuer, nor the resources at their disposal.  At a very basic le</w:t>
      </w:r>
      <w:r>
        <w:rPr>
          <w:rFonts w:ascii="Segoe UI Light" w:hAnsi="Segoe UI Light" w:cs="Segoe UI Light"/>
          <w:sz w:val="24"/>
          <w:szCs w:val="24"/>
        </w:rPr>
        <w:t>vel, issuers are seeking capital, t</w:t>
      </w:r>
      <w:r w:rsidR="002B6FA8">
        <w:rPr>
          <w:rFonts w:ascii="Segoe UI Light" w:hAnsi="Segoe UI Light" w:cs="Segoe UI Light"/>
          <w:sz w:val="24"/>
          <w:szCs w:val="24"/>
        </w:rPr>
        <w:t>herefore a capital intensive compliance regime</w:t>
      </w:r>
      <w:r w:rsidR="00A906A7">
        <w:rPr>
          <w:rFonts w:ascii="Segoe UI Light" w:hAnsi="Segoe UI Light" w:cs="Segoe UI Light"/>
          <w:sz w:val="24"/>
          <w:szCs w:val="24"/>
        </w:rPr>
        <w:t xml:space="preserve"> is not suit</w:t>
      </w:r>
      <w:r>
        <w:rPr>
          <w:rFonts w:ascii="Segoe UI Light" w:hAnsi="Segoe UI Light" w:cs="Segoe UI Light"/>
          <w:sz w:val="24"/>
          <w:szCs w:val="24"/>
        </w:rPr>
        <w:t>able</w:t>
      </w:r>
      <w:r w:rsidR="00A906A7">
        <w:rPr>
          <w:rFonts w:ascii="Segoe UI Light" w:hAnsi="Segoe UI Light" w:cs="Segoe UI Light"/>
          <w:sz w:val="24"/>
          <w:szCs w:val="24"/>
        </w:rPr>
        <w:t xml:space="preserve">.  </w:t>
      </w:r>
    </w:p>
    <w:p w14:paraId="438CE6A4" w14:textId="77777777" w:rsidR="00384652" w:rsidRDefault="00384652" w:rsidP="00D66499">
      <w:pPr>
        <w:jc w:val="both"/>
        <w:rPr>
          <w:rFonts w:ascii="Segoe UI Light" w:hAnsi="Segoe UI Light" w:cs="Segoe UI Light"/>
          <w:sz w:val="24"/>
          <w:szCs w:val="24"/>
        </w:rPr>
      </w:pPr>
    </w:p>
    <w:p w14:paraId="0F790503" w14:textId="77777777" w:rsidR="00A906A7" w:rsidRDefault="00A906A7" w:rsidP="00D66499">
      <w:pPr>
        <w:jc w:val="both"/>
        <w:rPr>
          <w:rFonts w:ascii="Segoe UI Light" w:hAnsi="Segoe UI Light" w:cs="Segoe UI Light"/>
          <w:sz w:val="24"/>
          <w:szCs w:val="24"/>
        </w:rPr>
      </w:pPr>
      <w:proofErr w:type="spellStart"/>
      <w:r>
        <w:rPr>
          <w:rFonts w:ascii="Segoe UI Light" w:hAnsi="Segoe UI Light" w:cs="Segoe UI Light"/>
          <w:b/>
          <w:i/>
          <w:sz w:val="24"/>
          <w:szCs w:val="24"/>
        </w:rPr>
        <w:t>Incubatr</w:t>
      </w:r>
      <w:proofErr w:type="spellEnd"/>
      <w:r>
        <w:rPr>
          <w:rFonts w:ascii="Segoe UI Light" w:hAnsi="Segoe UI Light" w:cs="Segoe UI Light"/>
          <w:b/>
          <w:i/>
          <w:sz w:val="24"/>
          <w:szCs w:val="24"/>
        </w:rPr>
        <w:t xml:space="preserve"> </w:t>
      </w:r>
      <w:r>
        <w:rPr>
          <w:rFonts w:ascii="Segoe UI Light" w:hAnsi="Segoe UI Light" w:cs="Segoe UI Light"/>
          <w:sz w:val="24"/>
          <w:szCs w:val="24"/>
        </w:rPr>
        <w:t>is of the view that the exempt public company provides a more suitable and balanced position with:</w:t>
      </w:r>
    </w:p>
    <w:p w14:paraId="30C1F8FE" w14:textId="77777777" w:rsidR="00081A7E" w:rsidRDefault="00081A7E" w:rsidP="00A9751C">
      <w:pPr>
        <w:pStyle w:val="ListParagraph"/>
        <w:numPr>
          <w:ilvl w:val="0"/>
          <w:numId w:val="1"/>
        </w:numPr>
        <w:jc w:val="both"/>
        <w:rPr>
          <w:rFonts w:ascii="Segoe UI Light" w:hAnsi="Segoe UI Light" w:cs="Segoe UI Light"/>
          <w:sz w:val="24"/>
          <w:szCs w:val="24"/>
        </w:rPr>
      </w:pPr>
      <w:r>
        <w:rPr>
          <w:rFonts w:ascii="Segoe UI Light" w:hAnsi="Segoe UI Light" w:cs="Segoe UI Light"/>
          <w:sz w:val="24"/>
          <w:szCs w:val="24"/>
        </w:rPr>
        <w:t>no continuous disclosure obligations;</w:t>
      </w:r>
    </w:p>
    <w:p w14:paraId="1C79E4E5" w14:textId="77777777" w:rsidR="00081A7E" w:rsidRDefault="00384652" w:rsidP="00A9751C">
      <w:pPr>
        <w:pStyle w:val="ListParagraph"/>
        <w:numPr>
          <w:ilvl w:val="0"/>
          <w:numId w:val="1"/>
        </w:numPr>
        <w:jc w:val="both"/>
        <w:rPr>
          <w:rFonts w:ascii="Segoe UI Light" w:hAnsi="Segoe UI Light" w:cs="Segoe UI Light"/>
          <w:sz w:val="24"/>
          <w:szCs w:val="24"/>
        </w:rPr>
      </w:pPr>
      <w:r>
        <w:rPr>
          <w:rFonts w:ascii="Segoe UI Light" w:hAnsi="Segoe UI Light" w:cs="Segoe UI Light"/>
          <w:sz w:val="24"/>
          <w:szCs w:val="24"/>
        </w:rPr>
        <w:t>no requirement for an annual general meeting (</w:t>
      </w:r>
      <w:r w:rsidR="00081A7E">
        <w:rPr>
          <w:rFonts w:ascii="Segoe UI Light" w:hAnsi="Segoe UI Light" w:cs="Segoe UI Light"/>
          <w:sz w:val="24"/>
          <w:szCs w:val="24"/>
        </w:rPr>
        <w:t>AGM</w:t>
      </w:r>
      <w:r>
        <w:rPr>
          <w:rFonts w:ascii="Segoe UI Light" w:hAnsi="Segoe UI Light" w:cs="Segoe UI Light"/>
          <w:sz w:val="24"/>
          <w:szCs w:val="24"/>
        </w:rPr>
        <w:t>)</w:t>
      </w:r>
      <w:r w:rsidR="00081A7E">
        <w:rPr>
          <w:rFonts w:ascii="Segoe UI Light" w:hAnsi="Segoe UI Light" w:cs="Segoe UI Light"/>
          <w:sz w:val="24"/>
          <w:szCs w:val="24"/>
        </w:rPr>
        <w:t>;</w:t>
      </w:r>
    </w:p>
    <w:p w14:paraId="0B4ED6A6" w14:textId="77777777" w:rsidR="00081A7E" w:rsidRDefault="00384652" w:rsidP="00A9751C">
      <w:pPr>
        <w:pStyle w:val="ListParagraph"/>
        <w:numPr>
          <w:ilvl w:val="0"/>
          <w:numId w:val="1"/>
        </w:numPr>
        <w:jc w:val="both"/>
        <w:rPr>
          <w:rFonts w:ascii="Segoe UI Light" w:hAnsi="Segoe UI Light" w:cs="Segoe UI Light"/>
          <w:sz w:val="24"/>
          <w:szCs w:val="24"/>
        </w:rPr>
      </w:pPr>
      <w:r>
        <w:rPr>
          <w:rFonts w:ascii="Segoe UI Light" w:hAnsi="Segoe UI Light" w:cs="Segoe UI Light"/>
          <w:sz w:val="24"/>
          <w:szCs w:val="24"/>
        </w:rPr>
        <w:t>no e</w:t>
      </w:r>
      <w:r w:rsidR="00081A7E">
        <w:rPr>
          <w:rFonts w:ascii="Segoe UI Light" w:hAnsi="Segoe UI Light" w:cs="Segoe UI Light"/>
          <w:sz w:val="24"/>
          <w:szCs w:val="24"/>
        </w:rPr>
        <w:t>xecutive remuneration reporting;</w:t>
      </w:r>
    </w:p>
    <w:p w14:paraId="6A8D4D48" w14:textId="77777777" w:rsidR="00081A7E" w:rsidRDefault="00384652" w:rsidP="00A9751C">
      <w:pPr>
        <w:pStyle w:val="ListParagraph"/>
        <w:numPr>
          <w:ilvl w:val="0"/>
          <w:numId w:val="1"/>
        </w:numPr>
        <w:jc w:val="both"/>
        <w:rPr>
          <w:rFonts w:ascii="Segoe UI Light" w:hAnsi="Segoe UI Light" w:cs="Segoe UI Light"/>
          <w:sz w:val="24"/>
          <w:szCs w:val="24"/>
        </w:rPr>
      </w:pPr>
      <w:r>
        <w:rPr>
          <w:rFonts w:ascii="Segoe UI Light" w:hAnsi="Segoe UI Light" w:cs="Segoe UI Light"/>
          <w:sz w:val="24"/>
          <w:szCs w:val="24"/>
        </w:rPr>
        <w:t>no h</w:t>
      </w:r>
      <w:r w:rsidR="00081A7E">
        <w:rPr>
          <w:rFonts w:ascii="Segoe UI Light" w:hAnsi="Segoe UI Light" w:cs="Segoe UI Light"/>
          <w:sz w:val="24"/>
          <w:szCs w:val="24"/>
        </w:rPr>
        <w:t xml:space="preserve">alf-yearly </w:t>
      </w:r>
      <w:r w:rsidR="00C4266A">
        <w:rPr>
          <w:rFonts w:ascii="Segoe UI Light" w:hAnsi="Segoe UI Light" w:cs="Segoe UI Light"/>
          <w:sz w:val="24"/>
          <w:szCs w:val="24"/>
        </w:rPr>
        <w:t xml:space="preserve">financial </w:t>
      </w:r>
      <w:r w:rsidR="00081A7E">
        <w:rPr>
          <w:rFonts w:ascii="Segoe UI Light" w:hAnsi="Segoe UI Light" w:cs="Segoe UI Light"/>
          <w:sz w:val="24"/>
          <w:szCs w:val="24"/>
        </w:rPr>
        <w:t>reporting;</w:t>
      </w:r>
    </w:p>
    <w:p w14:paraId="49DABF16" w14:textId="77777777" w:rsidR="00C37B30" w:rsidRDefault="00DC04A6" w:rsidP="00A9751C">
      <w:pPr>
        <w:pStyle w:val="ListParagraph"/>
        <w:numPr>
          <w:ilvl w:val="0"/>
          <w:numId w:val="1"/>
        </w:numPr>
        <w:jc w:val="both"/>
        <w:rPr>
          <w:rFonts w:ascii="Segoe UI Light" w:hAnsi="Segoe UI Light" w:cs="Segoe UI Light"/>
          <w:sz w:val="24"/>
          <w:szCs w:val="24"/>
        </w:rPr>
      </w:pPr>
      <w:r>
        <w:rPr>
          <w:rFonts w:ascii="Segoe UI Light" w:hAnsi="Segoe UI Light" w:cs="Segoe UI Light"/>
          <w:sz w:val="24"/>
          <w:szCs w:val="24"/>
        </w:rPr>
        <w:t>no</w:t>
      </w:r>
      <w:r w:rsidR="00093D91">
        <w:rPr>
          <w:rFonts w:ascii="Segoe UI Light" w:hAnsi="Segoe UI Light" w:cs="Segoe UI Light"/>
          <w:sz w:val="24"/>
          <w:szCs w:val="24"/>
        </w:rPr>
        <w:t xml:space="preserve"> </w:t>
      </w:r>
      <w:r w:rsidR="00081A7E">
        <w:rPr>
          <w:rFonts w:ascii="Segoe UI Light" w:hAnsi="Segoe UI Light" w:cs="Segoe UI Light"/>
          <w:sz w:val="24"/>
          <w:szCs w:val="24"/>
        </w:rPr>
        <w:t>financial report audit</w:t>
      </w:r>
      <w:r w:rsidR="00093D91">
        <w:rPr>
          <w:rFonts w:ascii="Segoe UI Light" w:hAnsi="Segoe UI Light" w:cs="Segoe UI Light"/>
          <w:sz w:val="24"/>
          <w:szCs w:val="24"/>
        </w:rPr>
        <w:t>ing (</w:t>
      </w:r>
      <w:r w:rsidR="00081A7E">
        <w:rPr>
          <w:rFonts w:ascii="Segoe UI Light" w:hAnsi="Segoe UI Light" w:cs="Segoe UI Light"/>
          <w:sz w:val="24"/>
          <w:szCs w:val="24"/>
        </w:rPr>
        <w:t>until more than $1,000,000 has been raised</w:t>
      </w:r>
      <w:r w:rsidR="00093D91">
        <w:rPr>
          <w:rFonts w:ascii="Segoe UI Light" w:hAnsi="Segoe UI Light" w:cs="Segoe UI Light"/>
          <w:sz w:val="24"/>
          <w:szCs w:val="24"/>
        </w:rPr>
        <w:t>,</w:t>
      </w:r>
      <w:r w:rsidR="00081A7E">
        <w:rPr>
          <w:rFonts w:ascii="Segoe UI Light" w:hAnsi="Segoe UI Light" w:cs="Segoe UI Light"/>
          <w:sz w:val="24"/>
          <w:szCs w:val="24"/>
        </w:rPr>
        <w:t xml:space="preserve"> and $500,000</w:t>
      </w:r>
      <w:r w:rsidR="00093D91">
        <w:rPr>
          <w:rFonts w:ascii="Segoe UI Light" w:hAnsi="Segoe UI Light" w:cs="Segoe UI Light"/>
          <w:sz w:val="24"/>
          <w:szCs w:val="24"/>
        </w:rPr>
        <w:t xml:space="preserve"> expended</w:t>
      </w:r>
      <w:r w:rsidR="00081A7E">
        <w:rPr>
          <w:rFonts w:ascii="Segoe UI Light" w:hAnsi="Segoe UI Light" w:cs="Segoe UI Light"/>
          <w:sz w:val="24"/>
          <w:szCs w:val="24"/>
        </w:rPr>
        <w:t>)</w:t>
      </w:r>
      <w:r w:rsidR="00D376B0">
        <w:rPr>
          <w:rFonts w:ascii="Segoe UI Light" w:hAnsi="Segoe UI Light" w:cs="Segoe UI Light"/>
          <w:sz w:val="24"/>
          <w:szCs w:val="24"/>
        </w:rPr>
        <w:t>.</w:t>
      </w:r>
    </w:p>
    <w:p w14:paraId="67E19977" w14:textId="77777777" w:rsidR="008415E6" w:rsidRPr="00A9751C" w:rsidRDefault="008415E6" w:rsidP="00A9751C">
      <w:pPr>
        <w:pStyle w:val="ListParagraph"/>
        <w:jc w:val="both"/>
        <w:rPr>
          <w:rFonts w:ascii="Segoe UI Light" w:hAnsi="Segoe UI Light" w:cs="Segoe UI Light"/>
          <w:sz w:val="24"/>
          <w:szCs w:val="24"/>
        </w:rPr>
      </w:pPr>
    </w:p>
    <w:p w14:paraId="54C94857" w14:textId="77777777" w:rsidR="00E1021A" w:rsidRDefault="00A9751C" w:rsidP="00D66499">
      <w:pPr>
        <w:jc w:val="both"/>
        <w:rPr>
          <w:rFonts w:ascii="Segoe UI Light" w:hAnsi="Segoe UI Light" w:cs="Segoe UI Light"/>
          <w:sz w:val="24"/>
          <w:szCs w:val="24"/>
        </w:rPr>
      </w:pPr>
      <w:r>
        <w:rPr>
          <w:rFonts w:ascii="Segoe UI Light" w:hAnsi="Segoe UI Light" w:cs="Segoe UI Light"/>
          <w:sz w:val="24"/>
          <w:szCs w:val="24"/>
        </w:rPr>
        <w:t xml:space="preserve">The </w:t>
      </w:r>
      <w:r w:rsidRPr="00360171">
        <w:rPr>
          <w:rFonts w:ascii="Segoe UI Light" w:hAnsi="Segoe UI Light" w:cs="Segoe UI Light"/>
          <w:sz w:val="24"/>
          <w:szCs w:val="24"/>
        </w:rPr>
        <w:t>CAMAC</w:t>
      </w:r>
      <w:r w:rsidR="002059C2" w:rsidRPr="00360171">
        <w:rPr>
          <w:rFonts w:ascii="Segoe UI Light" w:hAnsi="Segoe UI Light" w:cs="Segoe UI Light"/>
          <w:sz w:val="24"/>
          <w:szCs w:val="24"/>
        </w:rPr>
        <w:t xml:space="preserve"> recommendation for CSEF issuers to be public</w:t>
      </w:r>
      <w:r w:rsidR="003149BD" w:rsidRPr="00360171">
        <w:rPr>
          <w:rFonts w:ascii="Segoe UI Light" w:hAnsi="Segoe UI Light" w:cs="Segoe UI Light"/>
          <w:sz w:val="24"/>
          <w:szCs w:val="24"/>
        </w:rPr>
        <w:t xml:space="preserve"> </w:t>
      </w:r>
      <w:r w:rsidR="002059C2" w:rsidRPr="00360171">
        <w:rPr>
          <w:rFonts w:ascii="Segoe UI Light" w:hAnsi="Segoe UI Light" w:cs="Segoe UI Light"/>
          <w:sz w:val="24"/>
          <w:szCs w:val="24"/>
        </w:rPr>
        <w:t>companies</w:t>
      </w:r>
      <w:r w:rsidR="003149BD" w:rsidRPr="00360171">
        <w:rPr>
          <w:rFonts w:ascii="Segoe UI Light" w:hAnsi="Segoe UI Light" w:cs="Segoe UI Light"/>
          <w:sz w:val="24"/>
          <w:szCs w:val="24"/>
        </w:rPr>
        <w:t xml:space="preserve"> or exempt public companies</w:t>
      </w:r>
      <w:r w:rsidR="002059C2" w:rsidRPr="00360171">
        <w:rPr>
          <w:rFonts w:ascii="Segoe UI Light" w:hAnsi="Segoe UI Light" w:cs="Segoe UI Light"/>
          <w:sz w:val="24"/>
          <w:szCs w:val="24"/>
        </w:rPr>
        <w:t xml:space="preserve"> </w:t>
      </w:r>
      <w:r w:rsidR="00EB1F66" w:rsidRPr="00360171">
        <w:rPr>
          <w:rFonts w:ascii="Segoe UI Light" w:hAnsi="Segoe UI Light" w:cs="Segoe UI Light"/>
          <w:sz w:val="24"/>
          <w:szCs w:val="24"/>
        </w:rPr>
        <w:t>may place an increased</w:t>
      </w:r>
      <w:r w:rsidR="00002A03" w:rsidRPr="00360171">
        <w:rPr>
          <w:rFonts w:ascii="Segoe UI Light" w:hAnsi="Segoe UI Light" w:cs="Segoe UI Light"/>
          <w:sz w:val="24"/>
          <w:szCs w:val="24"/>
        </w:rPr>
        <w:t xml:space="preserve"> </w:t>
      </w:r>
      <w:r w:rsidR="002059C2" w:rsidRPr="00360171">
        <w:rPr>
          <w:rFonts w:ascii="Segoe UI Light" w:hAnsi="Segoe UI Light" w:cs="Segoe UI Light"/>
          <w:sz w:val="24"/>
          <w:szCs w:val="24"/>
        </w:rPr>
        <w:t>burden</w:t>
      </w:r>
      <w:r w:rsidR="00EB1F66" w:rsidRPr="00360171">
        <w:rPr>
          <w:rFonts w:ascii="Segoe UI Light" w:hAnsi="Segoe UI Light" w:cs="Segoe UI Light"/>
          <w:sz w:val="24"/>
          <w:szCs w:val="24"/>
        </w:rPr>
        <w:t xml:space="preserve"> of disclosure and compliance</w:t>
      </w:r>
      <w:r w:rsidR="002059C2" w:rsidRPr="00360171">
        <w:rPr>
          <w:rFonts w:ascii="Segoe UI Light" w:hAnsi="Segoe UI Light" w:cs="Segoe UI Light"/>
          <w:sz w:val="24"/>
          <w:szCs w:val="24"/>
        </w:rPr>
        <w:t xml:space="preserve"> on the issuers</w:t>
      </w:r>
      <w:r w:rsidR="00A96251">
        <w:rPr>
          <w:rFonts w:ascii="Segoe UI Light" w:hAnsi="Segoe UI Light" w:cs="Segoe UI Light"/>
          <w:sz w:val="24"/>
          <w:szCs w:val="24"/>
        </w:rPr>
        <w:t xml:space="preserve"> relative to those required for a small proprietary limited company.  This notwithstanding</w:t>
      </w:r>
      <w:r w:rsidR="00A55D4D" w:rsidRPr="00360171">
        <w:rPr>
          <w:rFonts w:ascii="Segoe UI Light" w:hAnsi="Segoe UI Light" w:cs="Segoe UI Light"/>
          <w:sz w:val="24"/>
          <w:szCs w:val="24"/>
        </w:rPr>
        <w:t xml:space="preserve">, </w:t>
      </w:r>
      <w:proofErr w:type="spellStart"/>
      <w:r w:rsidR="00A96251">
        <w:rPr>
          <w:rFonts w:ascii="Segoe UI Light" w:hAnsi="Segoe UI Light" w:cs="Segoe UI Light"/>
          <w:b/>
          <w:i/>
          <w:sz w:val="24"/>
          <w:szCs w:val="24"/>
        </w:rPr>
        <w:t>incubatr</w:t>
      </w:r>
      <w:proofErr w:type="spellEnd"/>
      <w:r w:rsidR="00A96251">
        <w:rPr>
          <w:rFonts w:ascii="Segoe UI Light" w:hAnsi="Segoe UI Light" w:cs="Segoe UI Light"/>
          <w:b/>
          <w:i/>
          <w:sz w:val="24"/>
          <w:szCs w:val="24"/>
        </w:rPr>
        <w:t xml:space="preserve"> </w:t>
      </w:r>
      <w:r w:rsidR="00A96251">
        <w:rPr>
          <w:rFonts w:ascii="Segoe UI Light" w:hAnsi="Segoe UI Light" w:cs="Segoe UI Light"/>
          <w:sz w:val="24"/>
          <w:szCs w:val="24"/>
        </w:rPr>
        <w:t xml:space="preserve">believes that provided the ability to transfer from a proprietary company to </w:t>
      </w:r>
      <w:r w:rsidR="0099580D">
        <w:rPr>
          <w:rFonts w:ascii="Segoe UI Light" w:hAnsi="Segoe UI Light" w:cs="Segoe UI Light"/>
          <w:sz w:val="24"/>
          <w:szCs w:val="24"/>
        </w:rPr>
        <w:t>an</w:t>
      </w:r>
      <w:r w:rsidR="00A96251">
        <w:rPr>
          <w:rFonts w:ascii="Segoe UI Light" w:hAnsi="Segoe UI Light" w:cs="Segoe UI Light"/>
          <w:sz w:val="24"/>
          <w:szCs w:val="24"/>
        </w:rPr>
        <w:t xml:space="preserve"> exempt </w:t>
      </w:r>
      <w:r w:rsidR="00C34069" w:rsidRPr="00C34069">
        <w:rPr>
          <w:rFonts w:ascii="Segoe UI Light" w:hAnsi="Segoe UI Light" w:cs="Segoe UI Light"/>
          <w:sz w:val="24"/>
          <w:szCs w:val="24"/>
        </w:rPr>
        <w:t xml:space="preserve">public </w:t>
      </w:r>
      <w:r w:rsidR="00A96251">
        <w:rPr>
          <w:rFonts w:ascii="Segoe UI Light" w:hAnsi="Segoe UI Light" w:cs="Segoe UI Light"/>
          <w:sz w:val="24"/>
          <w:szCs w:val="24"/>
        </w:rPr>
        <w:t xml:space="preserve">company is streamlined, it should not </w:t>
      </w:r>
      <w:r w:rsidR="00DC04A6">
        <w:rPr>
          <w:rFonts w:ascii="Segoe UI Light" w:hAnsi="Segoe UI Light" w:cs="Segoe UI Light"/>
          <w:sz w:val="24"/>
          <w:szCs w:val="24"/>
        </w:rPr>
        <w:t>unduly l</w:t>
      </w:r>
      <w:r w:rsidR="00002A03" w:rsidRPr="00360171">
        <w:rPr>
          <w:rFonts w:ascii="Segoe UI Light" w:hAnsi="Segoe UI Light" w:cs="Segoe UI Light"/>
          <w:sz w:val="24"/>
          <w:szCs w:val="24"/>
        </w:rPr>
        <w:t xml:space="preserve">imit </w:t>
      </w:r>
      <w:r w:rsidR="002059C2" w:rsidRPr="00360171">
        <w:rPr>
          <w:rFonts w:ascii="Segoe UI Light" w:hAnsi="Segoe UI Light" w:cs="Segoe UI Light"/>
          <w:sz w:val="24"/>
          <w:szCs w:val="24"/>
        </w:rPr>
        <w:t>the attractiveness of the CSEF model</w:t>
      </w:r>
      <w:r w:rsidR="00002A03" w:rsidRPr="00360171">
        <w:rPr>
          <w:rFonts w:ascii="Segoe UI Light" w:hAnsi="Segoe UI Light" w:cs="Segoe UI Light"/>
          <w:sz w:val="24"/>
          <w:szCs w:val="24"/>
        </w:rPr>
        <w:t xml:space="preserve"> for issuers</w:t>
      </w:r>
      <w:r w:rsidR="00A96251">
        <w:rPr>
          <w:rFonts w:ascii="Segoe UI Light" w:hAnsi="Segoe UI Light" w:cs="Segoe UI Light"/>
          <w:sz w:val="24"/>
          <w:szCs w:val="24"/>
        </w:rPr>
        <w:t xml:space="preserve">.  </w:t>
      </w:r>
      <w:r w:rsidR="00FF67CD">
        <w:rPr>
          <w:rFonts w:ascii="Segoe UI Light" w:hAnsi="Segoe UI Light" w:cs="Segoe UI Light"/>
          <w:sz w:val="24"/>
          <w:szCs w:val="24"/>
        </w:rPr>
        <w:t xml:space="preserve">It is also </w:t>
      </w:r>
      <w:proofErr w:type="spellStart"/>
      <w:r w:rsidR="00FF67CD">
        <w:rPr>
          <w:rFonts w:ascii="Segoe UI Light" w:hAnsi="Segoe UI Light" w:cs="Segoe UI Light"/>
          <w:b/>
          <w:i/>
          <w:sz w:val="24"/>
          <w:szCs w:val="24"/>
        </w:rPr>
        <w:t>incubatr’s</w:t>
      </w:r>
      <w:proofErr w:type="spellEnd"/>
      <w:r w:rsidR="00FF67CD">
        <w:rPr>
          <w:rFonts w:ascii="Segoe UI Light" w:hAnsi="Segoe UI Light" w:cs="Segoe UI Light"/>
          <w:b/>
          <w:i/>
          <w:sz w:val="24"/>
          <w:szCs w:val="24"/>
        </w:rPr>
        <w:t xml:space="preserve"> </w:t>
      </w:r>
      <w:r w:rsidR="00FF67CD">
        <w:rPr>
          <w:rFonts w:ascii="Segoe UI Light" w:hAnsi="Segoe UI Light" w:cs="Segoe UI Light"/>
          <w:sz w:val="24"/>
          <w:szCs w:val="24"/>
        </w:rPr>
        <w:t xml:space="preserve">position that </w:t>
      </w:r>
      <w:r>
        <w:rPr>
          <w:rFonts w:ascii="Segoe UI Light" w:hAnsi="Segoe UI Light" w:cs="Segoe UI Light"/>
          <w:sz w:val="24"/>
          <w:szCs w:val="24"/>
        </w:rPr>
        <w:t>the associated</w:t>
      </w:r>
      <w:r w:rsidR="00FF67CD">
        <w:rPr>
          <w:rFonts w:ascii="Segoe UI Light" w:hAnsi="Segoe UI Light" w:cs="Segoe UI Light"/>
          <w:sz w:val="24"/>
          <w:szCs w:val="24"/>
        </w:rPr>
        <w:t xml:space="preserve"> </w:t>
      </w:r>
      <w:r w:rsidR="00EB1F66" w:rsidRPr="00360171">
        <w:rPr>
          <w:rFonts w:ascii="Segoe UI Light" w:hAnsi="Segoe UI Light" w:cs="Segoe UI Light"/>
          <w:sz w:val="24"/>
          <w:szCs w:val="24"/>
        </w:rPr>
        <w:t xml:space="preserve">investor </w:t>
      </w:r>
      <w:r w:rsidR="00EB1F66" w:rsidRPr="00360171">
        <w:rPr>
          <w:rFonts w:ascii="Segoe UI Light" w:hAnsi="Segoe UI Light" w:cs="Segoe UI Light"/>
          <w:sz w:val="24"/>
          <w:szCs w:val="24"/>
        </w:rPr>
        <w:lastRenderedPageBreak/>
        <w:t xml:space="preserve">protection that </w:t>
      </w:r>
      <w:r w:rsidR="00D02912" w:rsidRPr="00360171">
        <w:rPr>
          <w:rFonts w:ascii="Segoe UI Light" w:hAnsi="Segoe UI Light" w:cs="Segoe UI Light"/>
          <w:sz w:val="24"/>
          <w:szCs w:val="24"/>
        </w:rPr>
        <w:t xml:space="preserve">the exempt public </w:t>
      </w:r>
      <w:r w:rsidRPr="00360171">
        <w:rPr>
          <w:rFonts w:ascii="Segoe UI Light" w:hAnsi="Segoe UI Light" w:cs="Segoe UI Light"/>
          <w:sz w:val="24"/>
          <w:szCs w:val="24"/>
        </w:rPr>
        <w:t xml:space="preserve">company </w:t>
      </w:r>
      <w:r>
        <w:rPr>
          <w:rFonts w:ascii="Segoe UI Light" w:hAnsi="Segoe UI Light" w:cs="Segoe UI Light"/>
          <w:sz w:val="24"/>
          <w:szCs w:val="24"/>
        </w:rPr>
        <w:t>provides</w:t>
      </w:r>
      <w:r w:rsidR="00FF67CD">
        <w:rPr>
          <w:rFonts w:ascii="Segoe UI Light" w:hAnsi="Segoe UI Light" w:cs="Segoe UI Light"/>
          <w:sz w:val="24"/>
          <w:szCs w:val="24"/>
        </w:rPr>
        <w:t xml:space="preserve"> is a necessary ingredient to the CSEF model in Australia</w:t>
      </w:r>
      <w:r>
        <w:rPr>
          <w:rFonts w:ascii="Segoe UI Light" w:hAnsi="Segoe UI Light" w:cs="Segoe UI Light"/>
          <w:sz w:val="24"/>
          <w:szCs w:val="24"/>
        </w:rPr>
        <w:t>.</w:t>
      </w:r>
      <w:r w:rsidR="00712B6B">
        <w:rPr>
          <w:rFonts w:ascii="Segoe UI Light" w:hAnsi="Segoe UI Light" w:cs="Segoe UI Light"/>
          <w:sz w:val="24"/>
          <w:szCs w:val="24"/>
        </w:rPr>
        <w:t xml:space="preserve">  </w:t>
      </w:r>
    </w:p>
    <w:p w14:paraId="48E910D7" w14:textId="77777777" w:rsidR="00E1021A" w:rsidRPr="00360171" w:rsidRDefault="00E1021A" w:rsidP="00D66499">
      <w:pPr>
        <w:jc w:val="both"/>
        <w:rPr>
          <w:rFonts w:ascii="Segoe UI Light" w:hAnsi="Segoe UI Light" w:cs="Segoe UI Light"/>
          <w:sz w:val="24"/>
          <w:szCs w:val="24"/>
        </w:rPr>
      </w:pPr>
    </w:p>
    <w:p w14:paraId="3037DCC7" w14:textId="77777777" w:rsidR="006A5B11" w:rsidRPr="00360171" w:rsidRDefault="002059C2" w:rsidP="00D66499">
      <w:pPr>
        <w:jc w:val="both"/>
        <w:rPr>
          <w:rFonts w:ascii="Segoe UI Light" w:hAnsi="Segoe UI Light" w:cs="Segoe UI Light"/>
          <w:sz w:val="24"/>
          <w:szCs w:val="24"/>
        </w:rPr>
      </w:pPr>
      <w:r w:rsidRPr="00360171">
        <w:rPr>
          <w:rFonts w:ascii="Segoe UI Light" w:hAnsi="Segoe UI Light" w:cs="Segoe UI Light"/>
          <w:sz w:val="24"/>
          <w:szCs w:val="24"/>
        </w:rPr>
        <w:t>It is</w:t>
      </w:r>
      <w:r w:rsidR="005D20F7" w:rsidRPr="00360171">
        <w:rPr>
          <w:rFonts w:ascii="Segoe UI Light" w:hAnsi="Segoe UI Light" w:cs="Segoe UI Light"/>
          <w:sz w:val="24"/>
          <w:szCs w:val="24"/>
        </w:rPr>
        <w:t xml:space="preserve"> </w:t>
      </w:r>
      <w:r w:rsidRPr="00360171">
        <w:rPr>
          <w:rFonts w:ascii="Segoe UI Light" w:hAnsi="Segoe UI Light" w:cs="Segoe UI Light"/>
          <w:sz w:val="24"/>
          <w:szCs w:val="24"/>
        </w:rPr>
        <w:t xml:space="preserve">the position of </w:t>
      </w:r>
      <w:proofErr w:type="spellStart"/>
      <w:r w:rsidRPr="00360171">
        <w:rPr>
          <w:rFonts w:ascii="Segoe UI Light" w:hAnsi="Segoe UI Light" w:cs="Segoe UI Light"/>
          <w:b/>
          <w:i/>
          <w:sz w:val="24"/>
          <w:szCs w:val="24"/>
        </w:rPr>
        <w:t>incubatr</w:t>
      </w:r>
      <w:proofErr w:type="spellEnd"/>
      <w:r w:rsidRPr="00360171">
        <w:rPr>
          <w:rFonts w:ascii="Segoe UI Light" w:hAnsi="Segoe UI Light" w:cs="Segoe UI Light"/>
          <w:b/>
          <w:i/>
          <w:sz w:val="24"/>
          <w:szCs w:val="24"/>
        </w:rPr>
        <w:t xml:space="preserve"> </w:t>
      </w:r>
      <w:r w:rsidRPr="00360171">
        <w:rPr>
          <w:rFonts w:ascii="Segoe UI Light" w:hAnsi="Segoe UI Light" w:cs="Segoe UI Light"/>
          <w:sz w:val="24"/>
          <w:szCs w:val="24"/>
        </w:rPr>
        <w:t>that</w:t>
      </w:r>
      <w:r w:rsidRPr="00360171">
        <w:rPr>
          <w:rFonts w:ascii="Segoe UI Light" w:hAnsi="Segoe UI Light" w:cs="Segoe UI Light"/>
          <w:b/>
          <w:i/>
          <w:sz w:val="24"/>
          <w:szCs w:val="24"/>
        </w:rPr>
        <w:t xml:space="preserve"> </w:t>
      </w:r>
      <w:r w:rsidRPr="00360171">
        <w:rPr>
          <w:rFonts w:ascii="Segoe UI Light" w:hAnsi="Segoe UI Light" w:cs="Segoe UI Light"/>
          <w:sz w:val="24"/>
          <w:szCs w:val="24"/>
        </w:rPr>
        <w:t xml:space="preserve">the exempt public </w:t>
      </w:r>
      <w:r w:rsidR="00A9751C" w:rsidRPr="00360171">
        <w:rPr>
          <w:rFonts w:ascii="Segoe UI Light" w:hAnsi="Segoe UI Light" w:cs="Segoe UI Light"/>
          <w:sz w:val="24"/>
          <w:szCs w:val="24"/>
        </w:rPr>
        <w:t xml:space="preserve">company </w:t>
      </w:r>
      <w:r w:rsidR="00A9751C">
        <w:rPr>
          <w:rFonts w:ascii="Segoe UI Light" w:hAnsi="Segoe UI Light" w:cs="Segoe UI Light"/>
          <w:sz w:val="24"/>
          <w:szCs w:val="24"/>
        </w:rPr>
        <w:t>structure</w:t>
      </w:r>
      <w:r w:rsidR="00031A13">
        <w:rPr>
          <w:rFonts w:ascii="Segoe UI Light" w:hAnsi="Segoe UI Light" w:cs="Segoe UI Light"/>
          <w:sz w:val="24"/>
          <w:szCs w:val="24"/>
        </w:rPr>
        <w:t xml:space="preserve"> </w:t>
      </w:r>
      <w:r w:rsidR="005D20F7" w:rsidRPr="00360171">
        <w:rPr>
          <w:rFonts w:ascii="Segoe UI Light" w:hAnsi="Segoe UI Light" w:cs="Segoe UI Light"/>
          <w:sz w:val="24"/>
          <w:szCs w:val="24"/>
        </w:rPr>
        <w:t xml:space="preserve">provides benefits to the </w:t>
      </w:r>
      <w:r w:rsidR="00A9751C" w:rsidRPr="00360171">
        <w:rPr>
          <w:rFonts w:ascii="Segoe UI Light" w:hAnsi="Segoe UI Light" w:cs="Segoe UI Light"/>
          <w:sz w:val="24"/>
          <w:szCs w:val="24"/>
        </w:rPr>
        <w:t xml:space="preserve">overall </w:t>
      </w:r>
      <w:r w:rsidR="00A9751C">
        <w:rPr>
          <w:rFonts w:ascii="Segoe UI Light" w:hAnsi="Segoe UI Light" w:cs="Segoe UI Light"/>
          <w:sz w:val="24"/>
          <w:szCs w:val="24"/>
        </w:rPr>
        <w:t>CSEF</w:t>
      </w:r>
      <w:r w:rsidR="005D20F7" w:rsidRPr="00360171">
        <w:rPr>
          <w:rFonts w:ascii="Segoe UI Light" w:hAnsi="Segoe UI Light" w:cs="Segoe UI Light"/>
          <w:sz w:val="24"/>
          <w:szCs w:val="24"/>
        </w:rPr>
        <w:t xml:space="preserve"> model which outweigh the risks of regulatory arbitrage. </w:t>
      </w:r>
      <w:r w:rsidR="005A56B0">
        <w:rPr>
          <w:rFonts w:ascii="Segoe UI Light" w:hAnsi="Segoe UI Light" w:cs="Segoe UI Light"/>
          <w:sz w:val="24"/>
          <w:szCs w:val="24"/>
        </w:rPr>
        <w:t xml:space="preserve"> </w:t>
      </w:r>
      <w:r w:rsidR="00C44B63" w:rsidRPr="00360171">
        <w:rPr>
          <w:rFonts w:ascii="Segoe UI Light" w:hAnsi="Segoe UI Light" w:cs="Segoe UI Light"/>
          <w:sz w:val="24"/>
          <w:szCs w:val="24"/>
        </w:rPr>
        <w:t xml:space="preserve">The proposed eligibility requirements for an exempt public company, in particular the requirements </w:t>
      </w:r>
      <w:r w:rsidR="005A56B0">
        <w:rPr>
          <w:rFonts w:ascii="Segoe UI Light" w:hAnsi="Segoe UI Light" w:cs="Segoe UI Light"/>
          <w:sz w:val="24"/>
          <w:szCs w:val="24"/>
        </w:rPr>
        <w:t>relating to caps and thresholds</w:t>
      </w:r>
      <w:r w:rsidR="00A9751C">
        <w:rPr>
          <w:rFonts w:ascii="Segoe UI Light" w:hAnsi="Segoe UI Light" w:cs="Segoe UI Light"/>
          <w:sz w:val="24"/>
          <w:szCs w:val="24"/>
        </w:rPr>
        <w:t xml:space="preserve">, </w:t>
      </w:r>
      <w:r w:rsidR="00A9751C" w:rsidRPr="00360171">
        <w:rPr>
          <w:rFonts w:ascii="Segoe UI Light" w:hAnsi="Segoe UI Light" w:cs="Segoe UI Light"/>
          <w:sz w:val="24"/>
          <w:szCs w:val="24"/>
        </w:rPr>
        <w:t>aid</w:t>
      </w:r>
      <w:r w:rsidR="00A92064">
        <w:rPr>
          <w:rFonts w:ascii="Segoe UI Light" w:hAnsi="Segoe UI Light" w:cs="Segoe UI Light"/>
          <w:sz w:val="24"/>
          <w:szCs w:val="24"/>
        </w:rPr>
        <w:t xml:space="preserve"> in this respect.  Additionally, </w:t>
      </w:r>
      <w:r w:rsidR="00ED35CF">
        <w:rPr>
          <w:rFonts w:ascii="Segoe UI Light" w:hAnsi="Segoe UI Light" w:cs="Segoe UI Light"/>
          <w:sz w:val="24"/>
          <w:szCs w:val="24"/>
        </w:rPr>
        <w:t xml:space="preserve">the timeframe suggested for the expiry of an exempt public company </w:t>
      </w:r>
      <w:r w:rsidR="00A92064">
        <w:rPr>
          <w:rFonts w:ascii="Segoe UI Light" w:hAnsi="Segoe UI Light" w:cs="Segoe UI Light"/>
          <w:sz w:val="24"/>
          <w:szCs w:val="24"/>
        </w:rPr>
        <w:t xml:space="preserve">structure </w:t>
      </w:r>
      <w:r w:rsidR="00ED35CF">
        <w:rPr>
          <w:rFonts w:ascii="Segoe UI Light" w:hAnsi="Segoe UI Light" w:cs="Segoe UI Light"/>
          <w:sz w:val="24"/>
          <w:szCs w:val="24"/>
        </w:rPr>
        <w:t>further mi</w:t>
      </w:r>
      <w:r w:rsidR="00A92064">
        <w:rPr>
          <w:rFonts w:ascii="Segoe UI Light" w:hAnsi="Segoe UI Light" w:cs="Segoe UI Light"/>
          <w:sz w:val="24"/>
          <w:szCs w:val="24"/>
        </w:rPr>
        <w:t xml:space="preserve">litate against </w:t>
      </w:r>
      <w:r w:rsidR="00ED35CF">
        <w:rPr>
          <w:rFonts w:ascii="Segoe UI Light" w:hAnsi="Segoe UI Light" w:cs="Segoe UI Light"/>
          <w:sz w:val="24"/>
          <w:szCs w:val="24"/>
        </w:rPr>
        <w:t>th</w:t>
      </w:r>
      <w:r w:rsidR="00A92064">
        <w:rPr>
          <w:rFonts w:ascii="Segoe UI Light" w:hAnsi="Segoe UI Light" w:cs="Segoe UI Light"/>
          <w:sz w:val="24"/>
          <w:szCs w:val="24"/>
        </w:rPr>
        <w:t xml:space="preserve">is </w:t>
      </w:r>
      <w:r w:rsidR="00ED35CF">
        <w:rPr>
          <w:rFonts w:ascii="Segoe UI Light" w:hAnsi="Segoe UI Light" w:cs="Segoe UI Light"/>
          <w:sz w:val="24"/>
          <w:szCs w:val="24"/>
        </w:rPr>
        <w:t>risk</w:t>
      </w:r>
      <w:r w:rsidR="00C44B63" w:rsidRPr="00360171">
        <w:rPr>
          <w:rFonts w:ascii="Segoe UI Light" w:hAnsi="Segoe UI Light" w:cs="Segoe UI Light"/>
          <w:sz w:val="24"/>
          <w:szCs w:val="24"/>
        </w:rPr>
        <w:t xml:space="preserve">. </w:t>
      </w:r>
    </w:p>
    <w:p w14:paraId="6A1D7B82" w14:textId="77777777" w:rsidR="00DF400C" w:rsidRDefault="00DF400C" w:rsidP="00D66499">
      <w:pPr>
        <w:jc w:val="both"/>
        <w:rPr>
          <w:rFonts w:ascii="Segoe UI Light" w:hAnsi="Segoe UI Light" w:cs="Segoe UI Light"/>
          <w:b/>
          <w:i/>
          <w:sz w:val="24"/>
          <w:szCs w:val="24"/>
        </w:rPr>
      </w:pPr>
    </w:p>
    <w:p w14:paraId="0818136E" w14:textId="77777777" w:rsidR="00F70ECF" w:rsidRDefault="00A9751C" w:rsidP="00D66499">
      <w:pPr>
        <w:jc w:val="both"/>
        <w:rPr>
          <w:rFonts w:ascii="Segoe UI Light" w:hAnsi="Segoe UI Light" w:cs="Segoe UI Light"/>
          <w:sz w:val="24"/>
          <w:szCs w:val="24"/>
        </w:rPr>
      </w:pPr>
      <w:proofErr w:type="spellStart"/>
      <w:r>
        <w:rPr>
          <w:rFonts w:ascii="Segoe UI Light" w:hAnsi="Segoe UI Light" w:cs="Segoe UI Light"/>
          <w:b/>
          <w:i/>
          <w:sz w:val="24"/>
          <w:szCs w:val="24"/>
        </w:rPr>
        <w:t>I</w:t>
      </w:r>
      <w:r w:rsidRPr="00360171">
        <w:rPr>
          <w:rFonts w:ascii="Segoe UI Light" w:hAnsi="Segoe UI Light" w:cs="Segoe UI Light"/>
          <w:b/>
          <w:i/>
          <w:sz w:val="24"/>
          <w:szCs w:val="24"/>
        </w:rPr>
        <w:t>ncubatr</w:t>
      </w:r>
      <w:r>
        <w:rPr>
          <w:rFonts w:ascii="Segoe UI Light" w:hAnsi="Segoe UI Light" w:cs="Segoe UI Light"/>
          <w:b/>
          <w:i/>
          <w:sz w:val="24"/>
          <w:szCs w:val="24"/>
        </w:rPr>
        <w:t>’s</w:t>
      </w:r>
      <w:proofErr w:type="spellEnd"/>
      <w:r w:rsidRPr="00360171">
        <w:rPr>
          <w:rFonts w:ascii="Segoe UI Light" w:hAnsi="Segoe UI Light" w:cs="Segoe UI Light"/>
          <w:sz w:val="24"/>
          <w:szCs w:val="24"/>
        </w:rPr>
        <w:t xml:space="preserve"> </w:t>
      </w:r>
      <w:r>
        <w:rPr>
          <w:rFonts w:ascii="Segoe UI Light" w:hAnsi="Segoe UI Light" w:cs="Segoe UI Light"/>
          <w:sz w:val="24"/>
          <w:szCs w:val="24"/>
        </w:rPr>
        <w:t>preliminary</w:t>
      </w:r>
      <w:r w:rsidR="006D3BB7" w:rsidRPr="00360171">
        <w:rPr>
          <w:rFonts w:ascii="Segoe UI Light" w:hAnsi="Segoe UI Light" w:cs="Segoe UI Light"/>
          <w:sz w:val="24"/>
          <w:szCs w:val="24"/>
        </w:rPr>
        <w:t xml:space="preserve"> view </w:t>
      </w:r>
      <w:r w:rsidR="00EB2A78">
        <w:rPr>
          <w:rFonts w:ascii="Segoe UI Light" w:hAnsi="Segoe UI Light" w:cs="Segoe UI Light"/>
          <w:sz w:val="24"/>
          <w:szCs w:val="24"/>
        </w:rPr>
        <w:t xml:space="preserve">is </w:t>
      </w:r>
      <w:r w:rsidR="006D3BB7" w:rsidRPr="00360171">
        <w:rPr>
          <w:rFonts w:ascii="Segoe UI Light" w:hAnsi="Segoe UI Light" w:cs="Segoe UI Light"/>
          <w:sz w:val="24"/>
          <w:szCs w:val="24"/>
        </w:rPr>
        <w:t xml:space="preserve">that the proposed </w:t>
      </w:r>
      <w:r w:rsidR="00924680">
        <w:rPr>
          <w:rFonts w:ascii="Segoe UI Light" w:hAnsi="Segoe UI Light" w:cs="Segoe UI Light"/>
          <w:sz w:val="24"/>
          <w:szCs w:val="24"/>
        </w:rPr>
        <w:t xml:space="preserve">fundraising </w:t>
      </w:r>
      <w:r w:rsidR="006D3BB7" w:rsidRPr="00360171">
        <w:rPr>
          <w:rFonts w:ascii="Segoe UI Light" w:hAnsi="Segoe UI Light" w:cs="Segoe UI Light"/>
          <w:sz w:val="24"/>
          <w:szCs w:val="24"/>
        </w:rPr>
        <w:t>cap</w:t>
      </w:r>
      <w:r w:rsidR="00EB2A78">
        <w:rPr>
          <w:rFonts w:ascii="Segoe UI Light" w:hAnsi="Segoe UI Light" w:cs="Segoe UI Light"/>
          <w:sz w:val="24"/>
          <w:szCs w:val="24"/>
        </w:rPr>
        <w:t xml:space="preserve"> of </w:t>
      </w:r>
      <w:r w:rsidR="00121DDE">
        <w:rPr>
          <w:rFonts w:ascii="Segoe UI Light" w:hAnsi="Segoe UI Light" w:cs="Segoe UI Light"/>
          <w:sz w:val="24"/>
          <w:szCs w:val="24"/>
        </w:rPr>
        <w:t>$</w:t>
      </w:r>
      <w:r w:rsidR="00EB2A78">
        <w:rPr>
          <w:rFonts w:ascii="Segoe UI Light" w:hAnsi="Segoe UI Light" w:cs="Segoe UI Light"/>
          <w:sz w:val="24"/>
          <w:szCs w:val="24"/>
        </w:rPr>
        <w:t>2</w:t>
      </w:r>
      <w:r w:rsidR="00121DDE">
        <w:rPr>
          <w:rFonts w:ascii="Segoe UI Light" w:hAnsi="Segoe UI Light" w:cs="Segoe UI Light"/>
          <w:sz w:val="24"/>
          <w:szCs w:val="24"/>
        </w:rPr>
        <w:t>M</w:t>
      </w:r>
      <w:r w:rsidR="00EB2A78">
        <w:rPr>
          <w:rFonts w:ascii="Segoe UI Light" w:hAnsi="Segoe UI Light" w:cs="Segoe UI Light"/>
          <w:sz w:val="24"/>
          <w:szCs w:val="24"/>
        </w:rPr>
        <w:t xml:space="preserve"> in a 12 month period is appropriate for the CSEF regime</w:t>
      </w:r>
      <w:r w:rsidR="00121DDE">
        <w:rPr>
          <w:rFonts w:ascii="Segoe UI Light" w:hAnsi="Segoe UI Light" w:cs="Segoe UI Light"/>
          <w:sz w:val="24"/>
          <w:szCs w:val="24"/>
        </w:rPr>
        <w:t xml:space="preserve"> </w:t>
      </w:r>
      <w:r w:rsidR="002657EF">
        <w:rPr>
          <w:rFonts w:ascii="Segoe UI Light" w:hAnsi="Segoe UI Light" w:cs="Segoe UI Light"/>
          <w:sz w:val="24"/>
          <w:szCs w:val="24"/>
        </w:rPr>
        <w:t>as a starting point</w:t>
      </w:r>
      <w:r w:rsidR="00EB2A78">
        <w:rPr>
          <w:rFonts w:ascii="Segoe UI Light" w:hAnsi="Segoe UI Light" w:cs="Segoe UI Light"/>
          <w:sz w:val="24"/>
          <w:szCs w:val="24"/>
        </w:rPr>
        <w:t xml:space="preserve">.  </w:t>
      </w:r>
      <w:r w:rsidR="00924680">
        <w:rPr>
          <w:rFonts w:ascii="Segoe UI Light" w:hAnsi="Segoe UI Light" w:cs="Segoe UI Light"/>
          <w:sz w:val="24"/>
          <w:szCs w:val="24"/>
        </w:rPr>
        <w:t xml:space="preserve">As a reference point, </w:t>
      </w:r>
      <w:r w:rsidR="00EB2A78">
        <w:rPr>
          <w:rFonts w:ascii="Segoe UI Light" w:hAnsi="Segoe UI Light" w:cs="Segoe UI Light"/>
          <w:sz w:val="24"/>
          <w:szCs w:val="24"/>
        </w:rPr>
        <w:t xml:space="preserve">the </w:t>
      </w:r>
      <w:r w:rsidR="006D3BB7" w:rsidRPr="00360171">
        <w:rPr>
          <w:rFonts w:ascii="Segoe UI Light" w:hAnsi="Segoe UI Light" w:cs="Segoe UI Light"/>
          <w:sz w:val="24"/>
          <w:szCs w:val="24"/>
        </w:rPr>
        <w:t xml:space="preserve">Australian Small Scale Offerings Board (ASSOB) </w:t>
      </w:r>
      <w:r w:rsidR="00EB2A78">
        <w:rPr>
          <w:rFonts w:ascii="Segoe UI Light" w:hAnsi="Segoe UI Light" w:cs="Segoe UI Light"/>
          <w:sz w:val="24"/>
          <w:szCs w:val="24"/>
        </w:rPr>
        <w:t xml:space="preserve">has </w:t>
      </w:r>
      <w:r w:rsidR="00924680">
        <w:rPr>
          <w:rFonts w:ascii="Segoe UI Light" w:hAnsi="Segoe UI Light" w:cs="Segoe UI Light"/>
          <w:sz w:val="24"/>
          <w:szCs w:val="24"/>
        </w:rPr>
        <w:t xml:space="preserve">indicated that the average amount of capital it has raised for 176 organisations is </w:t>
      </w:r>
      <w:r w:rsidR="00EB2A78">
        <w:rPr>
          <w:rFonts w:ascii="Segoe UI Light" w:hAnsi="Segoe UI Light" w:cs="Segoe UI Light"/>
          <w:sz w:val="24"/>
          <w:szCs w:val="24"/>
        </w:rPr>
        <w:t>$522,915.00</w:t>
      </w:r>
      <w:r w:rsidR="00EB2A78">
        <w:rPr>
          <w:rStyle w:val="FootnoteReference"/>
          <w:rFonts w:ascii="Segoe UI Light" w:hAnsi="Segoe UI Light" w:cs="Segoe UI Light"/>
          <w:sz w:val="24"/>
          <w:szCs w:val="24"/>
        </w:rPr>
        <w:footnoteReference w:id="6"/>
      </w:r>
      <w:r w:rsidR="00924680">
        <w:rPr>
          <w:rFonts w:ascii="Segoe UI Light" w:hAnsi="Segoe UI Light" w:cs="Segoe UI Light"/>
          <w:sz w:val="24"/>
          <w:szCs w:val="24"/>
        </w:rPr>
        <w:t xml:space="preserve">.  This looks to confirm that the limit is </w:t>
      </w:r>
      <w:r w:rsidR="006C3B5E">
        <w:rPr>
          <w:rFonts w:ascii="Segoe UI Light" w:hAnsi="Segoe UI Light" w:cs="Segoe UI Light"/>
          <w:sz w:val="24"/>
          <w:szCs w:val="24"/>
        </w:rPr>
        <w:t xml:space="preserve">in the </w:t>
      </w:r>
      <w:r w:rsidR="00924680">
        <w:rPr>
          <w:rFonts w:ascii="Segoe UI Light" w:hAnsi="Segoe UI Light" w:cs="Segoe UI Light"/>
          <w:sz w:val="24"/>
          <w:szCs w:val="24"/>
        </w:rPr>
        <w:t xml:space="preserve">appropriate </w:t>
      </w:r>
      <w:r w:rsidR="006C3B5E">
        <w:rPr>
          <w:rFonts w:ascii="Segoe UI Light" w:hAnsi="Segoe UI Light" w:cs="Segoe UI Light"/>
          <w:sz w:val="24"/>
          <w:szCs w:val="24"/>
        </w:rPr>
        <w:t>range</w:t>
      </w:r>
      <w:r w:rsidR="00924680">
        <w:rPr>
          <w:rFonts w:ascii="Segoe UI Light" w:hAnsi="Segoe UI Light" w:cs="Segoe UI Light"/>
          <w:sz w:val="24"/>
          <w:szCs w:val="24"/>
        </w:rPr>
        <w:t xml:space="preserve">.  It should however be borne in mind that </w:t>
      </w:r>
      <w:r w:rsidR="00077571">
        <w:rPr>
          <w:rFonts w:ascii="Segoe UI Light" w:hAnsi="Segoe UI Light" w:cs="Segoe UI Light"/>
          <w:sz w:val="24"/>
          <w:szCs w:val="24"/>
        </w:rPr>
        <w:t xml:space="preserve">ASSOB’s largest </w:t>
      </w:r>
      <w:r w:rsidR="00440B9A">
        <w:rPr>
          <w:rFonts w:ascii="Segoe UI Light" w:hAnsi="Segoe UI Light" w:cs="Segoe UI Light"/>
          <w:sz w:val="24"/>
          <w:szCs w:val="24"/>
        </w:rPr>
        <w:t>raising</w:t>
      </w:r>
      <w:r w:rsidR="00077571">
        <w:rPr>
          <w:rFonts w:ascii="Segoe UI Light" w:hAnsi="Segoe UI Light" w:cs="Segoe UI Light"/>
          <w:sz w:val="24"/>
          <w:szCs w:val="24"/>
        </w:rPr>
        <w:t xml:space="preserve"> </w:t>
      </w:r>
      <w:r w:rsidR="006C3B5E">
        <w:rPr>
          <w:rFonts w:ascii="Segoe UI Light" w:hAnsi="Segoe UI Light" w:cs="Segoe UI Light"/>
          <w:sz w:val="24"/>
          <w:szCs w:val="24"/>
        </w:rPr>
        <w:t xml:space="preserve">was for </w:t>
      </w:r>
      <w:r w:rsidR="00983971">
        <w:rPr>
          <w:rFonts w:ascii="Segoe UI Light" w:hAnsi="Segoe UI Light" w:cs="Segoe UI Light"/>
          <w:sz w:val="24"/>
          <w:szCs w:val="24"/>
        </w:rPr>
        <w:t>$</w:t>
      </w:r>
      <w:r w:rsidR="00077571">
        <w:rPr>
          <w:rFonts w:ascii="Segoe UI Light" w:hAnsi="Segoe UI Light" w:cs="Segoe UI Light"/>
          <w:sz w:val="24"/>
          <w:szCs w:val="24"/>
        </w:rPr>
        <w:t>3.5</w:t>
      </w:r>
      <w:r w:rsidR="00440B9A">
        <w:rPr>
          <w:rFonts w:ascii="Segoe UI Light" w:hAnsi="Segoe UI Light" w:cs="Segoe UI Light"/>
          <w:sz w:val="24"/>
          <w:szCs w:val="24"/>
        </w:rPr>
        <w:t>M</w:t>
      </w:r>
      <w:r w:rsidR="00440B9A">
        <w:rPr>
          <w:rStyle w:val="FootnoteReference"/>
          <w:rFonts w:ascii="Segoe UI Light" w:hAnsi="Segoe UI Light" w:cs="Segoe UI Light"/>
          <w:sz w:val="24"/>
          <w:szCs w:val="24"/>
        </w:rPr>
        <w:footnoteReference w:id="7"/>
      </w:r>
      <w:r w:rsidR="006C3B5E">
        <w:rPr>
          <w:rFonts w:ascii="Segoe UI Light" w:hAnsi="Segoe UI Light" w:cs="Segoe UI Light"/>
          <w:sz w:val="24"/>
          <w:szCs w:val="24"/>
        </w:rPr>
        <w:t>.  This</w:t>
      </w:r>
      <w:r w:rsidR="00983971">
        <w:rPr>
          <w:rFonts w:ascii="Segoe UI Light" w:hAnsi="Segoe UI Light" w:cs="Segoe UI Light"/>
          <w:sz w:val="24"/>
          <w:szCs w:val="24"/>
        </w:rPr>
        <w:t xml:space="preserve"> s</w:t>
      </w:r>
      <w:r w:rsidR="00077571">
        <w:rPr>
          <w:rFonts w:ascii="Segoe UI Light" w:hAnsi="Segoe UI Light" w:cs="Segoe UI Light"/>
          <w:sz w:val="24"/>
          <w:szCs w:val="24"/>
        </w:rPr>
        <w:t xml:space="preserve">uggests that there </w:t>
      </w:r>
      <w:r w:rsidR="00121DDE">
        <w:rPr>
          <w:rFonts w:ascii="Segoe UI Light" w:hAnsi="Segoe UI Light" w:cs="Segoe UI Light"/>
          <w:sz w:val="24"/>
          <w:szCs w:val="24"/>
        </w:rPr>
        <w:t>may be circumstances where a ca</w:t>
      </w:r>
      <w:r w:rsidR="00077571">
        <w:rPr>
          <w:rFonts w:ascii="Segoe UI Light" w:hAnsi="Segoe UI Light" w:cs="Segoe UI Light"/>
          <w:sz w:val="24"/>
          <w:szCs w:val="24"/>
        </w:rPr>
        <w:t xml:space="preserve">pital raising of over </w:t>
      </w:r>
      <w:r w:rsidR="00121DDE">
        <w:rPr>
          <w:rFonts w:ascii="Segoe UI Light" w:hAnsi="Segoe UI Light" w:cs="Segoe UI Light"/>
          <w:sz w:val="24"/>
          <w:szCs w:val="24"/>
        </w:rPr>
        <w:t>$</w:t>
      </w:r>
      <w:r w:rsidR="00077571">
        <w:rPr>
          <w:rFonts w:ascii="Segoe UI Light" w:hAnsi="Segoe UI Light" w:cs="Segoe UI Light"/>
          <w:sz w:val="24"/>
          <w:szCs w:val="24"/>
        </w:rPr>
        <w:t>2</w:t>
      </w:r>
      <w:r w:rsidR="00440B9A">
        <w:rPr>
          <w:rFonts w:ascii="Segoe UI Light" w:hAnsi="Segoe UI Light" w:cs="Segoe UI Light"/>
          <w:sz w:val="24"/>
          <w:szCs w:val="24"/>
        </w:rPr>
        <w:t>M</w:t>
      </w:r>
      <w:r w:rsidR="00077571">
        <w:rPr>
          <w:rFonts w:ascii="Segoe UI Light" w:hAnsi="Segoe UI Light" w:cs="Segoe UI Light"/>
          <w:sz w:val="24"/>
          <w:szCs w:val="24"/>
        </w:rPr>
        <w:t xml:space="preserve"> </w:t>
      </w:r>
      <w:r w:rsidR="00440B9A">
        <w:rPr>
          <w:rFonts w:ascii="Segoe UI Light" w:hAnsi="Segoe UI Light" w:cs="Segoe UI Light"/>
          <w:sz w:val="24"/>
          <w:szCs w:val="24"/>
        </w:rPr>
        <w:t>i</w:t>
      </w:r>
      <w:r w:rsidR="00121DDE">
        <w:rPr>
          <w:rFonts w:ascii="Segoe UI Light" w:hAnsi="Segoe UI Light" w:cs="Segoe UI Light"/>
          <w:sz w:val="24"/>
          <w:szCs w:val="24"/>
        </w:rPr>
        <w:t xml:space="preserve">s appropriate </w:t>
      </w:r>
      <w:r w:rsidR="006C3B5E">
        <w:rPr>
          <w:rFonts w:ascii="Segoe UI Light" w:hAnsi="Segoe UI Light" w:cs="Segoe UI Light"/>
          <w:sz w:val="24"/>
          <w:szCs w:val="24"/>
        </w:rPr>
        <w:t xml:space="preserve">outside of the </w:t>
      </w:r>
      <w:r w:rsidR="00983971">
        <w:rPr>
          <w:rFonts w:ascii="Segoe UI Light" w:hAnsi="Segoe UI Light" w:cs="Segoe UI Light"/>
          <w:sz w:val="24"/>
          <w:szCs w:val="24"/>
        </w:rPr>
        <w:t xml:space="preserve">ordinary </w:t>
      </w:r>
      <w:r w:rsidR="00121DDE">
        <w:rPr>
          <w:rFonts w:ascii="Segoe UI Light" w:hAnsi="Segoe UI Light" w:cs="Segoe UI Light"/>
          <w:sz w:val="24"/>
          <w:szCs w:val="24"/>
        </w:rPr>
        <w:t>Chapter 6D requirements</w:t>
      </w:r>
      <w:r w:rsidR="00983971">
        <w:rPr>
          <w:rFonts w:ascii="Segoe UI Light" w:hAnsi="Segoe UI Light" w:cs="Segoe UI Light"/>
          <w:sz w:val="24"/>
          <w:szCs w:val="24"/>
        </w:rPr>
        <w:t xml:space="preserve"> in the Corporations Act 2001 (Commonwealth)</w:t>
      </w:r>
      <w:r w:rsidR="00077571">
        <w:rPr>
          <w:rFonts w:ascii="Segoe UI Light" w:hAnsi="Segoe UI Light" w:cs="Segoe UI Light"/>
          <w:sz w:val="24"/>
          <w:szCs w:val="24"/>
        </w:rPr>
        <w:t xml:space="preserve">.  </w:t>
      </w:r>
      <w:r w:rsidR="00983971">
        <w:rPr>
          <w:rFonts w:ascii="Segoe UI Light" w:hAnsi="Segoe UI Light" w:cs="Segoe UI Light"/>
          <w:sz w:val="24"/>
          <w:szCs w:val="24"/>
        </w:rPr>
        <w:t xml:space="preserve">Therefore, provision for this should be considered in the CSEF regime.  </w:t>
      </w:r>
      <w:r w:rsidR="00880B22">
        <w:rPr>
          <w:rFonts w:ascii="Segoe UI Light" w:hAnsi="Segoe UI Light" w:cs="Segoe UI Light"/>
          <w:sz w:val="24"/>
          <w:szCs w:val="24"/>
        </w:rPr>
        <w:t xml:space="preserve">A possible option would be something akin </w:t>
      </w:r>
      <w:r w:rsidR="00121DDE">
        <w:rPr>
          <w:rFonts w:ascii="Segoe UI Light" w:hAnsi="Segoe UI Light" w:cs="Segoe UI Light"/>
          <w:sz w:val="24"/>
          <w:szCs w:val="24"/>
        </w:rPr>
        <w:t>to N</w:t>
      </w:r>
      <w:r w:rsidR="00945887">
        <w:rPr>
          <w:rFonts w:ascii="Segoe UI Light" w:hAnsi="Segoe UI Light" w:cs="Segoe UI Light"/>
          <w:sz w:val="24"/>
          <w:szCs w:val="24"/>
        </w:rPr>
        <w:t xml:space="preserve">ew </w:t>
      </w:r>
      <w:r w:rsidR="00121DDE">
        <w:rPr>
          <w:rFonts w:ascii="Segoe UI Light" w:hAnsi="Segoe UI Light" w:cs="Segoe UI Light"/>
          <w:sz w:val="24"/>
          <w:szCs w:val="24"/>
        </w:rPr>
        <w:t>Z</w:t>
      </w:r>
      <w:r w:rsidR="00945887">
        <w:rPr>
          <w:rFonts w:ascii="Segoe UI Light" w:hAnsi="Segoe UI Light" w:cs="Segoe UI Light"/>
          <w:sz w:val="24"/>
          <w:szCs w:val="24"/>
        </w:rPr>
        <w:t>ealand</w:t>
      </w:r>
      <w:r w:rsidR="00121DDE">
        <w:rPr>
          <w:rFonts w:ascii="Segoe UI Light" w:hAnsi="Segoe UI Light" w:cs="Segoe UI Light"/>
          <w:sz w:val="24"/>
          <w:szCs w:val="24"/>
        </w:rPr>
        <w:t xml:space="preserve">’s model which holds that any capital raising above $2M is not exempt </w:t>
      </w:r>
      <w:r w:rsidR="00880B22">
        <w:rPr>
          <w:rFonts w:ascii="Segoe UI Light" w:hAnsi="Segoe UI Light" w:cs="Segoe UI Light"/>
          <w:sz w:val="24"/>
          <w:szCs w:val="24"/>
        </w:rPr>
        <w:t xml:space="preserve">from disclosure relief.  </w:t>
      </w:r>
      <w:proofErr w:type="spellStart"/>
      <w:r w:rsidR="00880B22">
        <w:rPr>
          <w:rFonts w:ascii="Segoe UI Light" w:hAnsi="Segoe UI Light" w:cs="Segoe UI Light"/>
          <w:b/>
          <w:i/>
          <w:sz w:val="24"/>
          <w:szCs w:val="24"/>
        </w:rPr>
        <w:t>Incubatr</w:t>
      </w:r>
      <w:proofErr w:type="spellEnd"/>
      <w:r w:rsidR="00880B22">
        <w:rPr>
          <w:rFonts w:ascii="Segoe UI Light" w:hAnsi="Segoe UI Light" w:cs="Segoe UI Light"/>
          <w:b/>
          <w:i/>
          <w:sz w:val="24"/>
          <w:szCs w:val="24"/>
        </w:rPr>
        <w:t xml:space="preserve"> </w:t>
      </w:r>
      <w:r w:rsidR="00880B22">
        <w:rPr>
          <w:rFonts w:ascii="Segoe UI Light" w:hAnsi="Segoe UI Light" w:cs="Segoe UI Light"/>
          <w:sz w:val="24"/>
          <w:szCs w:val="24"/>
        </w:rPr>
        <w:t xml:space="preserve">suggests that an analogous option would be to remove a number of the exemptions that apply solely to exempt public companies. </w:t>
      </w:r>
    </w:p>
    <w:p w14:paraId="1EAE1757" w14:textId="77777777" w:rsidR="00257A16" w:rsidRPr="00360171" w:rsidRDefault="006C0A56" w:rsidP="00D66499">
      <w:pPr>
        <w:jc w:val="both"/>
        <w:rPr>
          <w:rFonts w:ascii="Segoe UI Light" w:hAnsi="Segoe UI Light" w:cs="Segoe UI Light"/>
          <w:sz w:val="24"/>
          <w:szCs w:val="24"/>
        </w:rPr>
      </w:pPr>
      <w:r>
        <w:rPr>
          <w:rFonts w:ascii="Segoe UI Light" w:hAnsi="Segoe UI Light" w:cs="Segoe UI Light"/>
          <w:sz w:val="24"/>
          <w:szCs w:val="24"/>
        </w:rPr>
        <w:t xml:space="preserve"> </w:t>
      </w:r>
    </w:p>
    <w:p w14:paraId="17C216CF" w14:textId="77777777" w:rsidR="007E09CD" w:rsidRDefault="00E9091F" w:rsidP="00DF0A3F">
      <w:pPr>
        <w:jc w:val="both"/>
        <w:rPr>
          <w:rFonts w:ascii="Segoe UI Light" w:hAnsi="Segoe UI Light" w:cs="Segoe UI Light"/>
          <w:sz w:val="24"/>
          <w:szCs w:val="24"/>
        </w:rPr>
      </w:pPr>
      <w:proofErr w:type="spellStart"/>
      <w:r>
        <w:rPr>
          <w:rFonts w:ascii="Segoe UI Light" w:hAnsi="Segoe UI Light" w:cs="Segoe UI Light"/>
          <w:b/>
          <w:i/>
          <w:sz w:val="24"/>
          <w:szCs w:val="24"/>
        </w:rPr>
        <w:t>I</w:t>
      </w:r>
      <w:r w:rsidR="007F618F" w:rsidRPr="00360171">
        <w:rPr>
          <w:rFonts w:ascii="Segoe UI Light" w:hAnsi="Segoe UI Light" w:cs="Segoe UI Light"/>
          <w:b/>
          <w:i/>
          <w:sz w:val="24"/>
          <w:szCs w:val="24"/>
        </w:rPr>
        <w:t>ncubatr</w:t>
      </w:r>
      <w:proofErr w:type="spellEnd"/>
      <w:r w:rsidR="007F618F" w:rsidRPr="00360171">
        <w:rPr>
          <w:rFonts w:ascii="Segoe UI Light" w:hAnsi="Segoe UI Light" w:cs="Segoe UI Light"/>
          <w:sz w:val="24"/>
          <w:szCs w:val="24"/>
        </w:rPr>
        <w:t xml:space="preserve"> holds the view that CAMAC’s recommendations in relation to intermediary remuneration and investing in issuers </w:t>
      </w:r>
      <w:r w:rsidR="00DF0A3F">
        <w:rPr>
          <w:rFonts w:ascii="Segoe UI Light" w:hAnsi="Segoe UI Light" w:cs="Segoe UI Light"/>
          <w:sz w:val="24"/>
          <w:szCs w:val="24"/>
        </w:rPr>
        <w:t xml:space="preserve">may </w:t>
      </w:r>
      <w:r w:rsidR="00143634">
        <w:rPr>
          <w:rFonts w:ascii="Segoe UI Light" w:hAnsi="Segoe UI Light" w:cs="Segoe UI Light"/>
          <w:sz w:val="24"/>
          <w:szCs w:val="24"/>
        </w:rPr>
        <w:t xml:space="preserve">constitute </w:t>
      </w:r>
      <w:r w:rsidR="00FB195C" w:rsidRPr="00360171">
        <w:rPr>
          <w:rFonts w:ascii="Segoe UI Light" w:hAnsi="Segoe UI Light" w:cs="Segoe UI Light"/>
          <w:sz w:val="24"/>
          <w:szCs w:val="24"/>
        </w:rPr>
        <w:t xml:space="preserve">a barrier to </w:t>
      </w:r>
      <w:r w:rsidR="00EA3D75">
        <w:rPr>
          <w:rFonts w:ascii="Segoe UI Light" w:hAnsi="Segoe UI Light" w:cs="Segoe UI Light"/>
          <w:sz w:val="24"/>
          <w:szCs w:val="24"/>
        </w:rPr>
        <w:t xml:space="preserve">entry.  </w:t>
      </w:r>
      <w:r w:rsidR="00143634">
        <w:rPr>
          <w:rFonts w:ascii="Segoe UI Light" w:hAnsi="Segoe UI Light" w:cs="Segoe UI Light"/>
          <w:sz w:val="24"/>
          <w:szCs w:val="24"/>
        </w:rPr>
        <w:t>Specifically, t</w:t>
      </w:r>
      <w:r w:rsidR="00DF0A3F" w:rsidRPr="00DF0A3F">
        <w:rPr>
          <w:rFonts w:ascii="Segoe UI Light" w:hAnsi="Segoe UI Light" w:cs="Segoe UI Light"/>
          <w:sz w:val="24"/>
          <w:szCs w:val="24"/>
        </w:rPr>
        <w:t>h</w:t>
      </w:r>
      <w:r w:rsidR="00143634">
        <w:rPr>
          <w:rFonts w:ascii="Segoe UI Light" w:hAnsi="Segoe UI Light" w:cs="Segoe UI Light"/>
          <w:sz w:val="24"/>
          <w:szCs w:val="24"/>
        </w:rPr>
        <w:t xml:space="preserve">e requirements that intermediaries are not permitted to institute a fee structure by reference to a proportion of capital raised, and that they are not able </w:t>
      </w:r>
      <w:r w:rsidR="00984361">
        <w:rPr>
          <w:rFonts w:ascii="Segoe UI Light" w:hAnsi="Segoe UI Light" w:cs="Segoe UI Light"/>
          <w:sz w:val="24"/>
          <w:szCs w:val="24"/>
        </w:rPr>
        <w:t xml:space="preserve">to take an </w:t>
      </w:r>
      <w:r w:rsidR="00143634">
        <w:rPr>
          <w:rFonts w:ascii="Segoe UI Light" w:hAnsi="Segoe UI Light" w:cs="Segoe UI Light"/>
          <w:sz w:val="24"/>
          <w:szCs w:val="24"/>
        </w:rPr>
        <w:t xml:space="preserve">interest in an issuer </w:t>
      </w:r>
      <w:r w:rsidR="00984361">
        <w:rPr>
          <w:rFonts w:ascii="Segoe UI Light" w:hAnsi="Segoe UI Light" w:cs="Segoe UI Light"/>
          <w:sz w:val="24"/>
          <w:szCs w:val="24"/>
        </w:rPr>
        <w:t xml:space="preserve">or </w:t>
      </w:r>
      <w:r w:rsidR="00143634">
        <w:rPr>
          <w:rFonts w:ascii="Segoe UI Light" w:hAnsi="Segoe UI Light" w:cs="Segoe UI Light"/>
          <w:sz w:val="24"/>
          <w:szCs w:val="24"/>
        </w:rPr>
        <w:t>be paid in shares</w:t>
      </w:r>
      <w:r w:rsidR="00984361">
        <w:rPr>
          <w:rFonts w:ascii="Segoe UI Light" w:hAnsi="Segoe UI Light" w:cs="Segoe UI Light"/>
          <w:sz w:val="24"/>
          <w:szCs w:val="24"/>
        </w:rPr>
        <w:t>, is overly restrictive</w:t>
      </w:r>
      <w:r w:rsidR="00143634">
        <w:rPr>
          <w:rFonts w:ascii="Segoe UI Light" w:hAnsi="Segoe UI Light" w:cs="Segoe UI Light"/>
          <w:sz w:val="24"/>
          <w:szCs w:val="24"/>
        </w:rPr>
        <w:t xml:space="preserve">.  </w:t>
      </w:r>
      <w:r w:rsidR="00984361">
        <w:rPr>
          <w:rFonts w:ascii="Segoe UI Light" w:hAnsi="Segoe UI Light" w:cs="Segoe UI Light"/>
          <w:sz w:val="24"/>
          <w:szCs w:val="24"/>
        </w:rPr>
        <w:t>T</w:t>
      </w:r>
      <w:r w:rsidR="00984361" w:rsidRPr="00984361">
        <w:rPr>
          <w:rFonts w:ascii="Segoe UI Light" w:hAnsi="Segoe UI Light" w:cs="Segoe UI Light"/>
          <w:sz w:val="24"/>
          <w:szCs w:val="24"/>
        </w:rPr>
        <w:t>his may not be a feasibl</w:t>
      </w:r>
      <w:r w:rsidR="00984361">
        <w:rPr>
          <w:rFonts w:ascii="Segoe UI Light" w:hAnsi="Segoe UI Light" w:cs="Segoe UI Light"/>
          <w:sz w:val="24"/>
          <w:szCs w:val="24"/>
        </w:rPr>
        <w:t>e</w:t>
      </w:r>
      <w:r w:rsidR="00984361" w:rsidRPr="00984361">
        <w:rPr>
          <w:rFonts w:ascii="Segoe UI Light" w:hAnsi="Segoe UI Light" w:cs="Segoe UI Light"/>
          <w:sz w:val="24"/>
          <w:szCs w:val="24"/>
        </w:rPr>
        <w:t xml:space="preserve"> option for early-stage start-ups that </w:t>
      </w:r>
      <w:r w:rsidR="005D12B4">
        <w:rPr>
          <w:rFonts w:ascii="Segoe UI Light" w:hAnsi="Segoe UI Light" w:cs="Segoe UI Light"/>
          <w:sz w:val="24"/>
          <w:szCs w:val="24"/>
        </w:rPr>
        <w:t xml:space="preserve">may </w:t>
      </w:r>
      <w:r w:rsidR="00984361" w:rsidRPr="00984361">
        <w:rPr>
          <w:rFonts w:ascii="Segoe UI Light" w:hAnsi="Segoe UI Light" w:cs="Segoe UI Light"/>
          <w:sz w:val="24"/>
          <w:szCs w:val="24"/>
        </w:rPr>
        <w:t>have limited funds and poor cash flow in their establishment phase</w:t>
      </w:r>
      <w:r w:rsidR="00984361">
        <w:rPr>
          <w:rFonts w:ascii="Segoe UI Light" w:hAnsi="Segoe UI Light" w:cs="Segoe UI Light"/>
          <w:sz w:val="24"/>
          <w:szCs w:val="24"/>
        </w:rPr>
        <w:t xml:space="preserve">.  Resultantly, </w:t>
      </w:r>
      <w:r w:rsidR="00DF0A3F" w:rsidRPr="00DF0A3F">
        <w:rPr>
          <w:rFonts w:ascii="Segoe UI Light" w:hAnsi="Segoe UI Light" w:cs="Segoe UI Light"/>
          <w:sz w:val="24"/>
          <w:szCs w:val="24"/>
        </w:rPr>
        <w:t>the</w:t>
      </w:r>
      <w:r w:rsidR="00984361">
        <w:rPr>
          <w:rFonts w:ascii="Segoe UI Light" w:hAnsi="Segoe UI Light" w:cs="Segoe UI Light"/>
          <w:sz w:val="24"/>
          <w:szCs w:val="24"/>
        </w:rPr>
        <w:t>se</w:t>
      </w:r>
      <w:r w:rsidR="00DF0A3F" w:rsidRPr="00DF0A3F">
        <w:rPr>
          <w:rFonts w:ascii="Segoe UI Light" w:hAnsi="Segoe UI Light" w:cs="Segoe UI Light"/>
          <w:sz w:val="24"/>
          <w:szCs w:val="24"/>
        </w:rPr>
        <w:t xml:space="preserve"> </w:t>
      </w:r>
      <w:r w:rsidR="00A10930">
        <w:rPr>
          <w:rFonts w:ascii="Segoe UI Light" w:hAnsi="Segoe UI Light" w:cs="Segoe UI Light"/>
          <w:sz w:val="24"/>
          <w:szCs w:val="24"/>
        </w:rPr>
        <w:t xml:space="preserve">limits </w:t>
      </w:r>
      <w:r w:rsidR="00984361">
        <w:rPr>
          <w:rFonts w:ascii="Segoe UI Light" w:hAnsi="Segoe UI Light" w:cs="Segoe UI Light"/>
          <w:sz w:val="24"/>
          <w:szCs w:val="24"/>
        </w:rPr>
        <w:t xml:space="preserve">may </w:t>
      </w:r>
      <w:r w:rsidR="00A10930">
        <w:rPr>
          <w:rFonts w:ascii="Segoe UI Light" w:hAnsi="Segoe UI Light" w:cs="Segoe UI Light"/>
          <w:sz w:val="24"/>
          <w:szCs w:val="24"/>
        </w:rPr>
        <w:t>make capital raising unachievable for some</w:t>
      </w:r>
      <w:r w:rsidR="00DF0A3F" w:rsidRPr="00DF0A3F">
        <w:rPr>
          <w:rFonts w:ascii="Segoe UI Light" w:hAnsi="Segoe UI Light" w:cs="Segoe UI Light"/>
          <w:sz w:val="24"/>
          <w:szCs w:val="24"/>
        </w:rPr>
        <w:t>.</w:t>
      </w:r>
      <w:r w:rsidR="005A27E1">
        <w:rPr>
          <w:rFonts w:ascii="Segoe UI Light" w:hAnsi="Segoe UI Light" w:cs="Segoe UI Light"/>
          <w:sz w:val="24"/>
          <w:szCs w:val="24"/>
        </w:rPr>
        <w:t xml:space="preserve"> </w:t>
      </w:r>
      <w:r w:rsidR="00DF0A3F" w:rsidRPr="00DF0A3F">
        <w:rPr>
          <w:rFonts w:ascii="Segoe UI Light" w:hAnsi="Segoe UI Light" w:cs="Segoe UI Light"/>
          <w:sz w:val="24"/>
          <w:szCs w:val="24"/>
        </w:rPr>
        <w:t xml:space="preserve"> This in turn limits the attractiveness of CSEF to </w:t>
      </w:r>
      <w:r w:rsidR="005A27E1">
        <w:rPr>
          <w:rFonts w:ascii="Segoe UI Light" w:hAnsi="Segoe UI Light" w:cs="Segoe UI Light"/>
          <w:sz w:val="24"/>
          <w:szCs w:val="24"/>
        </w:rPr>
        <w:t xml:space="preserve">intermediaries </w:t>
      </w:r>
      <w:r w:rsidR="00DF0A3F" w:rsidRPr="00DF0A3F">
        <w:rPr>
          <w:rFonts w:ascii="Segoe UI Light" w:hAnsi="Segoe UI Light" w:cs="Segoe UI Light"/>
          <w:sz w:val="24"/>
          <w:szCs w:val="24"/>
        </w:rPr>
        <w:t xml:space="preserve">and </w:t>
      </w:r>
      <w:r w:rsidR="00984361">
        <w:rPr>
          <w:rFonts w:ascii="Segoe UI Light" w:hAnsi="Segoe UI Light" w:cs="Segoe UI Light"/>
          <w:sz w:val="24"/>
          <w:szCs w:val="24"/>
        </w:rPr>
        <w:t xml:space="preserve">brings </w:t>
      </w:r>
      <w:r w:rsidR="00DF0A3F" w:rsidRPr="00DF0A3F">
        <w:rPr>
          <w:rFonts w:ascii="Segoe UI Light" w:hAnsi="Segoe UI Light" w:cs="Segoe UI Light"/>
          <w:sz w:val="24"/>
          <w:szCs w:val="24"/>
        </w:rPr>
        <w:t>into question the overall viability of the CSEF model.</w:t>
      </w:r>
      <w:r w:rsidR="00C9242E">
        <w:rPr>
          <w:rFonts w:ascii="Segoe UI Light" w:hAnsi="Segoe UI Light" w:cs="Segoe UI Light"/>
          <w:sz w:val="24"/>
          <w:szCs w:val="24"/>
        </w:rPr>
        <w:t xml:space="preserve">  </w:t>
      </w:r>
      <w:r w:rsidR="005A27E1">
        <w:rPr>
          <w:rFonts w:ascii="Segoe UI Light" w:hAnsi="Segoe UI Light" w:cs="Segoe UI Light"/>
          <w:sz w:val="24"/>
          <w:szCs w:val="24"/>
        </w:rPr>
        <w:t xml:space="preserve">It is important that the remuneration for services rendered maintain a level of flexibility in order to aid the viability of the </w:t>
      </w:r>
      <w:r w:rsidR="009C1C35">
        <w:rPr>
          <w:rFonts w:ascii="Segoe UI Light" w:hAnsi="Segoe UI Light" w:cs="Segoe UI Light"/>
          <w:sz w:val="24"/>
          <w:szCs w:val="24"/>
        </w:rPr>
        <w:t>CSEF regime</w:t>
      </w:r>
      <w:r w:rsidR="005A27E1">
        <w:rPr>
          <w:rFonts w:ascii="Segoe UI Light" w:hAnsi="Segoe UI Light" w:cs="Segoe UI Light"/>
          <w:sz w:val="24"/>
          <w:szCs w:val="24"/>
        </w:rPr>
        <w:t>.</w:t>
      </w:r>
      <w:r w:rsidR="00C9242E">
        <w:rPr>
          <w:rFonts w:ascii="Segoe UI Light" w:hAnsi="Segoe UI Light" w:cs="Segoe UI Light"/>
          <w:sz w:val="24"/>
          <w:szCs w:val="24"/>
        </w:rPr>
        <w:t xml:space="preserve"> </w:t>
      </w:r>
      <w:r w:rsidR="009C1C35">
        <w:rPr>
          <w:rFonts w:ascii="Segoe UI Light" w:hAnsi="Segoe UI Light" w:cs="Segoe UI Light"/>
          <w:sz w:val="24"/>
          <w:szCs w:val="24"/>
        </w:rPr>
        <w:t xml:space="preserve"> </w:t>
      </w:r>
      <w:r w:rsidR="00C9242E">
        <w:rPr>
          <w:rFonts w:ascii="Segoe UI Light" w:hAnsi="Segoe UI Light" w:cs="Segoe UI Light"/>
          <w:sz w:val="24"/>
          <w:szCs w:val="24"/>
        </w:rPr>
        <w:t xml:space="preserve"> </w:t>
      </w:r>
    </w:p>
    <w:p w14:paraId="0BF1D181" w14:textId="77777777" w:rsidR="00984361" w:rsidRDefault="00984361" w:rsidP="00DF0A3F">
      <w:pPr>
        <w:jc w:val="both"/>
        <w:rPr>
          <w:rFonts w:ascii="Segoe UI Light" w:hAnsi="Segoe UI Light" w:cs="Segoe UI Light"/>
          <w:sz w:val="24"/>
          <w:szCs w:val="24"/>
        </w:rPr>
      </w:pPr>
    </w:p>
    <w:p w14:paraId="56FEEE38" w14:textId="77777777" w:rsidR="00DF0A3F" w:rsidRDefault="00115886" w:rsidP="00DF0A3F">
      <w:pPr>
        <w:jc w:val="both"/>
        <w:rPr>
          <w:rFonts w:ascii="Segoe UI Light" w:hAnsi="Segoe UI Light" w:cs="Segoe UI Light"/>
          <w:sz w:val="24"/>
          <w:szCs w:val="24"/>
        </w:rPr>
      </w:pPr>
      <w:r>
        <w:rPr>
          <w:rFonts w:ascii="Segoe UI Light" w:hAnsi="Segoe UI Light" w:cs="Segoe UI Light"/>
          <w:sz w:val="24"/>
          <w:szCs w:val="24"/>
        </w:rPr>
        <w:lastRenderedPageBreak/>
        <w:t xml:space="preserve">It is </w:t>
      </w:r>
      <w:proofErr w:type="spellStart"/>
      <w:r>
        <w:rPr>
          <w:rFonts w:ascii="Segoe UI Light" w:hAnsi="Segoe UI Light" w:cs="Segoe UI Light"/>
          <w:b/>
          <w:i/>
          <w:sz w:val="24"/>
          <w:szCs w:val="24"/>
        </w:rPr>
        <w:t>incubatr’s</w:t>
      </w:r>
      <w:proofErr w:type="spellEnd"/>
      <w:r>
        <w:rPr>
          <w:rFonts w:ascii="Segoe UI Light" w:hAnsi="Segoe UI Light" w:cs="Segoe UI Light"/>
          <w:b/>
          <w:i/>
          <w:sz w:val="24"/>
          <w:szCs w:val="24"/>
        </w:rPr>
        <w:t xml:space="preserve"> </w:t>
      </w:r>
      <w:r>
        <w:rPr>
          <w:rFonts w:ascii="Segoe UI Light" w:hAnsi="Segoe UI Light" w:cs="Segoe UI Light"/>
          <w:sz w:val="24"/>
          <w:szCs w:val="24"/>
        </w:rPr>
        <w:t xml:space="preserve">view that </w:t>
      </w:r>
      <w:r w:rsidR="00C82F27">
        <w:rPr>
          <w:rFonts w:ascii="Segoe UI Light" w:hAnsi="Segoe UI Light" w:cs="Segoe UI Light"/>
          <w:sz w:val="24"/>
          <w:szCs w:val="24"/>
        </w:rPr>
        <w:t xml:space="preserve">New </w:t>
      </w:r>
      <w:r w:rsidR="00DF0A3F" w:rsidRPr="00360171">
        <w:rPr>
          <w:rFonts w:ascii="Segoe UI Light" w:hAnsi="Segoe UI Light" w:cs="Segoe UI Light"/>
          <w:sz w:val="24"/>
          <w:szCs w:val="24"/>
        </w:rPr>
        <w:t>Zealand</w:t>
      </w:r>
      <w:r w:rsidR="00C82F27">
        <w:rPr>
          <w:rFonts w:ascii="Segoe UI Light" w:hAnsi="Segoe UI Light" w:cs="Segoe UI Light"/>
          <w:sz w:val="24"/>
          <w:szCs w:val="24"/>
        </w:rPr>
        <w:t>’s</w:t>
      </w:r>
      <w:r w:rsidR="00DF0A3F" w:rsidRPr="00360171">
        <w:rPr>
          <w:rFonts w:ascii="Segoe UI Light" w:hAnsi="Segoe UI Light" w:cs="Segoe UI Light"/>
          <w:sz w:val="24"/>
          <w:szCs w:val="24"/>
        </w:rPr>
        <w:t xml:space="preserve"> model</w:t>
      </w:r>
      <w:r w:rsidR="00C82F27">
        <w:rPr>
          <w:rFonts w:ascii="Segoe UI Light" w:hAnsi="Segoe UI Light" w:cs="Segoe UI Light"/>
          <w:sz w:val="24"/>
          <w:szCs w:val="24"/>
        </w:rPr>
        <w:t xml:space="preserve">, which places no limits on fee structures or investment in the issuer is the most flexible and viable option.  </w:t>
      </w:r>
      <w:r w:rsidR="00433E8C">
        <w:rPr>
          <w:rFonts w:ascii="Segoe UI Light" w:hAnsi="Segoe UI Light" w:cs="Segoe UI Light"/>
          <w:sz w:val="24"/>
          <w:szCs w:val="24"/>
        </w:rPr>
        <w:t xml:space="preserve">It balances this flexibility with the </w:t>
      </w:r>
      <w:r w:rsidR="00C82F27">
        <w:rPr>
          <w:rFonts w:ascii="Segoe UI Light" w:hAnsi="Segoe UI Light" w:cs="Segoe UI Light"/>
          <w:sz w:val="24"/>
          <w:szCs w:val="24"/>
        </w:rPr>
        <w:t xml:space="preserve">requirement that </w:t>
      </w:r>
      <w:r w:rsidR="00433E8C">
        <w:rPr>
          <w:rFonts w:ascii="Segoe UI Light" w:hAnsi="Segoe UI Light" w:cs="Segoe UI Light"/>
          <w:sz w:val="24"/>
          <w:szCs w:val="24"/>
        </w:rPr>
        <w:t xml:space="preserve">any </w:t>
      </w:r>
      <w:r w:rsidR="00C82F27">
        <w:rPr>
          <w:rFonts w:ascii="Segoe UI Light" w:hAnsi="Segoe UI Light" w:cs="Segoe UI Light"/>
          <w:sz w:val="24"/>
          <w:szCs w:val="24"/>
        </w:rPr>
        <w:t xml:space="preserve">arrangement </w:t>
      </w:r>
      <w:r w:rsidR="00433E8C">
        <w:rPr>
          <w:rFonts w:ascii="Segoe UI Light" w:hAnsi="Segoe UI Light" w:cs="Segoe UI Light"/>
          <w:sz w:val="24"/>
          <w:szCs w:val="24"/>
        </w:rPr>
        <w:t xml:space="preserve">(whether by way of equity stake or fee arrangement) </w:t>
      </w:r>
      <w:r w:rsidR="00DF0A3F" w:rsidRPr="00360171">
        <w:rPr>
          <w:rFonts w:ascii="Segoe UI Light" w:hAnsi="Segoe UI Light" w:cs="Segoe UI Light"/>
          <w:sz w:val="24"/>
          <w:szCs w:val="24"/>
        </w:rPr>
        <w:t xml:space="preserve">should be clearly disclosed to all investors prior to their investment. </w:t>
      </w:r>
      <w:r w:rsidR="00433E8C">
        <w:rPr>
          <w:rFonts w:ascii="Segoe UI Light" w:hAnsi="Segoe UI Light" w:cs="Segoe UI Light"/>
          <w:sz w:val="24"/>
          <w:szCs w:val="24"/>
        </w:rPr>
        <w:t xml:space="preserve"> </w:t>
      </w:r>
      <w:r w:rsidR="00291035">
        <w:rPr>
          <w:rFonts w:ascii="Segoe UI Light" w:hAnsi="Segoe UI Light" w:cs="Segoe UI Light"/>
          <w:sz w:val="24"/>
          <w:szCs w:val="24"/>
        </w:rPr>
        <w:t>As a corollary to  this</w:t>
      </w:r>
      <w:r w:rsidR="00056D26">
        <w:rPr>
          <w:rFonts w:ascii="Segoe UI Light" w:hAnsi="Segoe UI Light" w:cs="Segoe UI Light"/>
          <w:sz w:val="24"/>
          <w:szCs w:val="24"/>
        </w:rPr>
        <w:t>, i</w:t>
      </w:r>
      <w:r w:rsidR="00433E8C">
        <w:rPr>
          <w:rFonts w:ascii="Segoe UI Light" w:hAnsi="Segoe UI Light" w:cs="Segoe UI Light"/>
          <w:sz w:val="24"/>
          <w:szCs w:val="24"/>
        </w:rPr>
        <w:t xml:space="preserve">t is </w:t>
      </w:r>
      <w:proofErr w:type="spellStart"/>
      <w:r w:rsidR="00DF0A3F" w:rsidRPr="00360171">
        <w:rPr>
          <w:rFonts w:ascii="Segoe UI Light" w:hAnsi="Segoe UI Light" w:cs="Segoe UI Light"/>
          <w:b/>
          <w:i/>
          <w:sz w:val="24"/>
          <w:szCs w:val="24"/>
        </w:rPr>
        <w:t>incubatr</w:t>
      </w:r>
      <w:r w:rsidR="00433E8C">
        <w:rPr>
          <w:rFonts w:ascii="Segoe UI Light" w:hAnsi="Segoe UI Light" w:cs="Segoe UI Light"/>
          <w:b/>
          <w:i/>
          <w:sz w:val="24"/>
          <w:szCs w:val="24"/>
        </w:rPr>
        <w:t>’s</w:t>
      </w:r>
      <w:proofErr w:type="spellEnd"/>
      <w:r w:rsidR="00DF0A3F" w:rsidRPr="00360171">
        <w:rPr>
          <w:rFonts w:ascii="Segoe UI Light" w:hAnsi="Segoe UI Light" w:cs="Segoe UI Light"/>
          <w:sz w:val="24"/>
          <w:szCs w:val="24"/>
        </w:rPr>
        <w:t xml:space="preserve"> </w:t>
      </w:r>
      <w:r w:rsidR="00433E8C">
        <w:rPr>
          <w:rFonts w:ascii="Segoe UI Light" w:hAnsi="Segoe UI Light" w:cs="Segoe UI Light"/>
          <w:sz w:val="24"/>
          <w:szCs w:val="24"/>
        </w:rPr>
        <w:t xml:space="preserve">view that </w:t>
      </w:r>
      <w:r w:rsidR="00056D26">
        <w:rPr>
          <w:rFonts w:ascii="Segoe UI Light" w:hAnsi="Segoe UI Light" w:cs="Segoe UI Light"/>
          <w:sz w:val="24"/>
          <w:szCs w:val="24"/>
        </w:rPr>
        <w:t>t</w:t>
      </w:r>
      <w:r w:rsidR="00DF0A3F" w:rsidRPr="00360171">
        <w:rPr>
          <w:rFonts w:ascii="Segoe UI Light" w:hAnsi="Segoe UI Light" w:cs="Segoe UI Light"/>
          <w:sz w:val="24"/>
          <w:szCs w:val="24"/>
        </w:rPr>
        <w:t xml:space="preserve">he intermediary should not be prohibited from making </w:t>
      </w:r>
      <w:r w:rsidR="00125DAD">
        <w:rPr>
          <w:rFonts w:ascii="Segoe UI Light" w:hAnsi="Segoe UI Light" w:cs="Segoe UI Light"/>
          <w:sz w:val="24"/>
          <w:szCs w:val="24"/>
        </w:rPr>
        <w:t xml:space="preserve">additional equity </w:t>
      </w:r>
      <w:r w:rsidR="00DF0A3F" w:rsidRPr="00360171">
        <w:rPr>
          <w:rFonts w:ascii="Segoe UI Light" w:hAnsi="Segoe UI Light" w:cs="Segoe UI Light"/>
          <w:sz w:val="24"/>
          <w:szCs w:val="24"/>
        </w:rPr>
        <w:t xml:space="preserve">investments beyond any </w:t>
      </w:r>
      <w:r w:rsidR="00291035">
        <w:rPr>
          <w:rFonts w:ascii="Segoe UI Light" w:hAnsi="Segoe UI Light" w:cs="Segoe UI Light"/>
          <w:sz w:val="24"/>
          <w:szCs w:val="24"/>
        </w:rPr>
        <w:t xml:space="preserve">initial </w:t>
      </w:r>
      <w:r w:rsidR="00DF0A3F" w:rsidRPr="00360171">
        <w:rPr>
          <w:rFonts w:ascii="Segoe UI Light" w:hAnsi="Segoe UI Light" w:cs="Segoe UI Light"/>
          <w:sz w:val="24"/>
          <w:szCs w:val="24"/>
        </w:rPr>
        <w:t>equity provided as remuneration for the intermediary’s services</w:t>
      </w:r>
      <w:r w:rsidR="00125DAD">
        <w:rPr>
          <w:rFonts w:ascii="Segoe UI Light" w:hAnsi="Segoe UI Light" w:cs="Segoe UI Light"/>
          <w:sz w:val="24"/>
          <w:szCs w:val="24"/>
        </w:rPr>
        <w:t>.</w:t>
      </w:r>
      <w:r w:rsidR="00291035">
        <w:rPr>
          <w:rFonts w:ascii="Segoe UI Light" w:hAnsi="Segoe UI Light" w:cs="Segoe UI Light"/>
          <w:sz w:val="24"/>
          <w:szCs w:val="24"/>
        </w:rPr>
        <w:t xml:space="preserve">  </w:t>
      </w:r>
    </w:p>
    <w:p w14:paraId="0D05C891" w14:textId="77777777" w:rsidR="0031583A" w:rsidRPr="00913295" w:rsidRDefault="0031583A" w:rsidP="00DF0A3F">
      <w:pPr>
        <w:jc w:val="both"/>
        <w:rPr>
          <w:rFonts w:ascii="Segoe UI Light" w:hAnsi="Segoe UI Light" w:cs="Segoe UI Light"/>
          <w:sz w:val="24"/>
          <w:szCs w:val="24"/>
        </w:rPr>
      </w:pPr>
    </w:p>
    <w:p w14:paraId="31EC1D92" w14:textId="77777777" w:rsidR="006A5B11" w:rsidRPr="00360171" w:rsidRDefault="003A5218" w:rsidP="00D66499">
      <w:pPr>
        <w:jc w:val="both"/>
        <w:rPr>
          <w:rFonts w:ascii="Segoe UI Light" w:hAnsi="Segoe UI Light" w:cs="Segoe UI Light"/>
          <w:sz w:val="24"/>
          <w:szCs w:val="24"/>
        </w:rPr>
      </w:pPr>
      <w:proofErr w:type="spellStart"/>
      <w:r>
        <w:rPr>
          <w:rFonts w:ascii="Segoe UI Light" w:hAnsi="Segoe UI Light" w:cs="Segoe UI Light"/>
          <w:b/>
          <w:i/>
          <w:sz w:val="24"/>
          <w:szCs w:val="24"/>
        </w:rPr>
        <w:t>Incubatr’s</w:t>
      </w:r>
      <w:proofErr w:type="spellEnd"/>
      <w:r>
        <w:rPr>
          <w:rFonts w:ascii="Segoe UI Light" w:hAnsi="Segoe UI Light" w:cs="Segoe UI Light"/>
          <w:b/>
          <w:i/>
          <w:sz w:val="24"/>
          <w:szCs w:val="24"/>
        </w:rPr>
        <w:t xml:space="preserve"> </w:t>
      </w:r>
      <w:r>
        <w:rPr>
          <w:rFonts w:ascii="Segoe UI Light" w:hAnsi="Segoe UI Light" w:cs="Segoe UI Light"/>
          <w:sz w:val="24"/>
          <w:szCs w:val="24"/>
        </w:rPr>
        <w:t>view is that t</w:t>
      </w:r>
      <w:r w:rsidR="00017372" w:rsidRPr="00360171">
        <w:rPr>
          <w:rFonts w:ascii="Segoe UI Light" w:hAnsi="Segoe UI Light" w:cs="Segoe UI Light"/>
          <w:sz w:val="24"/>
          <w:szCs w:val="24"/>
        </w:rPr>
        <w:t xml:space="preserve">he proposed </w:t>
      </w:r>
      <w:r>
        <w:rPr>
          <w:rFonts w:ascii="Segoe UI Light" w:hAnsi="Segoe UI Light" w:cs="Segoe UI Light"/>
          <w:sz w:val="24"/>
          <w:szCs w:val="24"/>
        </w:rPr>
        <w:t xml:space="preserve">retail </w:t>
      </w:r>
      <w:r w:rsidR="00017372" w:rsidRPr="00360171">
        <w:rPr>
          <w:rFonts w:ascii="Segoe UI Light" w:hAnsi="Segoe UI Light" w:cs="Segoe UI Light"/>
          <w:sz w:val="24"/>
          <w:szCs w:val="24"/>
        </w:rPr>
        <w:t>investor caps of $2,500 per issuer per 12-month period</w:t>
      </w:r>
      <w:r w:rsidR="00090A81">
        <w:rPr>
          <w:rFonts w:ascii="Segoe UI Light" w:hAnsi="Segoe UI Light" w:cs="Segoe UI Light"/>
          <w:sz w:val="24"/>
          <w:szCs w:val="24"/>
        </w:rPr>
        <w:t>,</w:t>
      </w:r>
      <w:r w:rsidR="001D1899">
        <w:rPr>
          <w:rFonts w:ascii="Segoe UI Light" w:hAnsi="Segoe UI Light" w:cs="Segoe UI Light"/>
          <w:sz w:val="24"/>
          <w:szCs w:val="24"/>
        </w:rPr>
        <w:t xml:space="preserve"> </w:t>
      </w:r>
      <w:r w:rsidR="00017372" w:rsidRPr="00360171">
        <w:rPr>
          <w:rFonts w:ascii="Segoe UI Light" w:hAnsi="Segoe UI Light" w:cs="Segoe UI Light"/>
          <w:sz w:val="24"/>
          <w:szCs w:val="24"/>
        </w:rPr>
        <w:t xml:space="preserve">and $10,000 </w:t>
      </w:r>
      <w:r>
        <w:rPr>
          <w:rFonts w:ascii="Segoe UI Light" w:hAnsi="Segoe UI Light" w:cs="Segoe UI Light"/>
          <w:sz w:val="24"/>
          <w:szCs w:val="24"/>
        </w:rPr>
        <w:t xml:space="preserve">in total for the </w:t>
      </w:r>
      <w:r w:rsidR="00017372" w:rsidRPr="00360171">
        <w:rPr>
          <w:rFonts w:ascii="Segoe UI Light" w:hAnsi="Segoe UI Light" w:cs="Segoe UI Light"/>
          <w:sz w:val="24"/>
          <w:szCs w:val="24"/>
        </w:rPr>
        <w:t>12-month period</w:t>
      </w:r>
      <w:r w:rsidR="00AF7AF0" w:rsidRPr="00360171">
        <w:rPr>
          <w:rFonts w:ascii="Segoe UI Light" w:hAnsi="Segoe UI Light" w:cs="Segoe UI Light"/>
          <w:sz w:val="24"/>
          <w:szCs w:val="24"/>
        </w:rPr>
        <w:t xml:space="preserve"> </w:t>
      </w:r>
      <w:r w:rsidR="00B64266">
        <w:rPr>
          <w:rFonts w:ascii="Segoe UI Light" w:hAnsi="Segoe UI Light" w:cs="Segoe UI Light"/>
          <w:sz w:val="24"/>
          <w:szCs w:val="24"/>
        </w:rPr>
        <w:t xml:space="preserve">are appropriate for the </w:t>
      </w:r>
      <w:r w:rsidR="00520D8A">
        <w:rPr>
          <w:rFonts w:ascii="Segoe UI Light" w:hAnsi="Segoe UI Light" w:cs="Segoe UI Light"/>
          <w:sz w:val="24"/>
          <w:szCs w:val="24"/>
        </w:rPr>
        <w:t xml:space="preserve">majority of investors </w:t>
      </w:r>
      <w:r>
        <w:rPr>
          <w:rFonts w:ascii="Segoe UI Light" w:hAnsi="Segoe UI Light" w:cs="Segoe UI Light"/>
          <w:sz w:val="24"/>
          <w:szCs w:val="24"/>
        </w:rPr>
        <w:t>when considered in terms of balancing investor protection and limiting investor choice</w:t>
      </w:r>
      <w:r w:rsidR="009D66A4" w:rsidRPr="00360171">
        <w:rPr>
          <w:rFonts w:ascii="Segoe UI Light" w:hAnsi="Segoe UI Light" w:cs="Segoe UI Light"/>
          <w:sz w:val="24"/>
          <w:szCs w:val="24"/>
        </w:rPr>
        <w:t>.</w:t>
      </w:r>
      <w:r w:rsidR="000A79FB">
        <w:rPr>
          <w:rFonts w:ascii="Segoe UI Light" w:hAnsi="Segoe UI Light" w:cs="Segoe UI Light"/>
          <w:sz w:val="24"/>
          <w:szCs w:val="24"/>
        </w:rPr>
        <w:t xml:space="preserve">  However, </w:t>
      </w:r>
      <w:proofErr w:type="spellStart"/>
      <w:r w:rsidR="000A79FB">
        <w:rPr>
          <w:rFonts w:ascii="Segoe UI Light" w:hAnsi="Segoe UI Light" w:cs="Segoe UI Light"/>
          <w:b/>
          <w:i/>
          <w:sz w:val="24"/>
          <w:szCs w:val="24"/>
        </w:rPr>
        <w:t>i</w:t>
      </w:r>
      <w:r w:rsidR="00B64266">
        <w:rPr>
          <w:rFonts w:ascii="Segoe UI Light" w:hAnsi="Segoe UI Light" w:cs="Segoe UI Light"/>
          <w:b/>
          <w:i/>
          <w:sz w:val="24"/>
          <w:szCs w:val="24"/>
        </w:rPr>
        <w:t>ncubatr</w:t>
      </w:r>
      <w:proofErr w:type="spellEnd"/>
      <w:r w:rsidR="00B64266">
        <w:rPr>
          <w:rFonts w:ascii="Segoe UI Light" w:hAnsi="Segoe UI Light" w:cs="Segoe UI Light"/>
          <w:b/>
          <w:i/>
          <w:sz w:val="24"/>
          <w:szCs w:val="24"/>
        </w:rPr>
        <w:t xml:space="preserve"> </w:t>
      </w:r>
      <w:r w:rsidR="00B64266">
        <w:rPr>
          <w:rFonts w:ascii="Segoe UI Light" w:hAnsi="Segoe UI Light" w:cs="Segoe UI Light"/>
          <w:sz w:val="24"/>
          <w:szCs w:val="24"/>
        </w:rPr>
        <w:t xml:space="preserve">further holds </w:t>
      </w:r>
      <w:r w:rsidR="00463FB2" w:rsidRPr="00360171">
        <w:rPr>
          <w:rFonts w:ascii="Segoe UI Light" w:hAnsi="Segoe UI Light" w:cs="Segoe UI Light"/>
          <w:sz w:val="24"/>
          <w:szCs w:val="24"/>
        </w:rPr>
        <w:t xml:space="preserve">that </w:t>
      </w:r>
      <w:r w:rsidR="00B64266">
        <w:rPr>
          <w:rFonts w:ascii="Segoe UI Light" w:hAnsi="Segoe UI Light" w:cs="Segoe UI Light"/>
          <w:sz w:val="24"/>
          <w:szCs w:val="24"/>
        </w:rPr>
        <w:t xml:space="preserve">a hybrid model incorporating </w:t>
      </w:r>
      <w:r w:rsidR="000A79FB">
        <w:rPr>
          <w:rFonts w:ascii="Segoe UI Light" w:hAnsi="Segoe UI Light" w:cs="Segoe UI Light"/>
          <w:sz w:val="24"/>
          <w:szCs w:val="24"/>
        </w:rPr>
        <w:t xml:space="preserve">aspects </w:t>
      </w:r>
      <w:r w:rsidR="00B64266">
        <w:rPr>
          <w:rFonts w:ascii="Segoe UI Light" w:hAnsi="Segoe UI Light" w:cs="Segoe UI Light"/>
          <w:sz w:val="24"/>
          <w:szCs w:val="24"/>
        </w:rPr>
        <w:t xml:space="preserve">of the </w:t>
      </w:r>
      <w:r w:rsidR="00D66499">
        <w:rPr>
          <w:rFonts w:ascii="Segoe UI Light" w:hAnsi="Segoe UI Light" w:cs="Segoe UI Light"/>
          <w:sz w:val="24"/>
          <w:szCs w:val="24"/>
        </w:rPr>
        <w:t>N</w:t>
      </w:r>
      <w:r w:rsidR="00463FB2" w:rsidRPr="00360171">
        <w:rPr>
          <w:rFonts w:ascii="Segoe UI Light" w:hAnsi="Segoe UI Light" w:cs="Segoe UI Light"/>
          <w:sz w:val="24"/>
          <w:szCs w:val="24"/>
        </w:rPr>
        <w:t xml:space="preserve">ew Zealand </w:t>
      </w:r>
      <w:r w:rsidR="00B64266">
        <w:rPr>
          <w:rFonts w:ascii="Segoe UI Light" w:hAnsi="Segoe UI Light" w:cs="Segoe UI Light"/>
          <w:sz w:val="24"/>
          <w:szCs w:val="24"/>
        </w:rPr>
        <w:t>and US m</w:t>
      </w:r>
      <w:r w:rsidR="00463FB2" w:rsidRPr="00360171">
        <w:rPr>
          <w:rFonts w:ascii="Segoe UI Light" w:hAnsi="Segoe UI Light" w:cs="Segoe UI Light"/>
          <w:sz w:val="24"/>
          <w:szCs w:val="24"/>
        </w:rPr>
        <w:t>odel</w:t>
      </w:r>
      <w:r w:rsidR="00B64266">
        <w:rPr>
          <w:rFonts w:ascii="Segoe UI Light" w:hAnsi="Segoe UI Light" w:cs="Segoe UI Light"/>
          <w:sz w:val="24"/>
          <w:szCs w:val="24"/>
        </w:rPr>
        <w:t xml:space="preserve">s may be appropriate.  Specifically, </w:t>
      </w:r>
      <w:r w:rsidR="00C80E43">
        <w:rPr>
          <w:rFonts w:ascii="Segoe UI Light" w:hAnsi="Segoe UI Light" w:cs="Segoe UI Light"/>
          <w:sz w:val="24"/>
          <w:szCs w:val="24"/>
        </w:rPr>
        <w:t xml:space="preserve">the US model </w:t>
      </w:r>
      <w:r w:rsidR="00FB4ACC">
        <w:rPr>
          <w:rFonts w:ascii="Segoe UI Light" w:hAnsi="Segoe UI Light" w:cs="Segoe UI Light"/>
          <w:sz w:val="24"/>
          <w:szCs w:val="24"/>
        </w:rPr>
        <w:t>permits larger investment</w:t>
      </w:r>
      <w:r w:rsidR="00C80E43">
        <w:rPr>
          <w:rFonts w:ascii="Segoe UI Light" w:hAnsi="Segoe UI Light" w:cs="Segoe UI Light"/>
          <w:sz w:val="24"/>
          <w:szCs w:val="24"/>
        </w:rPr>
        <w:t xml:space="preserve"> pursuant to means testing</w:t>
      </w:r>
      <w:r w:rsidR="000A79FB">
        <w:rPr>
          <w:rFonts w:ascii="Segoe UI Light" w:hAnsi="Segoe UI Light" w:cs="Segoe UI Light"/>
          <w:sz w:val="24"/>
          <w:szCs w:val="24"/>
        </w:rPr>
        <w:t xml:space="preserve">.  This </w:t>
      </w:r>
      <w:r w:rsidR="00D1739F">
        <w:rPr>
          <w:rFonts w:ascii="Segoe UI Light" w:hAnsi="Segoe UI Light" w:cs="Segoe UI Light"/>
          <w:sz w:val="24"/>
          <w:szCs w:val="24"/>
        </w:rPr>
        <w:t xml:space="preserve">may be </w:t>
      </w:r>
      <w:r w:rsidR="000A79FB">
        <w:rPr>
          <w:rFonts w:ascii="Segoe UI Light" w:hAnsi="Segoe UI Light" w:cs="Segoe UI Light"/>
          <w:sz w:val="24"/>
          <w:szCs w:val="24"/>
        </w:rPr>
        <w:t xml:space="preserve">an option worthy of consideration </w:t>
      </w:r>
      <w:r w:rsidR="00D1739F">
        <w:rPr>
          <w:rFonts w:ascii="Segoe UI Light" w:hAnsi="Segoe UI Light" w:cs="Segoe UI Light"/>
          <w:sz w:val="24"/>
          <w:szCs w:val="24"/>
        </w:rPr>
        <w:t xml:space="preserve">in the </w:t>
      </w:r>
      <w:r w:rsidR="00C80E43">
        <w:rPr>
          <w:rFonts w:ascii="Segoe UI Light" w:hAnsi="Segoe UI Light" w:cs="Segoe UI Light"/>
          <w:sz w:val="24"/>
          <w:szCs w:val="24"/>
        </w:rPr>
        <w:t>Australian context</w:t>
      </w:r>
      <w:r w:rsidR="00D1739F">
        <w:rPr>
          <w:rFonts w:ascii="Segoe UI Light" w:hAnsi="Segoe UI Light" w:cs="Segoe UI Light"/>
          <w:sz w:val="24"/>
          <w:szCs w:val="24"/>
        </w:rPr>
        <w:t xml:space="preserve"> where i</w:t>
      </w:r>
      <w:r w:rsidR="00C80E43">
        <w:rPr>
          <w:rFonts w:ascii="Segoe UI Light" w:hAnsi="Segoe UI Light" w:cs="Segoe UI Light"/>
          <w:sz w:val="24"/>
          <w:szCs w:val="24"/>
        </w:rPr>
        <w:t xml:space="preserve">nvestors </w:t>
      </w:r>
      <w:r w:rsidR="000A79FB">
        <w:rPr>
          <w:rFonts w:ascii="Segoe UI Light" w:hAnsi="Segoe UI Light" w:cs="Segoe UI Light"/>
          <w:sz w:val="24"/>
          <w:szCs w:val="24"/>
        </w:rPr>
        <w:t xml:space="preserve">in </w:t>
      </w:r>
      <w:r w:rsidR="00734E25">
        <w:rPr>
          <w:rFonts w:ascii="Segoe UI Light" w:hAnsi="Segoe UI Light" w:cs="Segoe UI Light"/>
          <w:sz w:val="24"/>
          <w:szCs w:val="24"/>
        </w:rPr>
        <w:t xml:space="preserve">a higher income bracket </w:t>
      </w:r>
      <w:r w:rsidR="00C80E43">
        <w:rPr>
          <w:rFonts w:ascii="Segoe UI Light" w:hAnsi="Segoe UI Light" w:cs="Segoe UI Light"/>
          <w:sz w:val="24"/>
          <w:szCs w:val="24"/>
        </w:rPr>
        <w:t xml:space="preserve">seek to make investments above and beyond the base caps.  Similarly, New Zealand’s </w:t>
      </w:r>
      <w:r w:rsidR="00A2647A" w:rsidRPr="00360171">
        <w:rPr>
          <w:rFonts w:ascii="Segoe UI Light" w:hAnsi="Segoe UI Light" w:cs="Segoe UI Light"/>
          <w:sz w:val="24"/>
          <w:szCs w:val="24"/>
        </w:rPr>
        <w:t xml:space="preserve">requirement of increased disclosure </w:t>
      </w:r>
      <w:r w:rsidR="001D1899">
        <w:rPr>
          <w:rFonts w:ascii="Segoe UI Light" w:hAnsi="Segoe UI Light" w:cs="Segoe UI Light"/>
          <w:sz w:val="24"/>
          <w:szCs w:val="24"/>
        </w:rPr>
        <w:t xml:space="preserve">may be applicable </w:t>
      </w:r>
      <w:r w:rsidR="00DF7DA6">
        <w:rPr>
          <w:rFonts w:ascii="Segoe UI Light" w:hAnsi="Segoe UI Light" w:cs="Segoe UI Light"/>
          <w:sz w:val="24"/>
          <w:szCs w:val="24"/>
        </w:rPr>
        <w:t>in the Australian context where both the issuer and investor seek to exceed the caps</w:t>
      </w:r>
      <w:r w:rsidR="001D1899">
        <w:rPr>
          <w:rFonts w:ascii="Segoe UI Light" w:hAnsi="Segoe UI Light" w:cs="Segoe UI Light"/>
          <w:sz w:val="24"/>
          <w:szCs w:val="24"/>
        </w:rPr>
        <w:t>.</w:t>
      </w:r>
      <w:r w:rsidR="00734E25">
        <w:rPr>
          <w:rFonts w:ascii="Segoe UI Light" w:hAnsi="Segoe UI Light" w:cs="Segoe UI Light"/>
          <w:sz w:val="24"/>
          <w:szCs w:val="24"/>
        </w:rPr>
        <w:t xml:space="preserve">  This approach would ensure the balance between investor protection and investor optionality in CSEF </w:t>
      </w:r>
      <w:r w:rsidR="000A79FB">
        <w:rPr>
          <w:rFonts w:ascii="Segoe UI Light" w:hAnsi="Segoe UI Light" w:cs="Segoe UI Light"/>
          <w:sz w:val="24"/>
          <w:szCs w:val="24"/>
        </w:rPr>
        <w:t>in Australia</w:t>
      </w:r>
      <w:r w:rsidR="00734E25">
        <w:rPr>
          <w:rFonts w:ascii="Segoe UI Light" w:hAnsi="Segoe UI Light" w:cs="Segoe UI Light"/>
          <w:sz w:val="24"/>
          <w:szCs w:val="24"/>
        </w:rPr>
        <w:t>.</w:t>
      </w:r>
      <w:r w:rsidR="00F1090E">
        <w:rPr>
          <w:rFonts w:ascii="Segoe UI Light" w:hAnsi="Segoe UI Light" w:cs="Segoe UI Light"/>
          <w:sz w:val="24"/>
          <w:szCs w:val="24"/>
        </w:rPr>
        <w:t xml:space="preserve">  As a side note, </w:t>
      </w:r>
      <w:proofErr w:type="spellStart"/>
      <w:r w:rsidR="00F1090E">
        <w:rPr>
          <w:rFonts w:ascii="Segoe UI Light" w:hAnsi="Segoe UI Light" w:cs="Segoe UI Light"/>
          <w:b/>
          <w:i/>
          <w:sz w:val="24"/>
          <w:szCs w:val="24"/>
        </w:rPr>
        <w:t>incubatr</w:t>
      </w:r>
      <w:proofErr w:type="spellEnd"/>
      <w:r w:rsidR="00F1090E">
        <w:rPr>
          <w:rFonts w:ascii="Segoe UI Light" w:hAnsi="Segoe UI Light" w:cs="Segoe UI Light"/>
          <w:b/>
          <w:i/>
          <w:sz w:val="24"/>
          <w:szCs w:val="24"/>
        </w:rPr>
        <w:t xml:space="preserve"> </w:t>
      </w:r>
      <w:r w:rsidR="00F1090E">
        <w:rPr>
          <w:rFonts w:ascii="Segoe UI Light" w:hAnsi="Segoe UI Light" w:cs="Segoe UI Light"/>
          <w:sz w:val="24"/>
          <w:szCs w:val="24"/>
        </w:rPr>
        <w:t>do not view the voluntary investor cap as a desirable development in the Australian context</w:t>
      </w:r>
      <w:r w:rsidR="000A79FB">
        <w:rPr>
          <w:rFonts w:ascii="Segoe UI Light" w:hAnsi="Segoe UI Light" w:cs="Segoe UI Light"/>
          <w:sz w:val="24"/>
          <w:szCs w:val="24"/>
        </w:rPr>
        <w:t xml:space="preserve"> for reasons</w:t>
      </w:r>
      <w:r w:rsidR="0049297F">
        <w:rPr>
          <w:rFonts w:ascii="Segoe UI Light" w:hAnsi="Segoe UI Light" w:cs="Segoe UI Light"/>
          <w:sz w:val="24"/>
          <w:szCs w:val="24"/>
        </w:rPr>
        <w:t xml:space="preserve"> of investor protection</w:t>
      </w:r>
      <w:r w:rsidR="00F1090E">
        <w:rPr>
          <w:rFonts w:ascii="Segoe UI Light" w:hAnsi="Segoe UI Light" w:cs="Segoe UI Light"/>
          <w:sz w:val="24"/>
          <w:szCs w:val="24"/>
        </w:rPr>
        <w:t xml:space="preserve">.  </w:t>
      </w:r>
    </w:p>
    <w:p w14:paraId="4A373B09" w14:textId="77777777" w:rsidR="006A5B11" w:rsidRDefault="006A5B11" w:rsidP="00D66499">
      <w:pPr>
        <w:jc w:val="both"/>
        <w:rPr>
          <w:rFonts w:ascii="Segoe UI Light" w:hAnsi="Segoe UI Light" w:cs="Segoe UI Light"/>
          <w:sz w:val="24"/>
          <w:szCs w:val="24"/>
        </w:rPr>
      </w:pPr>
    </w:p>
    <w:p w14:paraId="43E0AFAC" w14:textId="77777777" w:rsidR="0035053E" w:rsidRPr="0035053E" w:rsidRDefault="0035053E" w:rsidP="00D66499">
      <w:pPr>
        <w:jc w:val="both"/>
        <w:rPr>
          <w:rFonts w:ascii="Segoe UI Light" w:hAnsi="Segoe UI Light" w:cs="Segoe UI Light"/>
          <w:b/>
          <w:sz w:val="24"/>
          <w:szCs w:val="24"/>
        </w:rPr>
      </w:pPr>
      <w:r>
        <w:rPr>
          <w:rFonts w:ascii="Segoe UI Light" w:hAnsi="Segoe UI Light" w:cs="Segoe UI Light"/>
          <w:b/>
          <w:sz w:val="24"/>
          <w:szCs w:val="24"/>
        </w:rPr>
        <w:t xml:space="preserve">Option 2: Regulatory Framework based </w:t>
      </w:r>
      <w:r w:rsidR="00E30232">
        <w:rPr>
          <w:rFonts w:ascii="Segoe UI Light" w:hAnsi="Segoe UI Light" w:cs="Segoe UI Light"/>
          <w:b/>
          <w:sz w:val="24"/>
          <w:szCs w:val="24"/>
        </w:rPr>
        <w:t>on the New Zealand Model</w:t>
      </w:r>
    </w:p>
    <w:p w14:paraId="1DC02670" w14:textId="77777777" w:rsidR="00680CAD" w:rsidRPr="00A9751C" w:rsidRDefault="00680CAD" w:rsidP="00D66499">
      <w:pPr>
        <w:jc w:val="both"/>
        <w:rPr>
          <w:rFonts w:ascii="Segoe UI Light" w:hAnsi="Segoe UI Light" w:cs="Segoe UI Light"/>
          <w:sz w:val="24"/>
          <w:szCs w:val="24"/>
        </w:rPr>
      </w:pPr>
      <w:proofErr w:type="spellStart"/>
      <w:r w:rsidRPr="00A9751C">
        <w:rPr>
          <w:rFonts w:ascii="Segoe UI Light" w:hAnsi="Segoe UI Light" w:cs="Segoe UI Light"/>
          <w:b/>
          <w:i/>
          <w:sz w:val="24"/>
          <w:szCs w:val="24"/>
        </w:rPr>
        <w:t>Incubatr</w:t>
      </w:r>
      <w:proofErr w:type="spellEnd"/>
      <w:r w:rsidRPr="00680CAD">
        <w:rPr>
          <w:rFonts w:ascii="Segoe UI Light" w:hAnsi="Segoe UI Light" w:cs="Segoe UI Light"/>
          <w:sz w:val="24"/>
          <w:szCs w:val="24"/>
        </w:rPr>
        <w:t xml:space="preserve"> considers that it would not be detrimental for the Australian and New Zealand models to be aligned through the implementation of similar CSEF frameworks. </w:t>
      </w:r>
      <w:r>
        <w:rPr>
          <w:rFonts w:ascii="Segoe UI Light" w:hAnsi="Segoe UI Light" w:cs="Segoe UI Light"/>
          <w:sz w:val="24"/>
          <w:szCs w:val="24"/>
        </w:rPr>
        <w:t xml:space="preserve"> </w:t>
      </w:r>
      <w:r w:rsidRPr="00680CAD">
        <w:rPr>
          <w:rFonts w:ascii="Segoe UI Light" w:hAnsi="Segoe UI Light" w:cs="Segoe UI Light"/>
          <w:sz w:val="24"/>
          <w:szCs w:val="24"/>
        </w:rPr>
        <w:t xml:space="preserve">However, </w:t>
      </w:r>
      <w:r>
        <w:rPr>
          <w:rFonts w:ascii="Segoe UI Light" w:hAnsi="Segoe UI Light" w:cs="Segoe UI Light"/>
          <w:sz w:val="24"/>
          <w:szCs w:val="24"/>
        </w:rPr>
        <w:t xml:space="preserve">it is </w:t>
      </w:r>
      <w:proofErr w:type="spellStart"/>
      <w:r>
        <w:rPr>
          <w:rFonts w:ascii="Segoe UI Light" w:hAnsi="Segoe UI Light" w:cs="Segoe UI Light"/>
          <w:b/>
          <w:i/>
          <w:sz w:val="24"/>
          <w:szCs w:val="24"/>
        </w:rPr>
        <w:t>incubatr’s</w:t>
      </w:r>
      <w:proofErr w:type="spellEnd"/>
      <w:r>
        <w:rPr>
          <w:rFonts w:ascii="Segoe UI Light" w:hAnsi="Segoe UI Light" w:cs="Segoe UI Light"/>
          <w:b/>
          <w:i/>
          <w:sz w:val="24"/>
          <w:szCs w:val="24"/>
        </w:rPr>
        <w:t xml:space="preserve"> </w:t>
      </w:r>
      <w:r>
        <w:rPr>
          <w:rFonts w:ascii="Segoe UI Light" w:hAnsi="Segoe UI Light" w:cs="Segoe UI Light"/>
          <w:sz w:val="24"/>
          <w:szCs w:val="24"/>
        </w:rPr>
        <w:t xml:space="preserve">view that </w:t>
      </w:r>
      <w:r w:rsidR="00F47C59">
        <w:rPr>
          <w:rFonts w:ascii="Segoe UI Light" w:hAnsi="Segoe UI Light" w:cs="Segoe UI Light"/>
          <w:sz w:val="24"/>
          <w:szCs w:val="24"/>
        </w:rPr>
        <w:t>care should be taken in having it form a part of the</w:t>
      </w:r>
      <w:r w:rsidR="00F47C59" w:rsidRPr="00F47C59">
        <w:rPr>
          <w:rFonts w:ascii="Segoe UI Light" w:hAnsi="Segoe UI Light" w:cs="Segoe UI Light"/>
          <w:sz w:val="24"/>
          <w:szCs w:val="24"/>
        </w:rPr>
        <w:t xml:space="preserve"> Trans-Tasman Mutual Recognition Framework</w:t>
      </w:r>
      <w:r w:rsidR="00F47C59">
        <w:rPr>
          <w:rFonts w:ascii="Segoe UI Light" w:hAnsi="Segoe UI Light" w:cs="Segoe UI Light"/>
          <w:sz w:val="24"/>
          <w:szCs w:val="24"/>
        </w:rPr>
        <w:t xml:space="preserve">.  That is, whilst </w:t>
      </w:r>
      <w:proofErr w:type="spellStart"/>
      <w:r w:rsidR="00F47C59">
        <w:rPr>
          <w:rFonts w:ascii="Segoe UI Light" w:hAnsi="Segoe UI Light" w:cs="Segoe UI Light"/>
          <w:b/>
          <w:i/>
          <w:sz w:val="24"/>
          <w:szCs w:val="24"/>
        </w:rPr>
        <w:t>incubatr</w:t>
      </w:r>
      <w:proofErr w:type="spellEnd"/>
      <w:r w:rsidR="00F47C59">
        <w:rPr>
          <w:rFonts w:ascii="Segoe UI Light" w:hAnsi="Segoe UI Light" w:cs="Segoe UI Light"/>
          <w:b/>
          <w:i/>
          <w:sz w:val="24"/>
          <w:szCs w:val="24"/>
        </w:rPr>
        <w:t xml:space="preserve"> </w:t>
      </w:r>
      <w:r w:rsidR="00F47C59">
        <w:rPr>
          <w:rFonts w:ascii="Segoe UI Light" w:hAnsi="Segoe UI Light" w:cs="Segoe UI Light"/>
          <w:sz w:val="24"/>
          <w:szCs w:val="24"/>
        </w:rPr>
        <w:t xml:space="preserve">has </w:t>
      </w:r>
      <w:r w:rsidR="0090213C">
        <w:rPr>
          <w:rFonts w:ascii="Segoe UI Light" w:hAnsi="Segoe UI Light" w:cs="Segoe UI Light"/>
          <w:sz w:val="24"/>
          <w:szCs w:val="24"/>
        </w:rPr>
        <w:t>no objection in principle</w:t>
      </w:r>
      <w:r w:rsidR="00F47C59">
        <w:rPr>
          <w:rFonts w:ascii="Segoe UI Light" w:hAnsi="Segoe UI Light" w:cs="Segoe UI Light"/>
          <w:sz w:val="24"/>
          <w:szCs w:val="24"/>
        </w:rPr>
        <w:t xml:space="preserve"> to mutual recognition, if there are regulatory differences which incentivise regulatory arbitrage (by setting up in one jurisdiction instead of the other), then the value of mutual recognition should be called into question</w:t>
      </w:r>
      <w:r w:rsidR="0090213C">
        <w:rPr>
          <w:rFonts w:ascii="Segoe UI Light" w:hAnsi="Segoe UI Light" w:cs="Segoe UI Light"/>
          <w:sz w:val="24"/>
          <w:szCs w:val="24"/>
        </w:rPr>
        <w:t xml:space="preserve">.  </w:t>
      </w:r>
      <w:r w:rsidR="00CA1FFC">
        <w:rPr>
          <w:rFonts w:ascii="Segoe UI Light" w:hAnsi="Segoe UI Light" w:cs="Segoe UI Light"/>
          <w:sz w:val="24"/>
          <w:szCs w:val="24"/>
        </w:rPr>
        <w:t>T</w:t>
      </w:r>
      <w:r w:rsidRPr="00680CAD">
        <w:rPr>
          <w:rFonts w:ascii="Segoe UI Light" w:hAnsi="Segoe UI Light" w:cs="Segoe UI Light"/>
          <w:sz w:val="24"/>
          <w:szCs w:val="24"/>
        </w:rPr>
        <w:t xml:space="preserve">o maintain the prudential nature of Australian regulatory protections for investors, </w:t>
      </w:r>
      <w:proofErr w:type="spellStart"/>
      <w:r w:rsidRPr="00A9751C">
        <w:rPr>
          <w:rFonts w:ascii="Segoe UI Light" w:hAnsi="Segoe UI Light" w:cs="Segoe UI Light"/>
          <w:b/>
          <w:i/>
          <w:sz w:val="24"/>
          <w:szCs w:val="24"/>
        </w:rPr>
        <w:t>incubatr</w:t>
      </w:r>
      <w:proofErr w:type="spellEnd"/>
      <w:r w:rsidRPr="00680CAD">
        <w:rPr>
          <w:rFonts w:ascii="Segoe UI Light" w:hAnsi="Segoe UI Light" w:cs="Segoe UI Light"/>
          <w:sz w:val="24"/>
          <w:szCs w:val="24"/>
        </w:rPr>
        <w:t xml:space="preserve"> holds the view that any </w:t>
      </w:r>
      <w:r w:rsidR="00F47C59">
        <w:rPr>
          <w:rFonts w:ascii="Segoe UI Light" w:hAnsi="Segoe UI Light" w:cs="Segoe UI Light"/>
          <w:sz w:val="24"/>
          <w:szCs w:val="24"/>
        </w:rPr>
        <w:t>mutual recognition be premised upon consistent frameworks</w:t>
      </w:r>
      <w:r w:rsidRPr="00A9751C">
        <w:rPr>
          <w:rFonts w:ascii="Segoe UI Light" w:hAnsi="Segoe UI Light" w:cs="Segoe UI Light"/>
          <w:sz w:val="24"/>
          <w:szCs w:val="24"/>
        </w:rPr>
        <w:t>.</w:t>
      </w:r>
    </w:p>
    <w:p w14:paraId="6F8F5F11" w14:textId="77777777" w:rsidR="00680CAD" w:rsidRPr="00360171" w:rsidRDefault="00680CAD" w:rsidP="00D66499">
      <w:pPr>
        <w:jc w:val="both"/>
        <w:rPr>
          <w:rFonts w:ascii="Segoe UI Light" w:hAnsi="Segoe UI Light" w:cs="Segoe UI Light"/>
          <w:sz w:val="24"/>
          <w:szCs w:val="24"/>
        </w:rPr>
      </w:pPr>
    </w:p>
    <w:p w14:paraId="6A3EFAD8" w14:textId="77777777" w:rsidR="00E84C03" w:rsidRPr="00E30232" w:rsidRDefault="00E30232" w:rsidP="00D66499">
      <w:pPr>
        <w:jc w:val="both"/>
        <w:rPr>
          <w:rFonts w:ascii="Segoe UI Light" w:hAnsi="Segoe UI Light" w:cs="Segoe UI Light"/>
          <w:b/>
          <w:sz w:val="24"/>
          <w:szCs w:val="24"/>
        </w:rPr>
      </w:pPr>
      <w:r w:rsidRPr="00E30232">
        <w:rPr>
          <w:rFonts w:ascii="Segoe UI Light" w:hAnsi="Segoe UI Light" w:cs="Segoe UI Light"/>
          <w:b/>
          <w:sz w:val="24"/>
          <w:szCs w:val="24"/>
        </w:rPr>
        <w:t xml:space="preserve">Option 3: </w:t>
      </w:r>
      <w:r w:rsidR="00DE647A" w:rsidRPr="00E30232">
        <w:rPr>
          <w:rFonts w:ascii="Segoe UI Light" w:hAnsi="Segoe UI Light" w:cs="Segoe UI Light"/>
          <w:b/>
          <w:sz w:val="24"/>
          <w:szCs w:val="24"/>
        </w:rPr>
        <w:t>Status Quo</w:t>
      </w:r>
    </w:p>
    <w:p w14:paraId="0D2A316C" w14:textId="77777777" w:rsidR="007303FF" w:rsidRPr="00360171" w:rsidRDefault="003856FA" w:rsidP="00A9751C">
      <w:pPr>
        <w:jc w:val="both"/>
        <w:rPr>
          <w:rFonts w:ascii="Segoe UI Light" w:hAnsi="Segoe UI Light" w:cs="Segoe UI Light"/>
          <w:sz w:val="24"/>
          <w:szCs w:val="24"/>
        </w:rPr>
      </w:pPr>
      <w:r w:rsidRPr="003856FA">
        <w:rPr>
          <w:rFonts w:ascii="Segoe UI Light" w:hAnsi="Segoe UI Light" w:cs="Segoe UI Light"/>
          <w:sz w:val="24"/>
          <w:szCs w:val="24"/>
        </w:rPr>
        <w:t xml:space="preserve">Existing regulatory obstacles and burdens are causing an increasing number of innovative, industry-disrupting start-ups to leave Australia and establish themselves in other </w:t>
      </w:r>
      <w:r w:rsidRPr="003856FA">
        <w:rPr>
          <w:rFonts w:ascii="Segoe UI Light" w:hAnsi="Segoe UI Light" w:cs="Segoe UI Light"/>
          <w:sz w:val="24"/>
          <w:szCs w:val="24"/>
        </w:rPr>
        <w:lastRenderedPageBreak/>
        <w:t>jurisdictions with a more favourable climate for their growth</w:t>
      </w:r>
      <w:r w:rsidR="00E30232">
        <w:rPr>
          <w:rFonts w:ascii="Segoe UI Light" w:hAnsi="Segoe UI Light" w:cs="Segoe UI Light"/>
          <w:sz w:val="24"/>
          <w:szCs w:val="24"/>
        </w:rPr>
        <w:t xml:space="preserve"> and capital requirements</w:t>
      </w:r>
      <w:r w:rsidR="00967AFF">
        <w:rPr>
          <w:rFonts w:ascii="Segoe UI Light" w:hAnsi="Segoe UI Light" w:cs="Segoe UI Light"/>
          <w:sz w:val="24"/>
          <w:szCs w:val="24"/>
        </w:rPr>
        <w:t>.</w:t>
      </w:r>
      <w:r>
        <w:rPr>
          <w:rStyle w:val="FootnoteReference"/>
          <w:rFonts w:ascii="Segoe UI Light" w:hAnsi="Segoe UI Light" w:cs="Segoe UI Light"/>
          <w:sz w:val="24"/>
          <w:szCs w:val="24"/>
        </w:rPr>
        <w:footnoteReference w:id="8"/>
      </w:r>
      <w:r w:rsidR="00967AFF">
        <w:rPr>
          <w:rFonts w:ascii="Segoe UI Light" w:hAnsi="Segoe UI Light" w:cs="Segoe UI Light"/>
          <w:sz w:val="24"/>
          <w:szCs w:val="24"/>
        </w:rPr>
        <w:t xml:space="preserve">  It is for this reason that a tailored and flexible CSEF regime be implemented.</w:t>
      </w:r>
      <w:r w:rsidRPr="003856FA">
        <w:rPr>
          <w:rFonts w:ascii="Segoe UI Light" w:hAnsi="Segoe UI Light" w:cs="Segoe UI Light"/>
          <w:sz w:val="24"/>
          <w:szCs w:val="24"/>
        </w:rPr>
        <w:t xml:space="preserve">  </w:t>
      </w:r>
    </w:p>
    <w:p w14:paraId="26B6C6DD" w14:textId="77777777" w:rsidR="00FC4D20" w:rsidRPr="006623B5" w:rsidRDefault="00FC4D20" w:rsidP="00D66499">
      <w:pPr>
        <w:jc w:val="both"/>
        <w:rPr>
          <w:rFonts w:ascii="Segoe UI Light" w:hAnsi="Segoe UI Light" w:cs="Segoe UI Light"/>
          <w:b/>
          <w:sz w:val="36"/>
          <w:szCs w:val="36"/>
        </w:rPr>
      </w:pPr>
      <w:r>
        <w:rPr>
          <w:rFonts w:ascii="Segoe UI Light" w:hAnsi="Segoe UI Light" w:cs="Segoe UI Light"/>
          <w:b/>
          <w:sz w:val="36"/>
          <w:szCs w:val="36"/>
        </w:rPr>
        <w:t>Future Directions</w:t>
      </w:r>
    </w:p>
    <w:p w14:paraId="4CF7E2D4" w14:textId="77777777" w:rsidR="00040D9B" w:rsidRPr="00913295" w:rsidRDefault="00040D9B" w:rsidP="00913295">
      <w:pPr>
        <w:jc w:val="both"/>
        <w:rPr>
          <w:rFonts w:ascii="Segoe UI Light" w:hAnsi="Segoe UI Light" w:cs="Segoe UI Light"/>
          <w:sz w:val="24"/>
          <w:szCs w:val="24"/>
        </w:rPr>
      </w:pPr>
    </w:p>
    <w:p w14:paraId="5CC5B0FC" w14:textId="77777777" w:rsidR="00E247AC" w:rsidRPr="00913295" w:rsidRDefault="003D6B74" w:rsidP="00913295">
      <w:pPr>
        <w:jc w:val="both"/>
        <w:rPr>
          <w:rFonts w:ascii="Segoe UI Light" w:hAnsi="Segoe UI Light" w:cs="Segoe UI Light"/>
          <w:sz w:val="24"/>
          <w:szCs w:val="24"/>
        </w:rPr>
      </w:pPr>
      <w:proofErr w:type="spellStart"/>
      <w:r w:rsidRPr="00913295">
        <w:rPr>
          <w:rFonts w:ascii="Segoe UI Light" w:hAnsi="Segoe UI Light" w:cs="Segoe UI Light"/>
          <w:b/>
          <w:i/>
          <w:sz w:val="24"/>
          <w:szCs w:val="24"/>
        </w:rPr>
        <w:t>I</w:t>
      </w:r>
      <w:r w:rsidR="00E247AC" w:rsidRPr="00913295">
        <w:rPr>
          <w:rFonts w:ascii="Segoe UI Light" w:hAnsi="Segoe UI Light" w:cs="Segoe UI Light"/>
          <w:b/>
          <w:i/>
          <w:sz w:val="24"/>
          <w:szCs w:val="24"/>
        </w:rPr>
        <w:t>ncubatr</w:t>
      </w:r>
      <w:proofErr w:type="spellEnd"/>
      <w:r w:rsidR="00E247AC" w:rsidRPr="00913295">
        <w:rPr>
          <w:rFonts w:ascii="Segoe UI Light" w:hAnsi="Segoe UI Light" w:cs="Segoe UI Light"/>
          <w:sz w:val="24"/>
          <w:szCs w:val="24"/>
        </w:rPr>
        <w:t xml:space="preserve"> are of the view that the crowd funding regime should be extended </w:t>
      </w:r>
      <w:r w:rsidR="00040D9B" w:rsidRPr="00913295">
        <w:rPr>
          <w:rFonts w:ascii="Segoe UI Light" w:hAnsi="Segoe UI Light" w:cs="Segoe UI Light"/>
          <w:sz w:val="24"/>
          <w:szCs w:val="24"/>
        </w:rPr>
        <w:t xml:space="preserve">to debt products. </w:t>
      </w:r>
      <w:r w:rsidRPr="00913295">
        <w:rPr>
          <w:rFonts w:ascii="Segoe UI Light" w:hAnsi="Segoe UI Light" w:cs="Segoe UI Light"/>
          <w:sz w:val="24"/>
          <w:szCs w:val="24"/>
        </w:rPr>
        <w:t xml:space="preserve"> </w:t>
      </w:r>
      <w:r w:rsidR="00E247AC" w:rsidRPr="00913295">
        <w:rPr>
          <w:rFonts w:ascii="Segoe UI Light" w:hAnsi="Segoe UI Light" w:cs="Segoe UI Light"/>
          <w:sz w:val="24"/>
          <w:szCs w:val="24"/>
        </w:rPr>
        <w:t xml:space="preserve">There are a number of bases for this </w:t>
      </w:r>
      <w:r w:rsidR="00A9751C" w:rsidRPr="00913295">
        <w:rPr>
          <w:rFonts w:ascii="Segoe UI Light" w:hAnsi="Segoe UI Light" w:cs="Segoe UI Light"/>
          <w:sz w:val="24"/>
          <w:szCs w:val="24"/>
        </w:rPr>
        <w:t>proposition</w:t>
      </w:r>
      <w:r w:rsidR="00E247AC" w:rsidRPr="00913295">
        <w:rPr>
          <w:rFonts w:ascii="Segoe UI Light" w:hAnsi="Segoe UI Light" w:cs="Segoe UI Light"/>
          <w:sz w:val="24"/>
          <w:szCs w:val="24"/>
        </w:rPr>
        <w:t>.  First</w:t>
      </w:r>
      <w:r w:rsidR="00BC34FD" w:rsidRPr="00913295">
        <w:rPr>
          <w:rFonts w:ascii="Segoe UI Light" w:hAnsi="Segoe UI Light" w:cs="Segoe UI Light"/>
          <w:sz w:val="24"/>
          <w:szCs w:val="24"/>
        </w:rPr>
        <w:t>ly</w:t>
      </w:r>
      <w:r w:rsidR="0099580D" w:rsidRPr="00913295">
        <w:rPr>
          <w:rFonts w:ascii="Segoe UI Light" w:hAnsi="Segoe UI Light" w:cs="Segoe UI Light"/>
          <w:sz w:val="24"/>
          <w:szCs w:val="24"/>
        </w:rPr>
        <w:t>,</w:t>
      </w:r>
      <w:r w:rsidR="00E247AC" w:rsidRPr="00913295">
        <w:rPr>
          <w:rFonts w:ascii="Segoe UI Light" w:hAnsi="Segoe UI Light" w:cs="Segoe UI Light"/>
          <w:sz w:val="24"/>
          <w:szCs w:val="24"/>
        </w:rPr>
        <w:t xml:space="preserve"> </w:t>
      </w:r>
      <w:r w:rsidR="00040D9B" w:rsidRPr="00913295">
        <w:rPr>
          <w:rFonts w:ascii="Segoe UI Light" w:hAnsi="Segoe UI Light" w:cs="Segoe UI Light"/>
          <w:sz w:val="24"/>
          <w:szCs w:val="24"/>
        </w:rPr>
        <w:t xml:space="preserve">there is no </w:t>
      </w:r>
      <w:r w:rsidR="00BC34FD" w:rsidRPr="00913295">
        <w:rPr>
          <w:rFonts w:ascii="Segoe UI Light" w:hAnsi="Segoe UI Light" w:cs="Segoe UI Light"/>
          <w:sz w:val="24"/>
          <w:szCs w:val="24"/>
        </w:rPr>
        <w:t xml:space="preserve">philosophical </w:t>
      </w:r>
      <w:r w:rsidR="00040D9B" w:rsidRPr="00913295">
        <w:rPr>
          <w:rFonts w:ascii="Segoe UI Light" w:hAnsi="Segoe UI Light" w:cs="Segoe UI Light"/>
          <w:sz w:val="24"/>
          <w:szCs w:val="24"/>
        </w:rPr>
        <w:t xml:space="preserve">difference </w:t>
      </w:r>
      <w:r w:rsidR="00E247AC" w:rsidRPr="00913295">
        <w:rPr>
          <w:rFonts w:ascii="Segoe UI Light" w:hAnsi="Segoe UI Light" w:cs="Segoe UI Light"/>
          <w:sz w:val="24"/>
          <w:szCs w:val="24"/>
        </w:rPr>
        <w:t xml:space="preserve">between the exchange of debt or equity for </w:t>
      </w:r>
      <w:r w:rsidR="00BC34FD" w:rsidRPr="00913295">
        <w:rPr>
          <w:rFonts w:ascii="Segoe UI Light" w:hAnsi="Segoe UI Light" w:cs="Segoe UI Light"/>
          <w:sz w:val="24"/>
          <w:szCs w:val="24"/>
        </w:rPr>
        <w:t xml:space="preserve">the provision of </w:t>
      </w:r>
      <w:r w:rsidR="00E247AC" w:rsidRPr="00913295">
        <w:rPr>
          <w:rFonts w:ascii="Segoe UI Light" w:hAnsi="Segoe UI Light" w:cs="Segoe UI Light"/>
          <w:sz w:val="24"/>
          <w:szCs w:val="24"/>
        </w:rPr>
        <w:t>capital</w:t>
      </w:r>
      <w:r w:rsidR="00BC34FD" w:rsidRPr="00913295">
        <w:rPr>
          <w:rFonts w:ascii="Segoe UI Light" w:hAnsi="Segoe UI Light" w:cs="Segoe UI Light"/>
          <w:sz w:val="24"/>
          <w:szCs w:val="24"/>
        </w:rPr>
        <w:t xml:space="preserve">.  In both cases </w:t>
      </w:r>
      <w:r w:rsidR="00E247AC" w:rsidRPr="00913295">
        <w:rPr>
          <w:rFonts w:ascii="Segoe UI Light" w:hAnsi="Segoe UI Light" w:cs="Segoe UI Light"/>
          <w:sz w:val="24"/>
          <w:szCs w:val="24"/>
        </w:rPr>
        <w:t>they constitut</w:t>
      </w:r>
      <w:r w:rsidR="00040D9B" w:rsidRPr="00913295">
        <w:rPr>
          <w:rFonts w:ascii="Segoe UI Light" w:hAnsi="Segoe UI Light" w:cs="Segoe UI Light"/>
          <w:sz w:val="24"/>
          <w:szCs w:val="24"/>
        </w:rPr>
        <w:t xml:space="preserve">e the means of payment for the </w:t>
      </w:r>
      <w:r w:rsidR="00E247AC" w:rsidRPr="00913295">
        <w:rPr>
          <w:rFonts w:ascii="Segoe UI Light" w:hAnsi="Segoe UI Light" w:cs="Segoe UI Light"/>
          <w:sz w:val="24"/>
          <w:szCs w:val="24"/>
        </w:rPr>
        <w:t>capital rendered</w:t>
      </w:r>
      <w:r w:rsidR="00BC34FD" w:rsidRPr="00913295">
        <w:rPr>
          <w:rFonts w:ascii="Segoe UI Light" w:hAnsi="Segoe UI Light" w:cs="Segoe UI Light"/>
          <w:sz w:val="24"/>
          <w:szCs w:val="24"/>
        </w:rPr>
        <w:t xml:space="preserve"> by the investor</w:t>
      </w:r>
      <w:r w:rsidR="00E247AC" w:rsidRPr="00913295">
        <w:rPr>
          <w:rFonts w:ascii="Segoe UI Light" w:hAnsi="Segoe UI Light" w:cs="Segoe UI Light"/>
          <w:sz w:val="24"/>
          <w:szCs w:val="24"/>
        </w:rPr>
        <w:t xml:space="preserve">.  </w:t>
      </w:r>
      <w:r w:rsidR="00BC34FD" w:rsidRPr="00913295">
        <w:rPr>
          <w:rFonts w:ascii="Segoe UI Light" w:hAnsi="Segoe UI Light" w:cs="Segoe UI Light"/>
          <w:sz w:val="24"/>
          <w:szCs w:val="24"/>
        </w:rPr>
        <w:t xml:space="preserve">Therefore, to restrict access to capital for a business merely because it seeks that capital in the form of a loan (rather than by equity </w:t>
      </w:r>
      <w:r w:rsidRPr="00913295">
        <w:rPr>
          <w:rFonts w:ascii="Segoe UI Light" w:hAnsi="Segoe UI Light" w:cs="Segoe UI Light"/>
          <w:sz w:val="24"/>
          <w:szCs w:val="24"/>
        </w:rPr>
        <w:t>offering</w:t>
      </w:r>
      <w:r w:rsidR="00BC34FD" w:rsidRPr="00913295">
        <w:rPr>
          <w:rFonts w:ascii="Segoe UI Light" w:hAnsi="Segoe UI Light" w:cs="Segoe UI Light"/>
          <w:sz w:val="24"/>
          <w:szCs w:val="24"/>
        </w:rPr>
        <w:t xml:space="preserve">) runs the risk that small businesses </w:t>
      </w:r>
      <w:r w:rsidR="00A47D01" w:rsidRPr="00913295">
        <w:rPr>
          <w:rFonts w:ascii="Segoe UI Light" w:hAnsi="Segoe UI Light" w:cs="Segoe UI Light"/>
          <w:sz w:val="24"/>
          <w:szCs w:val="24"/>
        </w:rPr>
        <w:t>requiring capital go without.  A corollary to this is that businesses which could otherwise contribut</w:t>
      </w:r>
      <w:r w:rsidR="00A8419C" w:rsidRPr="00913295">
        <w:rPr>
          <w:rFonts w:ascii="Segoe UI Light" w:hAnsi="Segoe UI Light" w:cs="Segoe UI Light"/>
          <w:sz w:val="24"/>
          <w:szCs w:val="24"/>
        </w:rPr>
        <w:t>e</w:t>
      </w:r>
      <w:r w:rsidR="00A47D01" w:rsidRPr="00913295">
        <w:rPr>
          <w:rFonts w:ascii="Segoe UI Light" w:hAnsi="Segoe UI Light" w:cs="Segoe UI Light"/>
          <w:sz w:val="24"/>
          <w:szCs w:val="24"/>
        </w:rPr>
        <w:t xml:space="preserve"> to growth and innovation </w:t>
      </w:r>
      <w:r w:rsidRPr="00913295">
        <w:rPr>
          <w:rFonts w:ascii="Segoe UI Light" w:hAnsi="Segoe UI Light" w:cs="Segoe UI Light"/>
          <w:sz w:val="24"/>
          <w:szCs w:val="24"/>
        </w:rPr>
        <w:t xml:space="preserve">in the Australian economy are </w:t>
      </w:r>
      <w:r w:rsidR="00A47D01" w:rsidRPr="00913295">
        <w:rPr>
          <w:rFonts w:ascii="Segoe UI Light" w:hAnsi="Segoe UI Light" w:cs="Segoe UI Light"/>
          <w:sz w:val="24"/>
          <w:szCs w:val="24"/>
        </w:rPr>
        <w:t>hamstrung.</w:t>
      </w:r>
    </w:p>
    <w:p w14:paraId="2723A8D0" w14:textId="77777777" w:rsidR="00E247AC" w:rsidRPr="00913295" w:rsidRDefault="00E247AC" w:rsidP="00913295">
      <w:pPr>
        <w:jc w:val="both"/>
        <w:rPr>
          <w:rFonts w:ascii="Segoe UI Light" w:hAnsi="Segoe UI Light" w:cs="Segoe UI Light"/>
          <w:sz w:val="24"/>
          <w:szCs w:val="24"/>
        </w:rPr>
      </w:pPr>
      <w:r w:rsidRPr="00913295">
        <w:rPr>
          <w:rFonts w:ascii="Segoe UI Light" w:hAnsi="Segoe UI Light" w:cs="Segoe UI Light"/>
          <w:sz w:val="24"/>
          <w:szCs w:val="24"/>
        </w:rPr>
        <w:t xml:space="preserve"> </w:t>
      </w:r>
    </w:p>
    <w:p w14:paraId="1E0FF14E" w14:textId="77777777" w:rsidR="00E247AC" w:rsidRPr="00913295" w:rsidRDefault="00E247AC" w:rsidP="00913295">
      <w:pPr>
        <w:jc w:val="both"/>
        <w:rPr>
          <w:rFonts w:ascii="Segoe UI Light" w:hAnsi="Segoe UI Light" w:cs="Segoe UI Light"/>
          <w:sz w:val="24"/>
          <w:szCs w:val="24"/>
        </w:rPr>
      </w:pPr>
      <w:r w:rsidRPr="00913295">
        <w:rPr>
          <w:rFonts w:ascii="Segoe UI Light" w:hAnsi="Segoe UI Light" w:cs="Segoe UI Light"/>
          <w:sz w:val="24"/>
          <w:szCs w:val="24"/>
        </w:rPr>
        <w:t xml:space="preserve">Debt products have utility which are distinct from equity, and to have the flexibility of choice between the two provides optionality for investors and businesses.  It is acknowledged that all loans </w:t>
      </w:r>
      <w:r w:rsidR="00BC3408" w:rsidRPr="00913295">
        <w:rPr>
          <w:rFonts w:ascii="Segoe UI Light" w:hAnsi="Segoe UI Light" w:cs="Segoe UI Light"/>
          <w:sz w:val="24"/>
          <w:szCs w:val="24"/>
        </w:rPr>
        <w:t xml:space="preserve">should </w:t>
      </w:r>
      <w:r w:rsidRPr="00913295">
        <w:rPr>
          <w:rFonts w:ascii="Segoe UI Light" w:hAnsi="Segoe UI Light" w:cs="Segoe UI Light"/>
          <w:sz w:val="24"/>
          <w:szCs w:val="24"/>
        </w:rPr>
        <w:t xml:space="preserve">be appropriately priced (in terms of risk), so that they may be properly matched with the risk appetite </w:t>
      </w:r>
      <w:r w:rsidR="00040D9B" w:rsidRPr="00913295">
        <w:rPr>
          <w:rFonts w:ascii="Segoe UI Light" w:hAnsi="Segoe UI Light" w:cs="Segoe UI Light"/>
          <w:sz w:val="24"/>
          <w:szCs w:val="24"/>
        </w:rPr>
        <w:t xml:space="preserve">of investors. </w:t>
      </w:r>
      <w:r w:rsidR="00654DB3" w:rsidRPr="00913295">
        <w:rPr>
          <w:rFonts w:ascii="Segoe UI Light" w:hAnsi="Segoe UI Light" w:cs="Segoe UI Light"/>
          <w:sz w:val="24"/>
          <w:szCs w:val="24"/>
        </w:rPr>
        <w:t xml:space="preserve"> </w:t>
      </w:r>
      <w:r w:rsidR="00461D51" w:rsidRPr="00913295">
        <w:rPr>
          <w:rFonts w:ascii="Segoe UI Light" w:hAnsi="Segoe UI Light" w:cs="Segoe UI Light"/>
          <w:sz w:val="24"/>
          <w:szCs w:val="24"/>
        </w:rPr>
        <w:t>P</w:t>
      </w:r>
      <w:r w:rsidRPr="00913295">
        <w:rPr>
          <w:rFonts w:ascii="Segoe UI Light" w:hAnsi="Segoe UI Light" w:cs="Segoe UI Light"/>
          <w:sz w:val="24"/>
          <w:szCs w:val="24"/>
        </w:rPr>
        <w:t xml:space="preserve">layers in this space have shown that default rates </w:t>
      </w:r>
      <w:r w:rsidR="00BC3408" w:rsidRPr="00913295">
        <w:rPr>
          <w:rFonts w:ascii="Segoe UI Light" w:hAnsi="Segoe UI Light" w:cs="Segoe UI Light"/>
          <w:sz w:val="24"/>
          <w:szCs w:val="24"/>
        </w:rPr>
        <w:t xml:space="preserve">can </w:t>
      </w:r>
      <w:r w:rsidR="00A9751C" w:rsidRPr="00913295">
        <w:rPr>
          <w:rFonts w:ascii="Segoe UI Light" w:hAnsi="Segoe UI Light" w:cs="Segoe UI Light"/>
          <w:sz w:val="24"/>
          <w:szCs w:val="24"/>
        </w:rPr>
        <w:t xml:space="preserve">be </w:t>
      </w:r>
      <w:r w:rsidR="0097034F" w:rsidRPr="00913295">
        <w:rPr>
          <w:rFonts w:ascii="Segoe UI Light" w:hAnsi="Segoe UI Light" w:cs="Segoe UI Light"/>
          <w:sz w:val="24"/>
          <w:szCs w:val="24"/>
        </w:rPr>
        <w:t xml:space="preserve">competitive with the </w:t>
      </w:r>
      <w:r w:rsidR="00040D9B" w:rsidRPr="00913295">
        <w:rPr>
          <w:rFonts w:ascii="Segoe UI Light" w:hAnsi="Segoe UI Light" w:cs="Segoe UI Light"/>
          <w:sz w:val="24"/>
          <w:szCs w:val="24"/>
        </w:rPr>
        <w:t>banks</w:t>
      </w:r>
      <w:r w:rsidR="0097034F" w:rsidRPr="00913295">
        <w:rPr>
          <w:rFonts w:ascii="Segoe UI Light" w:hAnsi="Segoe UI Light" w:cs="Segoe UI Light"/>
          <w:sz w:val="24"/>
          <w:szCs w:val="24"/>
        </w:rPr>
        <w:t>.</w:t>
      </w:r>
      <w:r w:rsidR="00BC3408" w:rsidRPr="00913295">
        <w:rPr>
          <w:rStyle w:val="FootnoteReference"/>
          <w:rFonts w:ascii="Segoe UI Light" w:hAnsi="Segoe UI Light" w:cs="Segoe UI Light"/>
          <w:sz w:val="24"/>
          <w:szCs w:val="24"/>
        </w:rPr>
        <w:footnoteReference w:id="9"/>
      </w:r>
      <w:r w:rsidRPr="00913295">
        <w:rPr>
          <w:rFonts w:ascii="Segoe UI Light" w:hAnsi="Segoe UI Light" w:cs="Segoe UI Light"/>
          <w:sz w:val="24"/>
          <w:szCs w:val="24"/>
        </w:rPr>
        <w:t xml:space="preserve"> </w:t>
      </w:r>
      <w:r w:rsidR="00654DB3" w:rsidRPr="00913295">
        <w:rPr>
          <w:rFonts w:ascii="Segoe UI Light" w:hAnsi="Segoe UI Light" w:cs="Segoe UI Light"/>
          <w:sz w:val="24"/>
          <w:szCs w:val="24"/>
        </w:rPr>
        <w:t xml:space="preserve"> </w:t>
      </w:r>
      <w:r w:rsidRPr="00913295">
        <w:rPr>
          <w:rFonts w:ascii="Segoe UI Light" w:hAnsi="Segoe UI Light" w:cs="Segoe UI Light"/>
          <w:sz w:val="24"/>
          <w:szCs w:val="24"/>
        </w:rPr>
        <w:t xml:space="preserve">Therefore, properly constituted, it should not put the capital of investors at a greater risk than </w:t>
      </w:r>
      <w:r w:rsidR="00BC3408" w:rsidRPr="00913295">
        <w:rPr>
          <w:rFonts w:ascii="Segoe UI Light" w:hAnsi="Segoe UI Light" w:cs="Segoe UI Light"/>
          <w:sz w:val="24"/>
          <w:szCs w:val="24"/>
        </w:rPr>
        <w:t xml:space="preserve">if </w:t>
      </w:r>
      <w:r w:rsidRPr="00913295">
        <w:rPr>
          <w:rFonts w:ascii="Segoe UI Light" w:hAnsi="Segoe UI Light" w:cs="Segoe UI Light"/>
          <w:sz w:val="24"/>
          <w:szCs w:val="24"/>
        </w:rPr>
        <w:t>an equity stake</w:t>
      </w:r>
      <w:r w:rsidR="00BC3408" w:rsidRPr="00913295">
        <w:rPr>
          <w:rFonts w:ascii="Segoe UI Light" w:hAnsi="Segoe UI Light" w:cs="Segoe UI Light"/>
          <w:sz w:val="24"/>
          <w:szCs w:val="24"/>
        </w:rPr>
        <w:t xml:space="preserve"> were offered in</w:t>
      </w:r>
      <w:r w:rsidR="00654DB3" w:rsidRPr="00913295">
        <w:rPr>
          <w:rFonts w:ascii="Segoe UI Light" w:hAnsi="Segoe UI Light" w:cs="Segoe UI Light"/>
          <w:sz w:val="24"/>
          <w:szCs w:val="24"/>
        </w:rPr>
        <w:t xml:space="preserve"> its </w:t>
      </w:r>
      <w:r w:rsidR="00BC3408" w:rsidRPr="00913295">
        <w:rPr>
          <w:rFonts w:ascii="Segoe UI Light" w:hAnsi="Segoe UI Light" w:cs="Segoe UI Light"/>
          <w:sz w:val="24"/>
          <w:szCs w:val="24"/>
        </w:rPr>
        <w:t>stead</w:t>
      </w:r>
      <w:r w:rsidRPr="00913295">
        <w:rPr>
          <w:rFonts w:ascii="Segoe UI Light" w:hAnsi="Segoe UI Light" w:cs="Segoe UI Light"/>
          <w:sz w:val="24"/>
          <w:szCs w:val="24"/>
        </w:rPr>
        <w:t>.</w:t>
      </w:r>
      <w:r w:rsidR="00040D9B" w:rsidRPr="00913295">
        <w:rPr>
          <w:rFonts w:ascii="Segoe UI Light" w:hAnsi="Segoe UI Light" w:cs="Segoe UI Light"/>
          <w:sz w:val="24"/>
          <w:szCs w:val="24"/>
        </w:rPr>
        <w:t xml:space="preserve">  Again, if it is thought that </w:t>
      </w:r>
      <w:r w:rsidRPr="00913295">
        <w:rPr>
          <w:rFonts w:ascii="Segoe UI Light" w:hAnsi="Segoe UI Light" w:cs="Segoe UI Light"/>
          <w:sz w:val="24"/>
          <w:szCs w:val="24"/>
        </w:rPr>
        <w:t>risk controls should be introduced to further mi</w:t>
      </w:r>
      <w:r w:rsidR="00461D51" w:rsidRPr="00913295">
        <w:rPr>
          <w:rFonts w:ascii="Segoe UI Light" w:hAnsi="Segoe UI Light" w:cs="Segoe UI Light"/>
          <w:sz w:val="24"/>
          <w:szCs w:val="24"/>
        </w:rPr>
        <w:t>tigate</w:t>
      </w:r>
      <w:r w:rsidR="00654DB3" w:rsidRPr="00913295">
        <w:rPr>
          <w:rFonts w:ascii="Segoe UI Light" w:hAnsi="Segoe UI Light" w:cs="Segoe UI Light"/>
          <w:sz w:val="24"/>
          <w:szCs w:val="24"/>
        </w:rPr>
        <w:t xml:space="preserve"> the </w:t>
      </w:r>
      <w:r w:rsidRPr="00913295">
        <w:rPr>
          <w:rFonts w:ascii="Segoe UI Light" w:hAnsi="Segoe UI Light" w:cs="Segoe UI Light"/>
          <w:sz w:val="24"/>
          <w:szCs w:val="24"/>
        </w:rPr>
        <w:t xml:space="preserve">risks, </w:t>
      </w:r>
      <w:proofErr w:type="spellStart"/>
      <w:r w:rsidRPr="00913295">
        <w:rPr>
          <w:rFonts w:ascii="Segoe UI Light" w:hAnsi="Segoe UI Light" w:cs="Segoe UI Light"/>
          <w:b/>
          <w:i/>
          <w:sz w:val="24"/>
          <w:szCs w:val="24"/>
        </w:rPr>
        <w:t>incubatr</w:t>
      </w:r>
      <w:proofErr w:type="spellEnd"/>
      <w:r w:rsidR="00040D9B" w:rsidRPr="00913295">
        <w:rPr>
          <w:rFonts w:ascii="Segoe UI Light" w:hAnsi="Segoe UI Light" w:cs="Segoe UI Light"/>
          <w:sz w:val="24"/>
          <w:szCs w:val="24"/>
        </w:rPr>
        <w:t xml:space="preserve"> would not be opposed to </w:t>
      </w:r>
      <w:r w:rsidR="002779AD" w:rsidRPr="00913295">
        <w:rPr>
          <w:rFonts w:ascii="Segoe UI Light" w:hAnsi="Segoe UI Light" w:cs="Segoe UI Light"/>
          <w:sz w:val="24"/>
          <w:szCs w:val="24"/>
        </w:rPr>
        <w:t xml:space="preserve">such </w:t>
      </w:r>
      <w:r w:rsidRPr="00913295">
        <w:rPr>
          <w:rFonts w:ascii="Segoe UI Light" w:hAnsi="Segoe UI Light" w:cs="Segoe UI Light"/>
          <w:sz w:val="24"/>
          <w:szCs w:val="24"/>
        </w:rPr>
        <w:t>measures.</w:t>
      </w:r>
    </w:p>
    <w:p w14:paraId="64A90A96" w14:textId="77777777" w:rsidR="006A5B11" w:rsidRPr="00913295" w:rsidRDefault="006A5B11" w:rsidP="00913295">
      <w:pPr>
        <w:jc w:val="both"/>
        <w:rPr>
          <w:rFonts w:ascii="Segoe UI Light" w:hAnsi="Segoe UI Light" w:cs="Segoe UI Light"/>
          <w:sz w:val="24"/>
          <w:szCs w:val="24"/>
        </w:rPr>
      </w:pPr>
    </w:p>
    <w:p w14:paraId="440800BF" w14:textId="77777777" w:rsidR="00504BC2" w:rsidRPr="00913295" w:rsidRDefault="00C91B00" w:rsidP="00913295">
      <w:pPr>
        <w:jc w:val="both"/>
        <w:rPr>
          <w:rFonts w:ascii="Segoe UI Light" w:hAnsi="Segoe UI Light" w:cs="Segoe UI Light"/>
          <w:sz w:val="24"/>
          <w:szCs w:val="24"/>
        </w:rPr>
      </w:pPr>
      <w:proofErr w:type="spellStart"/>
      <w:r w:rsidRPr="00913295">
        <w:rPr>
          <w:rFonts w:ascii="Segoe UI Light" w:hAnsi="Segoe UI Light" w:cs="Segoe UI Light"/>
          <w:b/>
          <w:i/>
          <w:sz w:val="24"/>
          <w:szCs w:val="24"/>
        </w:rPr>
        <w:t>I</w:t>
      </w:r>
      <w:r w:rsidR="00E247AC" w:rsidRPr="00913295">
        <w:rPr>
          <w:rFonts w:ascii="Segoe UI Light" w:hAnsi="Segoe UI Light" w:cs="Segoe UI Light"/>
          <w:b/>
          <w:i/>
          <w:sz w:val="24"/>
          <w:szCs w:val="24"/>
        </w:rPr>
        <w:t>ncubatr</w:t>
      </w:r>
      <w:proofErr w:type="spellEnd"/>
      <w:r w:rsidR="00E247AC" w:rsidRPr="00913295">
        <w:rPr>
          <w:rFonts w:ascii="Segoe UI Light" w:hAnsi="Segoe UI Light" w:cs="Segoe UI Light"/>
          <w:sz w:val="24"/>
          <w:szCs w:val="24"/>
        </w:rPr>
        <w:t xml:space="preserve"> </w:t>
      </w:r>
      <w:r w:rsidR="001B1BA7" w:rsidRPr="00913295">
        <w:rPr>
          <w:rFonts w:ascii="Segoe UI Light" w:hAnsi="Segoe UI Light" w:cs="Segoe UI Light"/>
          <w:sz w:val="24"/>
          <w:szCs w:val="24"/>
        </w:rPr>
        <w:t xml:space="preserve">also </w:t>
      </w:r>
      <w:r w:rsidR="00E247AC" w:rsidRPr="00913295">
        <w:rPr>
          <w:rFonts w:ascii="Segoe UI Light" w:hAnsi="Segoe UI Light" w:cs="Segoe UI Light"/>
          <w:sz w:val="24"/>
          <w:szCs w:val="24"/>
        </w:rPr>
        <w:t xml:space="preserve">holds that it is </w:t>
      </w:r>
      <w:r w:rsidR="00504BC2" w:rsidRPr="00913295">
        <w:rPr>
          <w:rFonts w:ascii="Segoe UI Light" w:hAnsi="Segoe UI Light" w:cs="Segoe UI Light"/>
          <w:sz w:val="24"/>
          <w:szCs w:val="24"/>
        </w:rPr>
        <w:t xml:space="preserve">preferable </w:t>
      </w:r>
      <w:r w:rsidR="00E247AC" w:rsidRPr="00913295">
        <w:rPr>
          <w:rFonts w:ascii="Segoe UI Light" w:hAnsi="Segoe UI Light" w:cs="Segoe UI Light"/>
          <w:sz w:val="24"/>
          <w:szCs w:val="24"/>
        </w:rPr>
        <w:t>that</w:t>
      </w:r>
      <w:r w:rsidR="00336C7C" w:rsidRPr="00913295">
        <w:rPr>
          <w:rFonts w:ascii="Segoe UI Light" w:hAnsi="Segoe UI Light" w:cs="Segoe UI Light"/>
          <w:sz w:val="24"/>
          <w:szCs w:val="24"/>
        </w:rPr>
        <w:t xml:space="preserve"> a secondary market is contemplated in the CSEF framework in Australia</w:t>
      </w:r>
      <w:r w:rsidR="00E247AC" w:rsidRPr="00913295">
        <w:rPr>
          <w:rFonts w:ascii="Segoe UI Light" w:hAnsi="Segoe UI Light" w:cs="Segoe UI Light"/>
          <w:sz w:val="24"/>
          <w:szCs w:val="24"/>
        </w:rPr>
        <w:t xml:space="preserve">. The secondary market </w:t>
      </w:r>
      <w:r w:rsidR="00871C4C" w:rsidRPr="00913295">
        <w:rPr>
          <w:rFonts w:ascii="Segoe UI Light" w:hAnsi="Segoe UI Light" w:cs="Segoe UI Light"/>
          <w:sz w:val="24"/>
          <w:szCs w:val="24"/>
        </w:rPr>
        <w:t xml:space="preserve">acts as an </w:t>
      </w:r>
      <w:r w:rsidR="00E247AC" w:rsidRPr="00913295">
        <w:rPr>
          <w:rFonts w:ascii="Segoe UI Light" w:hAnsi="Segoe UI Light" w:cs="Segoe UI Light"/>
          <w:sz w:val="24"/>
          <w:szCs w:val="24"/>
        </w:rPr>
        <w:t xml:space="preserve">option for investors to </w:t>
      </w:r>
      <w:r w:rsidR="00A9751C" w:rsidRPr="00913295">
        <w:rPr>
          <w:rFonts w:ascii="Segoe UI Light" w:hAnsi="Segoe UI Light" w:cs="Segoe UI Light"/>
          <w:sz w:val="24"/>
          <w:szCs w:val="24"/>
        </w:rPr>
        <w:t>exit from</w:t>
      </w:r>
      <w:r w:rsidR="00E247AC" w:rsidRPr="00913295">
        <w:rPr>
          <w:rFonts w:ascii="Segoe UI Light" w:hAnsi="Segoe UI Light" w:cs="Segoe UI Light"/>
          <w:sz w:val="24"/>
          <w:szCs w:val="24"/>
        </w:rPr>
        <w:t xml:space="preserve"> their investment</w:t>
      </w:r>
      <w:r w:rsidRPr="00913295">
        <w:rPr>
          <w:rFonts w:ascii="Segoe UI Light" w:hAnsi="Segoe UI Light" w:cs="Segoe UI Light"/>
          <w:sz w:val="24"/>
          <w:szCs w:val="24"/>
        </w:rPr>
        <w:t xml:space="preserve">, and </w:t>
      </w:r>
      <w:r w:rsidR="00336C7C" w:rsidRPr="00913295">
        <w:rPr>
          <w:rFonts w:ascii="Segoe UI Light" w:hAnsi="Segoe UI Light" w:cs="Segoe UI Light"/>
          <w:sz w:val="24"/>
          <w:szCs w:val="24"/>
        </w:rPr>
        <w:t xml:space="preserve">necessarily means that there is liquidity </w:t>
      </w:r>
      <w:r w:rsidR="00383A48" w:rsidRPr="00913295">
        <w:rPr>
          <w:rFonts w:ascii="Segoe UI Light" w:hAnsi="Segoe UI Light" w:cs="Segoe UI Light"/>
          <w:sz w:val="24"/>
          <w:szCs w:val="24"/>
        </w:rPr>
        <w:t>in the marke</w:t>
      </w:r>
      <w:r w:rsidR="00504BC2" w:rsidRPr="00913295">
        <w:rPr>
          <w:rFonts w:ascii="Segoe UI Light" w:hAnsi="Segoe UI Light" w:cs="Segoe UI Light"/>
          <w:sz w:val="24"/>
          <w:szCs w:val="24"/>
        </w:rPr>
        <w:t>t</w:t>
      </w:r>
      <w:r w:rsidR="00383A48" w:rsidRPr="00913295">
        <w:rPr>
          <w:rFonts w:ascii="Segoe UI Light" w:hAnsi="Segoe UI Light" w:cs="Segoe UI Light"/>
          <w:sz w:val="24"/>
          <w:szCs w:val="24"/>
        </w:rPr>
        <w:t xml:space="preserve"> </w:t>
      </w:r>
      <w:r w:rsidR="00504BC2" w:rsidRPr="00913295">
        <w:rPr>
          <w:rFonts w:ascii="Segoe UI Light" w:hAnsi="Segoe UI Light" w:cs="Segoe UI Light"/>
          <w:sz w:val="24"/>
          <w:szCs w:val="24"/>
        </w:rPr>
        <w:t>that would otherwise be illiquid</w:t>
      </w:r>
      <w:r w:rsidR="00383A48" w:rsidRPr="00913295">
        <w:rPr>
          <w:rFonts w:ascii="Segoe UI Light" w:hAnsi="Segoe UI Light" w:cs="Segoe UI Light"/>
          <w:sz w:val="24"/>
          <w:szCs w:val="24"/>
        </w:rPr>
        <w:t>.</w:t>
      </w:r>
      <w:r w:rsidR="00504BC2" w:rsidRPr="00913295">
        <w:rPr>
          <w:rFonts w:ascii="Segoe UI Light" w:hAnsi="Segoe UI Light" w:cs="Segoe UI Light"/>
          <w:sz w:val="24"/>
          <w:szCs w:val="24"/>
        </w:rPr>
        <w:t xml:space="preserve">  This is mutually beneficial for the investor and the issuers.</w:t>
      </w:r>
      <w:r w:rsidR="00383A48" w:rsidRPr="00913295">
        <w:rPr>
          <w:rFonts w:ascii="Segoe UI Light" w:hAnsi="Segoe UI Light" w:cs="Segoe UI Light"/>
          <w:sz w:val="24"/>
          <w:szCs w:val="24"/>
        </w:rPr>
        <w:t xml:space="preserve">  </w:t>
      </w:r>
    </w:p>
    <w:p w14:paraId="02117A94" w14:textId="77777777" w:rsidR="00504BC2" w:rsidRPr="00913295" w:rsidRDefault="00504BC2" w:rsidP="00913295">
      <w:pPr>
        <w:jc w:val="both"/>
        <w:rPr>
          <w:rFonts w:ascii="Segoe UI Light" w:hAnsi="Segoe UI Light" w:cs="Segoe UI Light"/>
          <w:sz w:val="24"/>
          <w:szCs w:val="24"/>
        </w:rPr>
      </w:pPr>
    </w:p>
    <w:p w14:paraId="73983569" w14:textId="77777777" w:rsidR="00504BC2" w:rsidRPr="00913295" w:rsidRDefault="00504BC2" w:rsidP="00913295">
      <w:pPr>
        <w:jc w:val="both"/>
        <w:rPr>
          <w:rFonts w:ascii="Segoe UI Light" w:hAnsi="Segoe UI Light" w:cs="Segoe UI Light"/>
          <w:b/>
          <w:sz w:val="36"/>
          <w:szCs w:val="36"/>
        </w:rPr>
      </w:pPr>
      <w:r w:rsidRPr="00913295">
        <w:rPr>
          <w:rFonts w:ascii="Segoe UI Light" w:hAnsi="Segoe UI Light" w:cs="Segoe UI Light"/>
          <w:b/>
          <w:sz w:val="36"/>
          <w:szCs w:val="36"/>
        </w:rPr>
        <w:t>Conclusion</w:t>
      </w:r>
    </w:p>
    <w:p w14:paraId="3145FF73" w14:textId="77777777" w:rsidR="00913295" w:rsidRDefault="00913295" w:rsidP="00913295">
      <w:pPr>
        <w:jc w:val="both"/>
        <w:rPr>
          <w:rFonts w:ascii="Segoe UI Light" w:hAnsi="Segoe UI Light" w:cs="Segoe UI Light"/>
          <w:b/>
          <w:i/>
          <w:sz w:val="24"/>
          <w:szCs w:val="24"/>
        </w:rPr>
      </w:pPr>
    </w:p>
    <w:p w14:paraId="6565A462" w14:textId="77777777" w:rsidR="00F7175A" w:rsidRDefault="00504BC2" w:rsidP="00913295">
      <w:pPr>
        <w:jc w:val="both"/>
        <w:rPr>
          <w:rFonts w:ascii="Segoe UI Light" w:hAnsi="Segoe UI Light" w:cs="Segoe UI Light"/>
          <w:sz w:val="24"/>
          <w:szCs w:val="24"/>
        </w:rPr>
      </w:pPr>
      <w:proofErr w:type="spellStart"/>
      <w:r w:rsidRPr="00913295">
        <w:rPr>
          <w:rFonts w:ascii="Segoe UI Light" w:hAnsi="Segoe UI Light" w:cs="Segoe UI Light"/>
          <w:b/>
          <w:i/>
          <w:sz w:val="24"/>
          <w:szCs w:val="24"/>
        </w:rPr>
        <w:t>Incubatr</w:t>
      </w:r>
      <w:proofErr w:type="spellEnd"/>
      <w:r w:rsidRPr="00913295">
        <w:rPr>
          <w:rFonts w:ascii="Segoe UI Light" w:hAnsi="Segoe UI Light" w:cs="Segoe UI Light"/>
          <w:sz w:val="24"/>
          <w:szCs w:val="24"/>
        </w:rPr>
        <w:t xml:space="preserve"> holds the view that the CAMAC proposal provides a suitable balance for supporting investment, reducing compliance costs for issuers and maintaining an </w:t>
      </w:r>
      <w:r w:rsidRPr="00913295">
        <w:rPr>
          <w:rFonts w:ascii="Segoe UI Light" w:hAnsi="Segoe UI Light" w:cs="Segoe UI Light"/>
          <w:sz w:val="24"/>
          <w:szCs w:val="24"/>
        </w:rPr>
        <w:lastRenderedPageBreak/>
        <w:t>appropriate level of investor protection</w:t>
      </w:r>
      <w:r w:rsidR="00FB4ACC" w:rsidRPr="00913295">
        <w:rPr>
          <w:rFonts w:ascii="Segoe UI Light" w:hAnsi="Segoe UI Light" w:cs="Segoe UI Light"/>
          <w:sz w:val="24"/>
          <w:szCs w:val="24"/>
        </w:rPr>
        <w:t xml:space="preserve">.  The </w:t>
      </w:r>
      <w:r w:rsidRPr="00913295">
        <w:rPr>
          <w:rFonts w:ascii="Segoe UI Light" w:hAnsi="Segoe UI Light" w:cs="Segoe UI Light"/>
          <w:sz w:val="24"/>
          <w:szCs w:val="24"/>
        </w:rPr>
        <w:t xml:space="preserve">New Zealand model strikes a better balance </w:t>
      </w:r>
      <w:r w:rsidR="00FB4ACC" w:rsidRPr="00913295">
        <w:rPr>
          <w:rFonts w:ascii="Segoe UI Light" w:hAnsi="Segoe UI Light" w:cs="Segoe UI Light"/>
          <w:sz w:val="24"/>
          <w:szCs w:val="24"/>
        </w:rPr>
        <w:t xml:space="preserve">in </w:t>
      </w:r>
      <w:r w:rsidRPr="00913295">
        <w:rPr>
          <w:rFonts w:ascii="Segoe UI Light" w:hAnsi="Segoe UI Light" w:cs="Segoe UI Light"/>
          <w:sz w:val="24"/>
          <w:szCs w:val="24"/>
        </w:rPr>
        <w:t>facilitat</w:t>
      </w:r>
      <w:r w:rsidR="00FB4ACC" w:rsidRPr="00913295">
        <w:rPr>
          <w:rFonts w:ascii="Segoe UI Light" w:hAnsi="Segoe UI Light" w:cs="Segoe UI Light"/>
          <w:sz w:val="24"/>
          <w:szCs w:val="24"/>
        </w:rPr>
        <w:t>ing C</w:t>
      </w:r>
      <w:r w:rsidRPr="00913295">
        <w:rPr>
          <w:rFonts w:ascii="Segoe UI Light" w:hAnsi="Segoe UI Light" w:cs="Segoe UI Light"/>
          <w:sz w:val="24"/>
          <w:szCs w:val="24"/>
        </w:rPr>
        <w:t>SEF with regard to intermediar</w:t>
      </w:r>
      <w:r w:rsidR="00FB4ACC" w:rsidRPr="00913295">
        <w:rPr>
          <w:rFonts w:ascii="Segoe UI Light" w:hAnsi="Segoe UI Light" w:cs="Segoe UI Light"/>
          <w:sz w:val="24"/>
          <w:szCs w:val="24"/>
        </w:rPr>
        <w:t>y licensing requirements</w:t>
      </w:r>
      <w:r w:rsidRPr="00913295">
        <w:rPr>
          <w:rFonts w:ascii="Segoe UI Light" w:hAnsi="Segoe UI Light" w:cs="Segoe UI Light"/>
          <w:sz w:val="24"/>
          <w:szCs w:val="24"/>
        </w:rPr>
        <w:t>.</w:t>
      </w:r>
      <w:r w:rsidR="00FB4ACC" w:rsidRPr="00913295">
        <w:rPr>
          <w:rFonts w:ascii="Segoe UI Light" w:hAnsi="Segoe UI Light" w:cs="Segoe UI Light"/>
          <w:sz w:val="24"/>
          <w:szCs w:val="24"/>
        </w:rPr>
        <w:t xml:space="preserve">  It is </w:t>
      </w:r>
      <w:proofErr w:type="spellStart"/>
      <w:r w:rsidR="00FB4ACC" w:rsidRPr="00913295">
        <w:rPr>
          <w:rFonts w:ascii="Segoe UI Light" w:hAnsi="Segoe UI Light" w:cs="Segoe UI Light"/>
          <w:b/>
          <w:i/>
          <w:sz w:val="24"/>
          <w:szCs w:val="24"/>
        </w:rPr>
        <w:t>incubatr’s</w:t>
      </w:r>
      <w:proofErr w:type="spellEnd"/>
      <w:r w:rsidR="00FB4ACC" w:rsidRPr="00913295">
        <w:rPr>
          <w:rFonts w:ascii="Segoe UI Light" w:hAnsi="Segoe UI Light" w:cs="Segoe UI Light"/>
          <w:b/>
          <w:i/>
          <w:sz w:val="24"/>
          <w:szCs w:val="24"/>
        </w:rPr>
        <w:t xml:space="preserve"> </w:t>
      </w:r>
      <w:r w:rsidR="00FB4ACC" w:rsidRPr="00913295">
        <w:rPr>
          <w:rFonts w:ascii="Segoe UI Light" w:hAnsi="Segoe UI Light" w:cs="Segoe UI Light"/>
          <w:sz w:val="24"/>
          <w:szCs w:val="24"/>
        </w:rPr>
        <w:t>view that the status quo is too restrictive and will not result in sufficient capital being available to properly serve the funding needs of small businesses and start-ups.  As such, it would fail to support the innovation and growth that a strong CSEF regime could bring to Australia.</w:t>
      </w:r>
    </w:p>
    <w:p w14:paraId="076039FE" w14:textId="77777777" w:rsidR="003612E5" w:rsidRDefault="003612E5" w:rsidP="00913295">
      <w:pPr>
        <w:jc w:val="both"/>
        <w:rPr>
          <w:rFonts w:ascii="Segoe UI Light" w:hAnsi="Segoe UI Light" w:cs="Segoe UI Light"/>
          <w:sz w:val="24"/>
          <w:szCs w:val="24"/>
        </w:rPr>
      </w:pPr>
    </w:p>
    <w:p w14:paraId="119D7874" w14:textId="77777777" w:rsidR="00DB2FFB" w:rsidRDefault="00DB2FFB" w:rsidP="00913295">
      <w:pPr>
        <w:jc w:val="both"/>
        <w:rPr>
          <w:rFonts w:ascii="Segoe UI Light" w:hAnsi="Segoe UI Light" w:cs="Segoe UI Light"/>
          <w:sz w:val="24"/>
          <w:szCs w:val="24"/>
        </w:rPr>
      </w:pPr>
    </w:p>
    <w:p w14:paraId="6122AFF0" w14:textId="77777777" w:rsidR="003612E5" w:rsidRPr="00DB2FFB" w:rsidRDefault="00DB2FFB" w:rsidP="00DB2FFB">
      <w:pPr>
        <w:jc w:val="both"/>
        <w:rPr>
          <w:rFonts w:ascii="Segoe UI Light" w:hAnsi="Segoe UI Light" w:cs="Segoe UI Light"/>
          <w:sz w:val="24"/>
          <w:szCs w:val="24"/>
        </w:rPr>
      </w:pPr>
      <w:r>
        <w:rPr>
          <w:rFonts w:ascii="Segoe UI Light" w:hAnsi="Segoe UI Light" w:cs="Segoe UI Light"/>
          <w:noProof/>
          <w:sz w:val="24"/>
          <w:szCs w:val="24"/>
          <w:lang w:eastAsia="en-AU"/>
        </w:rPr>
        <w:drawing>
          <wp:inline distT="0" distB="0" distL="0" distR="0" wp14:anchorId="503AE2BC" wp14:editId="7E193736">
            <wp:extent cx="2017329" cy="7048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ex signature.png"/>
                    <pic:cNvPicPr/>
                  </pic:nvPicPr>
                  <pic:blipFill>
                    <a:blip r:embed="rId15">
                      <a:extLst>
                        <a:ext uri="{28A0092B-C50C-407E-A947-70E740481C1C}">
                          <a14:useLocalDpi xmlns:a14="http://schemas.microsoft.com/office/drawing/2010/main" val="0"/>
                        </a:ext>
                      </a:extLst>
                    </a:blip>
                    <a:stretch>
                      <a:fillRect/>
                    </a:stretch>
                  </pic:blipFill>
                  <pic:spPr>
                    <a:xfrm>
                      <a:off x="0" y="0"/>
                      <a:ext cx="2027548" cy="708420"/>
                    </a:xfrm>
                    <a:prstGeom prst="rect">
                      <a:avLst/>
                    </a:prstGeom>
                  </pic:spPr>
                </pic:pic>
              </a:graphicData>
            </a:graphic>
          </wp:inline>
        </w:drawing>
      </w:r>
    </w:p>
    <w:p w14:paraId="0AC47411" w14:textId="77777777" w:rsidR="003612E5" w:rsidRPr="003612E5" w:rsidRDefault="003612E5" w:rsidP="003612E5">
      <w:pPr>
        <w:pStyle w:val="NoSpacing"/>
        <w:rPr>
          <w:rFonts w:ascii="Segoe UI Light" w:hAnsi="Segoe UI Light" w:cs="Segoe UI Light"/>
          <w:b/>
          <w:sz w:val="24"/>
          <w:szCs w:val="24"/>
        </w:rPr>
      </w:pPr>
      <w:r w:rsidRPr="003612E5">
        <w:rPr>
          <w:rFonts w:ascii="Segoe UI Light" w:hAnsi="Segoe UI Light" w:cs="Segoe UI Light"/>
          <w:b/>
          <w:sz w:val="24"/>
          <w:szCs w:val="24"/>
        </w:rPr>
        <w:t xml:space="preserve">Alexander </w:t>
      </w:r>
      <w:proofErr w:type="spellStart"/>
      <w:r w:rsidRPr="003612E5">
        <w:rPr>
          <w:rFonts w:ascii="Segoe UI Light" w:hAnsi="Segoe UI Light" w:cs="Segoe UI Light"/>
          <w:b/>
          <w:sz w:val="24"/>
          <w:szCs w:val="24"/>
        </w:rPr>
        <w:t>Stankovski</w:t>
      </w:r>
      <w:proofErr w:type="spellEnd"/>
    </w:p>
    <w:p w14:paraId="2DA5568A" w14:textId="77777777" w:rsidR="003612E5" w:rsidRPr="003612E5" w:rsidRDefault="003612E5" w:rsidP="003612E5">
      <w:pPr>
        <w:pStyle w:val="NoSpacing"/>
        <w:rPr>
          <w:rFonts w:ascii="Segoe UI Light" w:hAnsi="Segoe UI Light" w:cs="Segoe UI Light"/>
          <w:b/>
          <w:sz w:val="24"/>
          <w:szCs w:val="24"/>
        </w:rPr>
      </w:pPr>
      <w:r w:rsidRPr="003612E5">
        <w:rPr>
          <w:rFonts w:ascii="Segoe UI Light" w:hAnsi="Segoe UI Light" w:cs="Segoe UI Light"/>
          <w:b/>
          <w:sz w:val="24"/>
          <w:szCs w:val="24"/>
        </w:rPr>
        <w:t>Chief Executive Office</w:t>
      </w:r>
      <w:r w:rsidR="005172DA">
        <w:rPr>
          <w:rFonts w:ascii="Segoe UI Light" w:hAnsi="Segoe UI Light" w:cs="Segoe UI Light"/>
          <w:b/>
          <w:sz w:val="24"/>
          <w:szCs w:val="24"/>
        </w:rPr>
        <w:t>r</w:t>
      </w:r>
    </w:p>
    <w:p w14:paraId="3AF5C5F9" w14:textId="77777777" w:rsidR="003612E5" w:rsidRPr="003612E5" w:rsidRDefault="005172DA" w:rsidP="003612E5">
      <w:pPr>
        <w:pStyle w:val="NoSpacing"/>
        <w:rPr>
          <w:rFonts w:ascii="Segoe UI Light" w:hAnsi="Segoe UI Light" w:cs="Segoe UI Light"/>
          <w:b/>
          <w:sz w:val="24"/>
          <w:szCs w:val="24"/>
        </w:rPr>
      </w:pPr>
      <w:proofErr w:type="spellStart"/>
      <w:r>
        <w:rPr>
          <w:rFonts w:ascii="Segoe UI Light" w:hAnsi="Segoe UI Light" w:cs="Segoe UI Light"/>
          <w:b/>
          <w:sz w:val="24"/>
          <w:szCs w:val="24"/>
        </w:rPr>
        <w:t>Incubatr</w:t>
      </w:r>
      <w:proofErr w:type="spellEnd"/>
    </w:p>
    <w:p w14:paraId="01B8B322" w14:textId="77777777" w:rsidR="00913295" w:rsidRDefault="00913295">
      <w:pPr>
        <w:rPr>
          <w:rFonts w:ascii="Segoe UI Light" w:hAnsi="Segoe UI Light" w:cs="Segoe UI Light"/>
          <w:b/>
          <w:sz w:val="24"/>
          <w:szCs w:val="24"/>
        </w:rPr>
      </w:pPr>
      <w:r>
        <w:rPr>
          <w:rFonts w:ascii="Segoe UI Light" w:hAnsi="Segoe UI Light" w:cs="Segoe UI Light"/>
          <w:b/>
          <w:sz w:val="24"/>
          <w:szCs w:val="24"/>
        </w:rPr>
        <w:br w:type="page"/>
      </w:r>
    </w:p>
    <w:p w14:paraId="25BCD261" w14:textId="77777777" w:rsidR="00504BC2" w:rsidRPr="00A9751C" w:rsidRDefault="00504BC2" w:rsidP="00D66499">
      <w:pPr>
        <w:jc w:val="both"/>
        <w:rPr>
          <w:rFonts w:ascii="Segoe UI Light" w:hAnsi="Segoe UI Light" w:cs="Segoe UI Light"/>
          <w:b/>
          <w:sz w:val="24"/>
          <w:szCs w:val="24"/>
        </w:rPr>
      </w:pPr>
      <w:r>
        <w:rPr>
          <w:rFonts w:ascii="Segoe UI Light" w:hAnsi="Segoe UI Light" w:cs="Segoe UI Light"/>
          <w:b/>
          <w:sz w:val="24"/>
          <w:szCs w:val="24"/>
        </w:rPr>
        <w:lastRenderedPageBreak/>
        <w:t>A</w:t>
      </w:r>
      <w:r w:rsidR="00913295">
        <w:rPr>
          <w:rFonts w:ascii="Segoe UI Light" w:hAnsi="Segoe UI Light" w:cs="Segoe UI Light"/>
          <w:b/>
          <w:sz w:val="24"/>
          <w:szCs w:val="24"/>
        </w:rPr>
        <w:t>PPENDIX:</w:t>
      </w:r>
    </w:p>
    <w:p w14:paraId="57DFA177" w14:textId="77777777" w:rsidR="00F7175A" w:rsidRPr="00E472E1" w:rsidRDefault="00A9751C" w:rsidP="00D66499">
      <w:pPr>
        <w:jc w:val="both"/>
        <w:rPr>
          <w:rFonts w:ascii="Segoe UI Light" w:hAnsi="Segoe UI Light" w:cs="Segoe UI Light"/>
          <w:b/>
          <w:sz w:val="36"/>
          <w:szCs w:val="36"/>
        </w:rPr>
      </w:pPr>
      <w:proofErr w:type="spellStart"/>
      <w:r w:rsidRPr="00E952BC">
        <w:rPr>
          <w:rFonts w:ascii="Segoe UI Light" w:hAnsi="Segoe UI Light" w:cs="Segoe UI Light"/>
          <w:b/>
          <w:i/>
          <w:sz w:val="36"/>
          <w:szCs w:val="36"/>
        </w:rPr>
        <w:t>Incubatr</w:t>
      </w:r>
      <w:proofErr w:type="spellEnd"/>
      <w:r w:rsidR="00F7175A" w:rsidRPr="00E472E1">
        <w:rPr>
          <w:rFonts w:ascii="Segoe UI Light" w:hAnsi="Segoe UI Light" w:cs="Segoe UI Light"/>
          <w:b/>
          <w:sz w:val="36"/>
          <w:szCs w:val="36"/>
        </w:rPr>
        <w:t xml:space="preserve"> Recommendation</w:t>
      </w:r>
      <w:r w:rsidR="001E0602">
        <w:rPr>
          <w:rStyle w:val="FootnoteReference"/>
          <w:rFonts w:ascii="Segoe UI Light" w:hAnsi="Segoe UI Light" w:cs="Segoe UI Light"/>
          <w:b/>
          <w:sz w:val="36"/>
          <w:szCs w:val="36"/>
        </w:rPr>
        <w:footnoteReference w:id="10"/>
      </w:r>
    </w:p>
    <w:p w14:paraId="394234FD" w14:textId="77777777" w:rsidR="00DD4FD9" w:rsidRDefault="00DD4FD9" w:rsidP="00DD4FD9">
      <w:pPr>
        <w:jc w:val="both"/>
        <w:rPr>
          <w:rFonts w:ascii="Segoe UI Light" w:hAnsi="Segoe UI Light" w:cs="Segoe UI Light"/>
          <w:sz w:val="26"/>
          <w:szCs w:val="26"/>
        </w:rPr>
      </w:pPr>
    </w:p>
    <w:tbl>
      <w:tblPr>
        <w:tblW w:w="8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2020"/>
        <w:gridCol w:w="2551"/>
        <w:gridCol w:w="2596"/>
      </w:tblGrid>
      <w:tr w:rsidR="00DD4FD9" w14:paraId="25C11389" w14:textId="77777777" w:rsidTr="00165BA8">
        <w:trPr>
          <w:trHeight w:val="262"/>
        </w:trPr>
        <w:tc>
          <w:tcPr>
            <w:tcW w:w="1553" w:type="dxa"/>
            <w:tcBorders>
              <w:bottom w:val="single" w:sz="12" w:space="0" w:color="auto"/>
            </w:tcBorders>
            <w:shd w:val="clear" w:color="auto" w:fill="D9D9D9" w:themeFill="background1" w:themeFillShade="D9"/>
          </w:tcPr>
          <w:p w14:paraId="3BF790D2" w14:textId="77777777" w:rsidR="00DD4FD9" w:rsidRPr="00E952BC" w:rsidRDefault="00DD4FD9" w:rsidP="00165BA8">
            <w:pPr>
              <w:pStyle w:val="TableColumnHeadingLeft"/>
            </w:pPr>
            <w:r w:rsidRPr="00E952BC">
              <w:t>Issue</w:t>
            </w:r>
          </w:p>
        </w:tc>
        <w:tc>
          <w:tcPr>
            <w:tcW w:w="2020" w:type="dxa"/>
            <w:tcBorders>
              <w:bottom w:val="single" w:sz="12" w:space="0" w:color="auto"/>
            </w:tcBorders>
            <w:shd w:val="clear" w:color="auto" w:fill="D9D9D9" w:themeFill="background1" w:themeFillShade="D9"/>
          </w:tcPr>
          <w:p w14:paraId="237BA9FF" w14:textId="77777777" w:rsidR="00DD4FD9" w:rsidRPr="00E952BC" w:rsidRDefault="00DD4FD9" w:rsidP="00165BA8">
            <w:pPr>
              <w:pStyle w:val="TableColumnHeadingLeft"/>
            </w:pPr>
            <w:r w:rsidRPr="00E952BC">
              <w:t>CAMAC model</w:t>
            </w:r>
          </w:p>
        </w:tc>
        <w:tc>
          <w:tcPr>
            <w:tcW w:w="2551" w:type="dxa"/>
            <w:tcBorders>
              <w:bottom w:val="single" w:sz="12" w:space="0" w:color="auto"/>
            </w:tcBorders>
            <w:shd w:val="clear" w:color="auto" w:fill="D9D9D9" w:themeFill="background1" w:themeFillShade="D9"/>
          </w:tcPr>
          <w:p w14:paraId="5A357014" w14:textId="77777777" w:rsidR="00DD4FD9" w:rsidRPr="00E952BC" w:rsidRDefault="00DD4FD9" w:rsidP="00165BA8">
            <w:pPr>
              <w:pStyle w:val="TableColumnHeadingLeft"/>
            </w:pPr>
            <w:r w:rsidRPr="00E952BC">
              <w:t>New Zealand model</w:t>
            </w:r>
          </w:p>
        </w:tc>
        <w:tc>
          <w:tcPr>
            <w:tcW w:w="2596" w:type="dxa"/>
            <w:tcBorders>
              <w:bottom w:val="single" w:sz="12" w:space="0" w:color="auto"/>
            </w:tcBorders>
            <w:shd w:val="clear" w:color="auto" w:fill="D9D9D9" w:themeFill="background1" w:themeFillShade="D9"/>
          </w:tcPr>
          <w:p w14:paraId="4F19A44E" w14:textId="77777777" w:rsidR="00DD4FD9" w:rsidRPr="00E952BC" w:rsidRDefault="00DD4FD9" w:rsidP="00165BA8">
            <w:pPr>
              <w:pStyle w:val="TableColumnHeadingLeft"/>
            </w:pPr>
            <w:proofErr w:type="spellStart"/>
            <w:r w:rsidRPr="00E952BC">
              <w:rPr>
                <w:i/>
              </w:rPr>
              <w:t>incubatr</w:t>
            </w:r>
            <w:proofErr w:type="spellEnd"/>
            <w:r>
              <w:t xml:space="preserve"> recommendation</w:t>
            </w:r>
          </w:p>
        </w:tc>
      </w:tr>
      <w:tr w:rsidR="00DD4FD9" w14:paraId="19487DC4" w14:textId="77777777" w:rsidTr="00165BA8">
        <w:trPr>
          <w:trHeight w:val="262"/>
        </w:trPr>
        <w:tc>
          <w:tcPr>
            <w:tcW w:w="6124" w:type="dxa"/>
            <w:gridSpan w:val="3"/>
            <w:tcBorders>
              <w:top w:val="single" w:sz="12" w:space="0" w:color="auto"/>
            </w:tcBorders>
            <w:shd w:val="clear" w:color="auto" w:fill="F2F2F2" w:themeFill="background1" w:themeFillShade="F2"/>
          </w:tcPr>
          <w:p w14:paraId="7B174861" w14:textId="77777777" w:rsidR="00DD4FD9" w:rsidRPr="00200536" w:rsidRDefault="00DD4FD9" w:rsidP="00165BA8">
            <w:pPr>
              <w:pStyle w:val="TableColumnHeadingLeft"/>
            </w:pPr>
            <w:r>
              <w:t>Issuers</w:t>
            </w:r>
          </w:p>
        </w:tc>
        <w:tc>
          <w:tcPr>
            <w:tcW w:w="2596" w:type="dxa"/>
            <w:tcBorders>
              <w:top w:val="single" w:sz="12" w:space="0" w:color="auto"/>
            </w:tcBorders>
            <w:shd w:val="clear" w:color="auto" w:fill="F2F2F2" w:themeFill="background1" w:themeFillShade="F2"/>
          </w:tcPr>
          <w:p w14:paraId="4740BABB" w14:textId="77777777" w:rsidR="00DD4FD9" w:rsidRDefault="00DD4FD9" w:rsidP="00165BA8">
            <w:pPr>
              <w:pStyle w:val="TableColumnHeadingLeft"/>
            </w:pPr>
          </w:p>
        </w:tc>
      </w:tr>
      <w:tr w:rsidR="00DD4FD9" w14:paraId="512D1D4B" w14:textId="77777777" w:rsidTr="00165BA8">
        <w:trPr>
          <w:trHeight w:val="262"/>
        </w:trPr>
        <w:tc>
          <w:tcPr>
            <w:tcW w:w="1553" w:type="dxa"/>
          </w:tcPr>
          <w:p w14:paraId="0D0D75EA" w14:textId="77777777" w:rsidR="00DD4FD9" w:rsidRDefault="00DD4FD9" w:rsidP="00165BA8">
            <w:pPr>
              <w:pStyle w:val="TableTextLeft"/>
            </w:pPr>
            <w:r>
              <w:t>Eligible issuers</w:t>
            </w:r>
          </w:p>
        </w:tc>
        <w:tc>
          <w:tcPr>
            <w:tcW w:w="2020" w:type="dxa"/>
          </w:tcPr>
          <w:p w14:paraId="58713DD7" w14:textId="77777777" w:rsidR="00DD4FD9" w:rsidRDefault="00DD4FD9" w:rsidP="00165BA8">
            <w:pPr>
              <w:pStyle w:val="TableTextLeft"/>
            </w:pPr>
            <w:r>
              <w:t>Australian-incorporated issuers that must be either a public company or an exempt public company.</w:t>
            </w:r>
          </w:p>
          <w:p w14:paraId="0B5E44EA" w14:textId="77777777" w:rsidR="00DD4FD9" w:rsidRDefault="00DD4FD9" w:rsidP="00165BA8">
            <w:pPr>
              <w:pStyle w:val="TableTextLeft"/>
            </w:pPr>
            <w:r>
              <w:t>Limited to certain small enterprises that have not raised funds under the existing public offer arrangements.</w:t>
            </w:r>
          </w:p>
        </w:tc>
        <w:tc>
          <w:tcPr>
            <w:tcW w:w="2551" w:type="dxa"/>
          </w:tcPr>
          <w:p w14:paraId="3A867663" w14:textId="77777777" w:rsidR="00DD4FD9" w:rsidRDefault="00DD4FD9" w:rsidP="00165BA8">
            <w:pPr>
              <w:pStyle w:val="TableTextLeft"/>
            </w:pPr>
            <w:r w:rsidRPr="008F59EE">
              <w:t>New Zealand-incorporated companies.</w:t>
            </w:r>
          </w:p>
        </w:tc>
        <w:tc>
          <w:tcPr>
            <w:tcW w:w="2596" w:type="dxa"/>
          </w:tcPr>
          <w:p w14:paraId="53788257" w14:textId="77777777" w:rsidR="00DD4FD9" w:rsidRPr="008F59EE" w:rsidRDefault="00DD4FD9" w:rsidP="00165BA8">
            <w:pPr>
              <w:pStyle w:val="TableTextLeft"/>
            </w:pPr>
            <w:r>
              <w:t>Australian-incorporated issuers that must be either a public company or an exempt public company as long as there is provision for a streamlined process for established Australian-incorporated issuers to transition to an exempt-public company.</w:t>
            </w:r>
          </w:p>
        </w:tc>
      </w:tr>
      <w:tr w:rsidR="00DD4FD9" w14:paraId="662AAD86" w14:textId="77777777" w:rsidTr="00165BA8">
        <w:trPr>
          <w:trHeight w:val="262"/>
        </w:trPr>
        <w:tc>
          <w:tcPr>
            <w:tcW w:w="1553" w:type="dxa"/>
          </w:tcPr>
          <w:p w14:paraId="4AC9B058" w14:textId="77777777" w:rsidR="00DD4FD9" w:rsidRDefault="00DD4FD9" w:rsidP="00165BA8">
            <w:pPr>
              <w:pStyle w:val="TableTextLeft"/>
            </w:pPr>
            <w:r>
              <w:t>Relief from public company compliance costs</w:t>
            </w:r>
          </w:p>
        </w:tc>
        <w:tc>
          <w:tcPr>
            <w:tcW w:w="2020" w:type="dxa"/>
          </w:tcPr>
          <w:p w14:paraId="367F019A" w14:textId="77777777" w:rsidR="00DD4FD9" w:rsidRDefault="00DD4FD9" w:rsidP="00165BA8">
            <w:pPr>
              <w:pStyle w:val="TableTextLeft"/>
            </w:pPr>
            <w:r>
              <w:t>Available to exempt public companies, with relief from a range of compliance requirements, including annual general meetings, and audit requirements (up to a certain threshold).</w:t>
            </w:r>
          </w:p>
          <w:p w14:paraId="416D3E6C" w14:textId="77777777" w:rsidR="00DD4FD9" w:rsidRDefault="00DD4FD9" w:rsidP="00165BA8">
            <w:pPr>
              <w:pStyle w:val="TableTextLeft"/>
            </w:pPr>
            <w:r>
              <w:t>Exempt status available for a period of up to three to five years, subject to turnover and capital thresholds.</w:t>
            </w:r>
          </w:p>
        </w:tc>
        <w:tc>
          <w:tcPr>
            <w:tcW w:w="2551" w:type="dxa"/>
          </w:tcPr>
          <w:p w14:paraId="17008808" w14:textId="77777777" w:rsidR="00DD4FD9" w:rsidRPr="00046D6E" w:rsidRDefault="00DD4FD9" w:rsidP="00165BA8">
            <w:pPr>
              <w:pStyle w:val="TableTextLeft"/>
              <w:rPr>
                <w:highlight w:val="yellow"/>
              </w:rPr>
            </w:pPr>
            <w:r w:rsidRPr="00200536">
              <w:t>No CSEF-specific exemptions.</w:t>
            </w:r>
          </w:p>
        </w:tc>
        <w:tc>
          <w:tcPr>
            <w:tcW w:w="2596" w:type="dxa"/>
          </w:tcPr>
          <w:p w14:paraId="0A6F69BC" w14:textId="77777777" w:rsidR="00DD4FD9" w:rsidRDefault="00DD4FD9" w:rsidP="00165BA8">
            <w:pPr>
              <w:pStyle w:val="TableTextLeft"/>
            </w:pPr>
            <w:r>
              <w:t>Available to exempt public companies, with relief from a range of compliance requirements, including annual general meetings, and audit requirements (up to a certain threshold).</w:t>
            </w:r>
          </w:p>
          <w:p w14:paraId="6F380811" w14:textId="77777777" w:rsidR="00DD4FD9" w:rsidRDefault="00DD4FD9" w:rsidP="00165BA8">
            <w:pPr>
              <w:pStyle w:val="TableTextLeft"/>
            </w:pPr>
          </w:p>
          <w:p w14:paraId="539A6BE9" w14:textId="77777777" w:rsidR="00DD4FD9" w:rsidRPr="00200536" w:rsidRDefault="00DD4FD9" w:rsidP="00523CFA">
            <w:pPr>
              <w:pStyle w:val="TableTextLeft"/>
            </w:pPr>
            <w:r>
              <w:t>Exempt status available for a period of up to three to five years, subject to turnover and capital thresholds.</w:t>
            </w:r>
          </w:p>
        </w:tc>
      </w:tr>
      <w:tr w:rsidR="00DD4FD9" w14:paraId="42B36457" w14:textId="77777777" w:rsidTr="00165BA8">
        <w:trPr>
          <w:trHeight w:val="262"/>
        </w:trPr>
        <w:tc>
          <w:tcPr>
            <w:tcW w:w="1553" w:type="dxa"/>
          </w:tcPr>
          <w:p w14:paraId="0E4FCC64" w14:textId="77777777" w:rsidR="00DD4FD9" w:rsidRDefault="00DD4FD9" w:rsidP="00165BA8">
            <w:pPr>
              <w:pStyle w:val="TableTextLeft"/>
            </w:pPr>
            <w:r>
              <w:t>Maximum funds an issuer may raise</w:t>
            </w:r>
          </w:p>
        </w:tc>
        <w:tc>
          <w:tcPr>
            <w:tcW w:w="2020" w:type="dxa"/>
          </w:tcPr>
          <w:p w14:paraId="2660E295" w14:textId="77777777" w:rsidR="00DD4FD9" w:rsidRDefault="00DD4FD9" w:rsidP="00165BA8">
            <w:pPr>
              <w:pStyle w:val="TableTextLeft"/>
            </w:pPr>
            <w:r>
              <w:t>Cap of $2 million in any 12-month period, excluding funds raised under existing prospectus exemptions for wholesale investors.</w:t>
            </w:r>
          </w:p>
        </w:tc>
        <w:tc>
          <w:tcPr>
            <w:tcW w:w="2551" w:type="dxa"/>
          </w:tcPr>
          <w:p w14:paraId="6DE14831" w14:textId="77777777" w:rsidR="00DD4FD9" w:rsidRDefault="00DD4FD9" w:rsidP="00165BA8">
            <w:pPr>
              <w:pStyle w:val="TableTextLeft"/>
              <w:rPr>
                <w:highlight w:val="yellow"/>
              </w:rPr>
            </w:pPr>
            <w:r>
              <w:t>Cap of $2 million in any 12-month period, excluding funds raised under existing prospectus exemptions for wholesale investors.</w:t>
            </w:r>
          </w:p>
        </w:tc>
        <w:tc>
          <w:tcPr>
            <w:tcW w:w="2596" w:type="dxa"/>
          </w:tcPr>
          <w:p w14:paraId="769B6660" w14:textId="77777777" w:rsidR="00DD4FD9" w:rsidRDefault="00DD4FD9" w:rsidP="00523CFA">
            <w:pPr>
              <w:pStyle w:val="TableTextLeft"/>
            </w:pPr>
            <w:r>
              <w:t>Cap of $2 million in any 12-month period, excluding funds raised under existing prospectus exemptions for wholesale investors; with a relief from a range of compliance requirements as per the recommendations under ‘Relief from public company compliance costs’.</w:t>
            </w:r>
            <w:r w:rsidR="00523CFA">
              <w:t xml:space="preserve">  Non-exemption from disclosure relief for capital raisings above $2M. </w:t>
            </w:r>
          </w:p>
        </w:tc>
      </w:tr>
      <w:tr w:rsidR="00DD4FD9" w14:paraId="46D6BDCB" w14:textId="77777777" w:rsidTr="00165BA8">
        <w:trPr>
          <w:trHeight w:val="262"/>
        </w:trPr>
        <w:tc>
          <w:tcPr>
            <w:tcW w:w="1553" w:type="dxa"/>
          </w:tcPr>
          <w:p w14:paraId="771D33FF" w14:textId="77777777" w:rsidR="00DD4FD9" w:rsidRDefault="00DD4FD9" w:rsidP="00165BA8">
            <w:pPr>
              <w:pStyle w:val="TableTextLeft"/>
            </w:pPr>
            <w:r>
              <w:t>Permitted securities</w:t>
            </w:r>
          </w:p>
        </w:tc>
        <w:tc>
          <w:tcPr>
            <w:tcW w:w="2020" w:type="dxa"/>
          </w:tcPr>
          <w:p w14:paraId="3660A809" w14:textId="77777777" w:rsidR="00DD4FD9" w:rsidRDefault="00DD4FD9" w:rsidP="00165BA8">
            <w:pPr>
              <w:pStyle w:val="TableTextLeft"/>
            </w:pPr>
            <w:r>
              <w:t>One class of fully paid ordinary shares.</w:t>
            </w:r>
          </w:p>
        </w:tc>
        <w:tc>
          <w:tcPr>
            <w:tcW w:w="2551" w:type="dxa"/>
          </w:tcPr>
          <w:p w14:paraId="351B386A" w14:textId="77777777" w:rsidR="00DD4FD9" w:rsidRDefault="00DD4FD9" w:rsidP="00165BA8">
            <w:pPr>
              <w:pStyle w:val="TableTextLeft"/>
              <w:rPr>
                <w:highlight w:val="yellow"/>
              </w:rPr>
            </w:pPr>
            <w:r w:rsidRPr="00200536">
              <w:t>One class of fully paid ordinary shares.</w:t>
            </w:r>
          </w:p>
        </w:tc>
        <w:tc>
          <w:tcPr>
            <w:tcW w:w="2596" w:type="dxa"/>
          </w:tcPr>
          <w:p w14:paraId="704FF77F" w14:textId="77777777" w:rsidR="00DD4FD9" w:rsidRPr="00200536" w:rsidRDefault="00DD4FD9" w:rsidP="00165BA8">
            <w:pPr>
              <w:pStyle w:val="TableTextLeft"/>
            </w:pPr>
            <w:r w:rsidRPr="00200536">
              <w:t>One class of fully paid ordinary shares.</w:t>
            </w:r>
          </w:p>
        </w:tc>
      </w:tr>
      <w:tr w:rsidR="007227D4" w14:paraId="1ED630D8" w14:textId="77777777" w:rsidTr="00165BA8">
        <w:trPr>
          <w:trHeight w:val="262"/>
        </w:trPr>
        <w:tc>
          <w:tcPr>
            <w:tcW w:w="1553" w:type="dxa"/>
          </w:tcPr>
          <w:p w14:paraId="373BFBEC" w14:textId="77777777" w:rsidR="007227D4" w:rsidRDefault="007227D4" w:rsidP="007227D4">
            <w:pPr>
              <w:pStyle w:val="TableTextLeft"/>
            </w:pPr>
            <w:r>
              <w:t>Disclosure requirements</w:t>
            </w:r>
          </w:p>
        </w:tc>
        <w:tc>
          <w:tcPr>
            <w:tcW w:w="2020" w:type="dxa"/>
          </w:tcPr>
          <w:p w14:paraId="133C6B26" w14:textId="77777777" w:rsidR="007227D4" w:rsidRDefault="007227D4" w:rsidP="007227D4">
            <w:pPr>
              <w:pStyle w:val="TableTextLeft"/>
            </w:pPr>
            <w:r>
              <w:t>Reduced disclosure requirements, including a template disclosure document.</w:t>
            </w:r>
          </w:p>
        </w:tc>
        <w:tc>
          <w:tcPr>
            <w:tcW w:w="2551" w:type="dxa"/>
          </w:tcPr>
          <w:p w14:paraId="0FE73F30" w14:textId="77777777" w:rsidR="007227D4" w:rsidRDefault="007227D4" w:rsidP="007227D4">
            <w:pPr>
              <w:pStyle w:val="TableTextLeft"/>
              <w:rPr>
                <w:highlight w:val="yellow"/>
              </w:rPr>
            </w:pPr>
            <w:r w:rsidRPr="00D961DB">
              <w:t>Minimum disclosure requirements, with issuers and intermediaries to have in place arrangements to provide greater disclosure where there are no or high voluntary investor caps or t</w:t>
            </w:r>
            <w:r>
              <w:t>he issuer is seeking to raise significant</w:t>
            </w:r>
            <w:r w:rsidRPr="00D961DB">
              <w:t xml:space="preserve"> funds.</w:t>
            </w:r>
          </w:p>
        </w:tc>
        <w:tc>
          <w:tcPr>
            <w:tcW w:w="2596" w:type="dxa"/>
          </w:tcPr>
          <w:p w14:paraId="356FD8A0" w14:textId="77777777" w:rsidR="007227D4" w:rsidRDefault="007227D4" w:rsidP="007227D4">
            <w:pPr>
              <w:pStyle w:val="TableTextLeft"/>
            </w:pPr>
            <w:r>
              <w:t>Reduced disclosure requirements, including a template disclosure document.  With capital raising over $2M not exempt from disclosure relief.</w:t>
            </w:r>
          </w:p>
        </w:tc>
      </w:tr>
      <w:tr w:rsidR="007227D4" w14:paraId="62614605" w14:textId="77777777" w:rsidTr="00165BA8">
        <w:trPr>
          <w:trHeight w:val="262"/>
        </w:trPr>
        <w:tc>
          <w:tcPr>
            <w:tcW w:w="6124" w:type="dxa"/>
            <w:gridSpan w:val="3"/>
            <w:shd w:val="clear" w:color="auto" w:fill="F2F2F2" w:themeFill="background1" w:themeFillShade="F2"/>
          </w:tcPr>
          <w:p w14:paraId="1A1C8339" w14:textId="77777777" w:rsidR="007227D4" w:rsidRPr="00D961DB" w:rsidRDefault="007227D4" w:rsidP="007227D4">
            <w:pPr>
              <w:pStyle w:val="TableColumnHeadingLeft"/>
            </w:pPr>
            <w:r>
              <w:t>Intermediaries</w:t>
            </w:r>
          </w:p>
        </w:tc>
        <w:tc>
          <w:tcPr>
            <w:tcW w:w="2596" w:type="dxa"/>
            <w:shd w:val="clear" w:color="auto" w:fill="F2F2F2" w:themeFill="background1" w:themeFillShade="F2"/>
          </w:tcPr>
          <w:p w14:paraId="52E2D063" w14:textId="77777777" w:rsidR="007227D4" w:rsidRDefault="007227D4" w:rsidP="007227D4">
            <w:pPr>
              <w:pStyle w:val="TableColumnHeadingLeft"/>
            </w:pPr>
          </w:p>
        </w:tc>
      </w:tr>
      <w:tr w:rsidR="007227D4" w14:paraId="016AFFF4" w14:textId="77777777" w:rsidTr="00165BA8">
        <w:trPr>
          <w:trHeight w:val="262"/>
        </w:trPr>
        <w:tc>
          <w:tcPr>
            <w:tcW w:w="1553" w:type="dxa"/>
          </w:tcPr>
          <w:p w14:paraId="48C828C6" w14:textId="77777777" w:rsidR="007227D4" w:rsidRDefault="007227D4" w:rsidP="007227D4">
            <w:pPr>
              <w:pStyle w:val="TableTextLeft"/>
            </w:pPr>
            <w:r>
              <w:t>Licensing</w:t>
            </w:r>
          </w:p>
        </w:tc>
        <w:tc>
          <w:tcPr>
            <w:tcW w:w="2020" w:type="dxa"/>
          </w:tcPr>
          <w:p w14:paraId="41D1108B" w14:textId="77777777" w:rsidR="007227D4" w:rsidRDefault="007227D4" w:rsidP="007227D4">
            <w:pPr>
              <w:pStyle w:val="TableTextLeft"/>
            </w:pPr>
            <w:r>
              <w:t>Hold an AFSL and comply with licensing requirements, including membership of an external dispute resolution scheme.</w:t>
            </w:r>
          </w:p>
        </w:tc>
        <w:tc>
          <w:tcPr>
            <w:tcW w:w="2551" w:type="dxa"/>
          </w:tcPr>
          <w:p w14:paraId="0C746B75" w14:textId="77777777" w:rsidR="007227D4" w:rsidRDefault="007227D4" w:rsidP="007227D4">
            <w:pPr>
              <w:pStyle w:val="TableTextLeft"/>
              <w:rPr>
                <w:highlight w:val="yellow"/>
              </w:rPr>
            </w:pPr>
            <w:r w:rsidRPr="00D961DB">
              <w:t>Be licensed and comply with licensing requirements, including membership of an external dispute resolution scheme.</w:t>
            </w:r>
          </w:p>
        </w:tc>
        <w:tc>
          <w:tcPr>
            <w:tcW w:w="2596" w:type="dxa"/>
          </w:tcPr>
          <w:p w14:paraId="694B1B80" w14:textId="77777777" w:rsidR="007227D4" w:rsidRPr="00D961DB" w:rsidRDefault="007227D4" w:rsidP="007227D4">
            <w:pPr>
              <w:pStyle w:val="TableTextLeft"/>
            </w:pPr>
            <w:r>
              <w:t>Be licensed with CSEF-specific licence and</w:t>
            </w:r>
            <w:r w:rsidRPr="00D961DB">
              <w:t xml:space="preserve"> comply with licensing requirements, including membership of an external dispute resolution scheme.</w:t>
            </w:r>
            <w:r>
              <w:t xml:space="preserve"> </w:t>
            </w:r>
          </w:p>
        </w:tc>
      </w:tr>
      <w:tr w:rsidR="007227D4" w14:paraId="7BD2E1CB" w14:textId="77777777" w:rsidTr="00165BA8">
        <w:trPr>
          <w:trHeight w:val="262"/>
        </w:trPr>
        <w:tc>
          <w:tcPr>
            <w:tcW w:w="1553" w:type="dxa"/>
          </w:tcPr>
          <w:p w14:paraId="00E9F030" w14:textId="77777777" w:rsidR="007227D4" w:rsidRDefault="007227D4" w:rsidP="007227D4">
            <w:pPr>
              <w:pStyle w:val="TableTextLeft"/>
            </w:pPr>
            <w:r>
              <w:t>Due diligence</w:t>
            </w:r>
          </w:p>
        </w:tc>
        <w:tc>
          <w:tcPr>
            <w:tcW w:w="2020" w:type="dxa"/>
          </w:tcPr>
          <w:p w14:paraId="29B00BED" w14:textId="77777777" w:rsidR="007227D4" w:rsidRDefault="007227D4" w:rsidP="007227D4">
            <w:pPr>
              <w:pStyle w:val="TableTextLeft"/>
            </w:pPr>
            <w:r>
              <w:t>Undertake limited due diligence checks on the issuer.</w:t>
            </w:r>
          </w:p>
        </w:tc>
        <w:tc>
          <w:tcPr>
            <w:tcW w:w="2551" w:type="dxa"/>
          </w:tcPr>
          <w:p w14:paraId="61C641B2" w14:textId="77777777" w:rsidR="007227D4" w:rsidRDefault="007227D4" w:rsidP="007227D4">
            <w:pPr>
              <w:pStyle w:val="TableTextLeft"/>
              <w:rPr>
                <w:highlight w:val="yellow"/>
              </w:rPr>
            </w:pPr>
            <w:r>
              <w:t>Undertake limited due diligence checks on the issuer.</w:t>
            </w:r>
          </w:p>
        </w:tc>
        <w:tc>
          <w:tcPr>
            <w:tcW w:w="2596" w:type="dxa"/>
          </w:tcPr>
          <w:p w14:paraId="0DD33CDF" w14:textId="77777777" w:rsidR="007227D4" w:rsidRDefault="007227D4" w:rsidP="007227D4">
            <w:pPr>
              <w:pStyle w:val="TableTextLeft"/>
            </w:pPr>
            <w:r>
              <w:t>Undertake limited due diligence checks on the issuer.</w:t>
            </w:r>
          </w:p>
        </w:tc>
      </w:tr>
      <w:tr w:rsidR="004A26D9" w14:paraId="33728595" w14:textId="77777777" w:rsidTr="00165BA8">
        <w:trPr>
          <w:trHeight w:val="262"/>
        </w:trPr>
        <w:tc>
          <w:tcPr>
            <w:tcW w:w="1553" w:type="dxa"/>
          </w:tcPr>
          <w:p w14:paraId="642D1E15" w14:textId="77777777" w:rsidR="004A26D9" w:rsidRDefault="004A26D9" w:rsidP="004A26D9">
            <w:pPr>
              <w:pStyle w:val="TableTextLeft"/>
            </w:pPr>
            <w:r>
              <w:lastRenderedPageBreak/>
              <w:t>Risk warnings</w:t>
            </w:r>
          </w:p>
        </w:tc>
        <w:tc>
          <w:tcPr>
            <w:tcW w:w="2020" w:type="dxa"/>
          </w:tcPr>
          <w:p w14:paraId="31E7F6B4" w14:textId="77777777" w:rsidR="004A26D9" w:rsidRDefault="004A26D9" w:rsidP="004A26D9">
            <w:pPr>
              <w:pStyle w:val="TableTextLeft"/>
            </w:pPr>
            <w:r>
              <w:t>Provide generic risk warnings to investors.</w:t>
            </w:r>
          </w:p>
        </w:tc>
        <w:tc>
          <w:tcPr>
            <w:tcW w:w="2551" w:type="dxa"/>
          </w:tcPr>
          <w:p w14:paraId="2AF02086" w14:textId="77777777" w:rsidR="004A26D9" w:rsidRDefault="004A26D9" w:rsidP="004A26D9">
            <w:pPr>
              <w:pStyle w:val="TableTextLeft"/>
              <w:rPr>
                <w:highlight w:val="yellow"/>
              </w:rPr>
            </w:pPr>
            <w:r w:rsidRPr="00D961DB">
              <w:t xml:space="preserve">Provide disclosure statements and </w:t>
            </w:r>
            <w:r>
              <w:t xml:space="preserve">generic </w:t>
            </w:r>
            <w:r w:rsidRPr="00D961DB">
              <w:t>risk warnings to investors.</w:t>
            </w:r>
          </w:p>
        </w:tc>
        <w:tc>
          <w:tcPr>
            <w:tcW w:w="2596" w:type="dxa"/>
          </w:tcPr>
          <w:p w14:paraId="591C72F2" w14:textId="77777777" w:rsidR="004A26D9" w:rsidRDefault="004A26D9" w:rsidP="004A26D9">
            <w:pPr>
              <w:pStyle w:val="TableTextLeft"/>
            </w:pPr>
            <w:r>
              <w:t>Provide generic risk warnings to investors.</w:t>
            </w:r>
          </w:p>
        </w:tc>
      </w:tr>
      <w:tr w:rsidR="007227D4" w14:paraId="2CADCA65" w14:textId="77777777" w:rsidTr="00165BA8">
        <w:trPr>
          <w:trHeight w:val="262"/>
        </w:trPr>
        <w:tc>
          <w:tcPr>
            <w:tcW w:w="1553" w:type="dxa"/>
          </w:tcPr>
          <w:p w14:paraId="4B7B6C89" w14:textId="77777777" w:rsidR="007227D4" w:rsidRDefault="007227D4" w:rsidP="007227D4">
            <w:pPr>
              <w:pStyle w:val="TableTextLeft"/>
            </w:pPr>
            <w:r>
              <w:t>Fee structures</w:t>
            </w:r>
          </w:p>
        </w:tc>
        <w:tc>
          <w:tcPr>
            <w:tcW w:w="2020" w:type="dxa"/>
          </w:tcPr>
          <w:p w14:paraId="58FFA194" w14:textId="77777777" w:rsidR="007227D4" w:rsidRDefault="007227D4" w:rsidP="007227D4">
            <w:pPr>
              <w:pStyle w:val="TableTextLeft"/>
            </w:pPr>
            <w:r>
              <w:t>Prohibited from being renumerated according to the amount of funds raised by the issuer, or in the securities or other interest of the issuer.</w:t>
            </w:r>
          </w:p>
        </w:tc>
        <w:tc>
          <w:tcPr>
            <w:tcW w:w="2551" w:type="dxa"/>
          </w:tcPr>
          <w:p w14:paraId="61E6947D" w14:textId="77777777" w:rsidR="007227D4" w:rsidRPr="00D961DB" w:rsidRDefault="007227D4" w:rsidP="007227D4">
            <w:pPr>
              <w:pStyle w:val="TableTextLeft"/>
            </w:pPr>
            <w:r w:rsidRPr="00200536">
              <w:t>No rest</w:t>
            </w:r>
            <w:r>
              <w:t xml:space="preserve">rictions on fee structures, although </w:t>
            </w:r>
            <w:r w:rsidRPr="00200536">
              <w:t>fees paid by an issuer must be disclosed.</w:t>
            </w:r>
          </w:p>
        </w:tc>
        <w:tc>
          <w:tcPr>
            <w:tcW w:w="2596" w:type="dxa"/>
          </w:tcPr>
          <w:p w14:paraId="65DB6490" w14:textId="77777777" w:rsidR="007227D4" w:rsidRPr="00200536" w:rsidRDefault="007227D4" w:rsidP="007227D4">
            <w:pPr>
              <w:pStyle w:val="TableTextLeft"/>
            </w:pPr>
            <w:r w:rsidRPr="00200536">
              <w:t>No rest</w:t>
            </w:r>
            <w:r>
              <w:t xml:space="preserve">rictions on fee structures, although </w:t>
            </w:r>
            <w:r w:rsidRPr="00200536">
              <w:t>fees paid by an issuer must be disclosed.</w:t>
            </w:r>
          </w:p>
        </w:tc>
      </w:tr>
      <w:tr w:rsidR="007227D4" w14:paraId="4E4016D1" w14:textId="77777777" w:rsidTr="00165BA8">
        <w:trPr>
          <w:trHeight w:val="262"/>
        </w:trPr>
        <w:tc>
          <w:tcPr>
            <w:tcW w:w="1553" w:type="dxa"/>
          </w:tcPr>
          <w:p w14:paraId="223A559E" w14:textId="77777777" w:rsidR="007227D4" w:rsidRDefault="007227D4" w:rsidP="007227D4">
            <w:pPr>
              <w:pStyle w:val="TableTextLeft"/>
            </w:pPr>
            <w:r>
              <w:t>Interests in issuers</w:t>
            </w:r>
          </w:p>
        </w:tc>
        <w:tc>
          <w:tcPr>
            <w:tcW w:w="2020" w:type="dxa"/>
          </w:tcPr>
          <w:p w14:paraId="32F34878" w14:textId="77777777" w:rsidR="007227D4" w:rsidRDefault="007227D4" w:rsidP="007227D4">
            <w:pPr>
              <w:pStyle w:val="TableTextLeft"/>
            </w:pPr>
            <w:r>
              <w:t>Prohibited from having a financial interest in an issuer using its website.</w:t>
            </w:r>
          </w:p>
        </w:tc>
        <w:tc>
          <w:tcPr>
            <w:tcW w:w="2551" w:type="dxa"/>
          </w:tcPr>
          <w:p w14:paraId="3A2FF4AB" w14:textId="77777777" w:rsidR="007227D4" w:rsidRPr="00D961DB" w:rsidRDefault="007227D4" w:rsidP="007227D4">
            <w:pPr>
              <w:pStyle w:val="TableTextLeft"/>
            </w:pPr>
            <w:r w:rsidRPr="00D961DB">
              <w:t>Permitted to invest in issuers using their platform, although details of any investments must be disclosed.</w:t>
            </w:r>
          </w:p>
        </w:tc>
        <w:tc>
          <w:tcPr>
            <w:tcW w:w="2596" w:type="dxa"/>
          </w:tcPr>
          <w:p w14:paraId="5CCA0C20" w14:textId="77777777" w:rsidR="007227D4" w:rsidRPr="00D961DB" w:rsidRDefault="007227D4" w:rsidP="007227D4">
            <w:pPr>
              <w:pStyle w:val="TableTextLeft"/>
            </w:pPr>
            <w:r w:rsidRPr="00D961DB">
              <w:t xml:space="preserve">Permitted to invest in issuers using their </w:t>
            </w:r>
            <w:r>
              <w:t xml:space="preserve">platform, </w:t>
            </w:r>
            <w:r w:rsidRPr="001E0602">
              <w:t xml:space="preserve">however the intermediary must place strict </w:t>
            </w:r>
            <w:r w:rsidRPr="00794DB5">
              <w:t>controls to</w:t>
            </w:r>
            <w:r w:rsidRPr="001E0602">
              <w:t xml:space="preserve"> prevent the suggestion </w:t>
            </w:r>
            <w:r w:rsidRPr="00794DB5">
              <w:t>or promotion of one issuer over</w:t>
            </w:r>
            <w:r w:rsidRPr="001E0602">
              <w:t xml:space="preserve"> another in the case where an intermediary has invested in the issuer beyond the equity provided as remuneration.</w:t>
            </w:r>
          </w:p>
        </w:tc>
      </w:tr>
      <w:tr w:rsidR="007227D4" w14:paraId="1F6B3083" w14:textId="77777777" w:rsidTr="00165BA8">
        <w:trPr>
          <w:trHeight w:val="262"/>
        </w:trPr>
        <w:tc>
          <w:tcPr>
            <w:tcW w:w="1553" w:type="dxa"/>
          </w:tcPr>
          <w:p w14:paraId="0BB83F0C" w14:textId="77777777" w:rsidR="007227D4" w:rsidRDefault="007227D4" w:rsidP="007227D4">
            <w:pPr>
              <w:pStyle w:val="TableTextLeft"/>
            </w:pPr>
            <w:r>
              <w:t>Provision of investment advice to investors</w:t>
            </w:r>
          </w:p>
        </w:tc>
        <w:tc>
          <w:tcPr>
            <w:tcW w:w="2020" w:type="dxa"/>
          </w:tcPr>
          <w:p w14:paraId="36577126" w14:textId="77777777" w:rsidR="007227D4" w:rsidRDefault="007227D4" w:rsidP="007227D4">
            <w:pPr>
              <w:pStyle w:val="TableTextLeft"/>
            </w:pPr>
            <w:r>
              <w:t>Prohibited.</w:t>
            </w:r>
          </w:p>
        </w:tc>
        <w:tc>
          <w:tcPr>
            <w:tcW w:w="2551" w:type="dxa"/>
          </w:tcPr>
          <w:p w14:paraId="539C84B6" w14:textId="77777777" w:rsidR="007227D4" w:rsidRPr="00A43354" w:rsidRDefault="007227D4" w:rsidP="007227D4">
            <w:pPr>
              <w:pStyle w:val="TableTextLeft"/>
            </w:pPr>
            <w:r w:rsidRPr="00A43354">
              <w:t>Not specified</w:t>
            </w:r>
            <w:r>
              <w:t xml:space="preserve"> in legislation</w:t>
            </w:r>
            <w:r w:rsidRPr="00A43354">
              <w:t>.</w:t>
            </w:r>
          </w:p>
        </w:tc>
        <w:tc>
          <w:tcPr>
            <w:tcW w:w="2596" w:type="dxa"/>
          </w:tcPr>
          <w:p w14:paraId="369C2604" w14:textId="77777777" w:rsidR="007227D4" w:rsidRPr="00A43354" w:rsidRDefault="007227D4" w:rsidP="007227D4">
            <w:pPr>
              <w:pStyle w:val="TableTextLeft"/>
            </w:pPr>
            <w:r>
              <w:t>Prohibited.</w:t>
            </w:r>
          </w:p>
        </w:tc>
      </w:tr>
      <w:tr w:rsidR="007227D4" w14:paraId="38605A49" w14:textId="77777777" w:rsidTr="00165BA8">
        <w:trPr>
          <w:trHeight w:val="262"/>
        </w:trPr>
        <w:tc>
          <w:tcPr>
            <w:tcW w:w="1553" w:type="dxa"/>
          </w:tcPr>
          <w:p w14:paraId="6E30C8E2" w14:textId="77777777" w:rsidR="007227D4" w:rsidRDefault="007227D4" w:rsidP="007227D4">
            <w:pPr>
              <w:pStyle w:val="TableTextLeft"/>
            </w:pPr>
            <w:r>
              <w:t>Lending to CSEF investors</w:t>
            </w:r>
          </w:p>
        </w:tc>
        <w:tc>
          <w:tcPr>
            <w:tcW w:w="2020" w:type="dxa"/>
          </w:tcPr>
          <w:p w14:paraId="60978840" w14:textId="77777777" w:rsidR="007227D4" w:rsidRDefault="007227D4" w:rsidP="007227D4">
            <w:pPr>
              <w:pStyle w:val="TableTextLeft"/>
            </w:pPr>
            <w:r>
              <w:t>Prohibited.</w:t>
            </w:r>
          </w:p>
        </w:tc>
        <w:tc>
          <w:tcPr>
            <w:tcW w:w="2551" w:type="dxa"/>
          </w:tcPr>
          <w:p w14:paraId="3052ECB9" w14:textId="77777777" w:rsidR="007227D4" w:rsidRDefault="007227D4" w:rsidP="007227D4">
            <w:pPr>
              <w:pStyle w:val="TableTextLeft"/>
            </w:pPr>
            <w:r w:rsidRPr="00A43354">
              <w:t>Not specified</w:t>
            </w:r>
            <w:r>
              <w:t xml:space="preserve"> in legislation</w:t>
            </w:r>
            <w:r w:rsidRPr="00A43354">
              <w:t>.</w:t>
            </w:r>
          </w:p>
        </w:tc>
        <w:tc>
          <w:tcPr>
            <w:tcW w:w="2596" w:type="dxa"/>
          </w:tcPr>
          <w:p w14:paraId="78503724" w14:textId="77777777" w:rsidR="007227D4" w:rsidRPr="00A43354" w:rsidRDefault="007227D4" w:rsidP="007227D4">
            <w:pPr>
              <w:pStyle w:val="TableTextLeft"/>
            </w:pPr>
            <w:r>
              <w:t>No comment.</w:t>
            </w:r>
          </w:p>
        </w:tc>
      </w:tr>
      <w:tr w:rsidR="007227D4" w14:paraId="5D0CB6AD" w14:textId="77777777" w:rsidTr="00165BA8">
        <w:trPr>
          <w:trHeight w:val="262"/>
        </w:trPr>
        <w:tc>
          <w:tcPr>
            <w:tcW w:w="6124" w:type="dxa"/>
            <w:gridSpan w:val="3"/>
            <w:shd w:val="clear" w:color="auto" w:fill="F2F2F2" w:themeFill="background1" w:themeFillShade="F2"/>
          </w:tcPr>
          <w:p w14:paraId="6374863F" w14:textId="77777777" w:rsidR="007227D4" w:rsidRPr="00D961DB" w:rsidRDefault="007227D4" w:rsidP="007227D4">
            <w:pPr>
              <w:pStyle w:val="TableColumnHeadingLeft"/>
            </w:pPr>
            <w:r>
              <w:t>Investors</w:t>
            </w:r>
          </w:p>
        </w:tc>
        <w:tc>
          <w:tcPr>
            <w:tcW w:w="2596" w:type="dxa"/>
            <w:shd w:val="clear" w:color="auto" w:fill="F2F2F2" w:themeFill="background1" w:themeFillShade="F2"/>
          </w:tcPr>
          <w:p w14:paraId="084F1607" w14:textId="77777777" w:rsidR="007227D4" w:rsidRDefault="007227D4" w:rsidP="007227D4">
            <w:pPr>
              <w:pStyle w:val="TableColumnHeadingLeft"/>
            </w:pPr>
          </w:p>
        </w:tc>
      </w:tr>
      <w:tr w:rsidR="007227D4" w14:paraId="12F3EECE" w14:textId="77777777" w:rsidTr="00165BA8">
        <w:trPr>
          <w:trHeight w:val="262"/>
        </w:trPr>
        <w:tc>
          <w:tcPr>
            <w:tcW w:w="1553" w:type="dxa"/>
          </w:tcPr>
          <w:p w14:paraId="4BC8E429" w14:textId="77777777" w:rsidR="007227D4" w:rsidRDefault="007227D4" w:rsidP="007227D4">
            <w:pPr>
              <w:pStyle w:val="TableTextLeft"/>
            </w:pPr>
            <w:r>
              <w:t>Investment caps</w:t>
            </w:r>
          </w:p>
        </w:tc>
        <w:tc>
          <w:tcPr>
            <w:tcW w:w="2020" w:type="dxa"/>
          </w:tcPr>
          <w:p w14:paraId="74E5E683" w14:textId="77777777" w:rsidR="007227D4" w:rsidRDefault="007227D4" w:rsidP="007227D4">
            <w:pPr>
              <w:pStyle w:val="TableTextLeft"/>
            </w:pPr>
            <w:r>
              <w:t>$2,500 per issuer per 12-month period and $10,000 in total CSEF investment per 12</w:t>
            </w:r>
            <w:r>
              <w:noBreakHyphen/>
              <w:t>month period.</w:t>
            </w:r>
          </w:p>
        </w:tc>
        <w:tc>
          <w:tcPr>
            <w:tcW w:w="2551" w:type="dxa"/>
          </w:tcPr>
          <w:p w14:paraId="32C925D4" w14:textId="77777777" w:rsidR="007227D4" w:rsidRDefault="007227D4" w:rsidP="007227D4">
            <w:pPr>
              <w:pStyle w:val="TableTextLeft"/>
              <w:rPr>
                <w:highlight w:val="yellow"/>
              </w:rPr>
            </w:pPr>
            <w:r w:rsidRPr="00D961DB">
              <w:t>Voluntary investor caps, with the level of disclosure dependent upon the level of any voluntary caps and the amount of funds the issuer is seeking to raise.</w:t>
            </w:r>
          </w:p>
        </w:tc>
        <w:tc>
          <w:tcPr>
            <w:tcW w:w="2596" w:type="dxa"/>
          </w:tcPr>
          <w:p w14:paraId="69BD019E" w14:textId="77777777" w:rsidR="007227D4" w:rsidRPr="005A2FA0" w:rsidRDefault="006B0BCF" w:rsidP="007227D4">
            <w:pPr>
              <w:pStyle w:val="TableTextLeft"/>
              <w:rPr>
                <w:rFonts w:cs="Segoe UI Light"/>
                <w:szCs w:val="16"/>
              </w:rPr>
            </w:pPr>
            <w:r>
              <w:t>$2,500 per issuer per 12-month period and $10,000 in total CSEF investment per 12</w:t>
            </w:r>
            <w:r>
              <w:noBreakHyphen/>
              <w:t>month period with hybrid model incorporating US and/or New Zealand features</w:t>
            </w:r>
            <w:r w:rsidR="007227D4" w:rsidRPr="005A2FA0">
              <w:rPr>
                <w:rFonts w:cs="Segoe UI Light"/>
                <w:szCs w:val="16"/>
              </w:rPr>
              <w:t xml:space="preserve">.  </w:t>
            </w:r>
          </w:p>
        </w:tc>
      </w:tr>
      <w:tr w:rsidR="007227D4" w14:paraId="038EC729" w14:textId="77777777" w:rsidTr="00165BA8">
        <w:trPr>
          <w:trHeight w:val="262"/>
        </w:trPr>
        <w:tc>
          <w:tcPr>
            <w:tcW w:w="1553" w:type="dxa"/>
          </w:tcPr>
          <w:p w14:paraId="331D1799" w14:textId="77777777" w:rsidR="007227D4" w:rsidRDefault="007227D4" w:rsidP="007227D4">
            <w:pPr>
              <w:pStyle w:val="TableTextLeft"/>
            </w:pPr>
            <w:r>
              <w:t xml:space="preserve">Risk acknowledgement </w:t>
            </w:r>
          </w:p>
        </w:tc>
        <w:tc>
          <w:tcPr>
            <w:tcW w:w="2020" w:type="dxa"/>
          </w:tcPr>
          <w:p w14:paraId="7E1F1C59" w14:textId="77777777" w:rsidR="007227D4" w:rsidRDefault="007227D4" w:rsidP="007227D4">
            <w:pPr>
              <w:pStyle w:val="TableTextLeft"/>
            </w:pPr>
            <w:r>
              <w:t>Signature of risk acknowledgement statements prior to investment.</w:t>
            </w:r>
          </w:p>
        </w:tc>
        <w:tc>
          <w:tcPr>
            <w:tcW w:w="2551" w:type="dxa"/>
          </w:tcPr>
          <w:p w14:paraId="0A8F8563" w14:textId="77777777" w:rsidR="007227D4" w:rsidRDefault="007227D4" w:rsidP="007227D4">
            <w:pPr>
              <w:pStyle w:val="TableTextLeft"/>
              <w:rPr>
                <w:highlight w:val="yellow"/>
              </w:rPr>
            </w:pPr>
            <w:r>
              <w:t>Signature of risk acknowledgement statements prior to investment.</w:t>
            </w:r>
          </w:p>
        </w:tc>
        <w:tc>
          <w:tcPr>
            <w:tcW w:w="2596" w:type="dxa"/>
          </w:tcPr>
          <w:p w14:paraId="3EFCCE9A" w14:textId="77777777" w:rsidR="007227D4" w:rsidRPr="00A43354" w:rsidRDefault="007227D4" w:rsidP="007227D4">
            <w:pPr>
              <w:pStyle w:val="TableTextLeft"/>
            </w:pPr>
            <w:r>
              <w:t>Signature of risk acknowledgement statements prior to investment.</w:t>
            </w:r>
          </w:p>
        </w:tc>
      </w:tr>
    </w:tbl>
    <w:p w14:paraId="177B21E0" w14:textId="77777777" w:rsidR="00DD4FD9" w:rsidRDefault="00DD4FD9" w:rsidP="00DD4FD9">
      <w:pPr>
        <w:jc w:val="both"/>
        <w:rPr>
          <w:rFonts w:ascii="Segoe UI Light" w:hAnsi="Segoe UI Light" w:cs="Segoe UI Light"/>
          <w:sz w:val="26"/>
          <w:szCs w:val="26"/>
        </w:rPr>
      </w:pPr>
    </w:p>
    <w:p w14:paraId="69CF47C5" w14:textId="77777777" w:rsidR="00DD4FD9" w:rsidRDefault="00DD4FD9" w:rsidP="00DD4FD9"/>
    <w:p w14:paraId="50012FA6" w14:textId="77777777" w:rsidR="00F237E9" w:rsidRDefault="00F237E9" w:rsidP="00D66499">
      <w:pPr>
        <w:jc w:val="both"/>
        <w:rPr>
          <w:rFonts w:ascii="Segoe UI Light" w:hAnsi="Segoe UI Light" w:cs="Segoe UI Light"/>
          <w:sz w:val="26"/>
          <w:szCs w:val="26"/>
        </w:rPr>
      </w:pPr>
    </w:p>
    <w:p w14:paraId="588DE066" w14:textId="77777777" w:rsidR="00B7246D" w:rsidRDefault="00B7246D" w:rsidP="00D66499">
      <w:pPr>
        <w:jc w:val="both"/>
        <w:rPr>
          <w:rFonts w:ascii="Segoe UI Light" w:hAnsi="Segoe UI Light" w:cs="Segoe UI Light"/>
          <w:sz w:val="26"/>
          <w:szCs w:val="26"/>
        </w:rPr>
      </w:pPr>
    </w:p>
    <w:p w14:paraId="55E694E0" w14:textId="77777777" w:rsidR="00B7246D" w:rsidRPr="005E2BE9" w:rsidRDefault="00B7246D" w:rsidP="00D66499">
      <w:pPr>
        <w:jc w:val="both"/>
        <w:rPr>
          <w:rFonts w:ascii="Segoe UI Light" w:hAnsi="Segoe UI Light" w:cs="Segoe UI Light"/>
          <w:sz w:val="26"/>
          <w:szCs w:val="26"/>
        </w:rPr>
      </w:pPr>
    </w:p>
    <w:sectPr w:rsidR="00B7246D" w:rsidRPr="005E2BE9" w:rsidSect="00391FAA">
      <w:headerReference w:type="default" r:id="rId16"/>
      <w:footerReference w:type="default" r:id="rId17"/>
      <w:pgSz w:w="11906" w:h="16838"/>
      <w:pgMar w:top="1440" w:right="1440" w:bottom="1440" w:left="1440" w:header="0"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AE897" w14:textId="77777777" w:rsidR="00A670BA" w:rsidRDefault="00A670BA" w:rsidP="00391FAA">
      <w:pPr>
        <w:spacing w:after="0" w:line="240" w:lineRule="auto"/>
      </w:pPr>
      <w:r>
        <w:separator/>
      </w:r>
    </w:p>
  </w:endnote>
  <w:endnote w:type="continuationSeparator" w:id="0">
    <w:p w14:paraId="6E46A997" w14:textId="77777777" w:rsidR="00A670BA" w:rsidRDefault="00A670BA" w:rsidP="00391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Light">
    <w:panose1 w:val="020B0502040204020203"/>
    <w:charset w:val="00"/>
    <w:family w:val="swiss"/>
    <w:pitch w:val="variable"/>
    <w:sig w:usb0="E00002FF" w:usb1="4000A47B"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541238"/>
      <w:docPartObj>
        <w:docPartGallery w:val="Page Numbers (Bottom of Page)"/>
        <w:docPartUnique/>
      </w:docPartObj>
    </w:sdtPr>
    <w:sdtEndPr>
      <w:rPr>
        <w:noProof/>
      </w:rPr>
    </w:sdtEndPr>
    <w:sdtContent>
      <w:p w14:paraId="217B8D71" w14:textId="77777777" w:rsidR="00391FAA" w:rsidRDefault="00391FAA">
        <w:pPr>
          <w:pStyle w:val="Footer"/>
          <w:jc w:val="right"/>
        </w:pPr>
        <w:r>
          <w:fldChar w:fldCharType="begin"/>
        </w:r>
        <w:r>
          <w:instrText xml:space="preserve"> PAGE   \* MERGEFORMAT </w:instrText>
        </w:r>
        <w:r>
          <w:fldChar w:fldCharType="separate"/>
        </w:r>
        <w:r w:rsidR="00A02D1B">
          <w:rPr>
            <w:noProof/>
          </w:rPr>
          <w:t>2</w:t>
        </w:r>
        <w:r>
          <w:rPr>
            <w:noProof/>
          </w:rPr>
          <w:fldChar w:fldCharType="end"/>
        </w:r>
      </w:p>
    </w:sdtContent>
  </w:sdt>
  <w:p w14:paraId="1BEDEC9D" w14:textId="77777777" w:rsidR="00391FAA" w:rsidRDefault="00391F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8088E" w14:textId="77777777" w:rsidR="00A670BA" w:rsidRDefault="00A670BA" w:rsidP="00391FAA">
      <w:pPr>
        <w:spacing w:after="0" w:line="240" w:lineRule="auto"/>
      </w:pPr>
      <w:r>
        <w:separator/>
      </w:r>
    </w:p>
  </w:footnote>
  <w:footnote w:type="continuationSeparator" w:id="0">
    <w:p w14:paraId="066FB2BD" w14:textId="77777777" w:rsidR="00A670BA" w:rsidRDefault="00A670BA" w:rsidP="00391FAA">
      <w:pPr>
        <w:spacing w:after="0" w:line="240" w:lineRule="auto"/>
      </w:pPr>
      <w:r>
        <w:continuationSeparator/>
      </w:r>
    </w:p>
  </w:footnote>
  <w:footnote w:id="1">
    <w:p w14:paraId="5D9D02A8" w14:textId="77777777" w:rsidR="00FD1C52" w:rsidRDefault="00FD1C52">
      <w:pPr>
        <w:pStyle w:val="FootnoteText"/>
      </w:pPr>
      <w:r>
        <w:rPr>
          <w:rStyle w:val="FootnoteReference"/>
        </w:rPr>
        <w:footnoteRef/>
      </w:r>
      <w:r>
        <w:t xml:space="preserve"> Headings </w:t>
      </w:r>
      <w:r w:rsidR="009E2394">
        <w:t xml:space="preserve">as per </w:t>
      </w:r>
      <w:r w:rsidR="00822D56">
        <w:t>Treasury D</w:t>
      </w:r>
      <w:r w:rsidR="009E2394">
        <w:t xml:space="preserve">iscussion </w:t>
      </w:r>
      <w:r w:rsidR="00822D56">
        <w:t>P</w:t>
      </w:r>
      <w:r w:rsidR="009E2394">
        <w:t>aper</w:t>
      </w:r>
      <w:r w:rsidR="00822D56">
        <w:t xml:space="preserve"> with relevant </w:t>
      </w:r>
      <w:r>
        <w:t xml:space="preserve">questions addressed therein. </w:t>
      </w:r>
    </w:p>
  </w:footnote>
  <w:footnote w:id="2">
    <w:p w14:paraId="6B7BC3F1" w14:textId="77777777" w:rsidR="001653E2" w:rsidRDefault="001653E2">
      <w:pPr>
        <w:pStyle w:val="FootnoteText"/>
      </w:pPr>
      <w:r>
        <w:rPr>
          <w:rStyle w:val="FootnoteReference"/>
        </w:rPr>
        <w:footnoteRef/>
      </w:r>
      <w:r>
        <w:t xml:space="preserve"> Section 708(1) of the Corporations Act 2001 (Commonwealth)</w:t>
      </w:r>
    </w:p>
  </w:footnote>
  <w:footnote w:id="3">
    <w:p w14:paraId="0618D763" w14:textId="77777777" w:rsidR="00A146E8" w:rsidRDefault="00A146E8">
      <w:pPr>
        <w:pStyle w:val="FootnoteText"/>
      </w:pPr>
      <w:r>
        <w:rPr>
          <w:rStyle w:val="FootnoteReference"/>
        </w:rPr>
        <w:footnoteRef/>
      </w:r>
      <w:r>
        <w:t xml:space="preserve"> </w:t>
      </w:r>
      <w:r w:rsidRPr="00A146E8">
        <w:t>Section 708(1) of the Corporations Act 2001 (Commonwealth)</w:t>
      </w:r>
    </w:p>
  </w:footnote>
  <w:footnote w:id="4">
    <w:p w14:paraId="020B948F" w14:textId="77777777" w:rsidR="009C64E2" w:rsidRDefault="009C64E2">
      <w:pPr>
        <w:pStyle w:val="FootnoteText"/>
      </w:pPr>
      <w:r>
        <w:rPr>
          <w:rStyle w:val="FootnoteReference"/>
        </w:rPr>
        <w:footnoteRef/>
      </w:r>
      <w:r>
        <w:t xml:space="preserve"> </w:t>
      </w:r>
      <w:r w:rsidRPr="009C64E2">
        <w:t>http://asic.gov.au/for-business/your-business/small-business/small-business-overview/small-business-what-is-small-business/</w:t>
      </w:r>
    </w:p>
  </w:footnote>
  <w:footnote w:id="5">
    <w:p w14:paraId="114EF025" w14:textId="77777777" w:rsidR="009C64E2" w:rsidRDefault="009C64E2">
      <w:pPr>
        <w:pStyle w:val="FootnoteText"/>
      </w:pPr>
      <w:r>
        <w:rPr>
          <w:rStyle w:val="FootnoteReference"/>
        </w:rPr>
        <w:footnoteRef/>
      </w:r>
      <w:r>
        <w:t xml:space="preserve"> Ibid.</w:t>
      </w:r>
    </w:p>
  </w:footnote>
  <w:footnote w:id="6">
    <w:p w14:paraId="1C5F65C8" w14:textId="77777777" w:rsidR="00EB2A78" w:rsidRDefault="00EB2A78">
      <w:pPr>
        <w:pStyle w:val="FootnoteText"/>
      </w:pPr>
      <w:r>
        <w:rPr>
          <w:rStyle w:val="FootnoteReference"/>
        </w:rPr>
        <w:footnoteRef/>
      </w:r>
      <w:r>
        <w:t xml:space="preserve"> </w:t>
      </w:r>
      <w:r w:rsidRPr="00EB2A78">
        <w:t>http://www.alchemyequities.com.au/content/equities/ASSOB</w:t>
      </w:r>
    </w:p>
  </w:footnote>
  <w:footnote w:id="7">
    <w:p w14:paraId="12D065D4" w14:textId="77777777" w:rsidR="00440B9A" w:rsidRDefault="00440B9A">
      <w:pPr>
        <w:pStyle w:val="FootnoteText"/>
      </w:pPr>
      <w:r>
        <w:rPr>
          <w:rStyle w:val="FootnoteReference"/>
        </w:rPr>
        <w:footnoteRef/>
      </w:r>
      <w:r>
        <w:t xml:space="preserve"> Ibid.</w:t>
      </w:r>
    </w:p>
  </w:footnote>
  <w:footnote w:id="8">
    <w:p w14:paraId="5FDF2405" w14:textId="77777777" w:rsidR="00967AFF" w:rsidRDefault="003856FA">
      <w:pPr>
        <w:pStyle w:val="FootnoteText"/>
      </w:pPr>
      <w:r>
        <w:rPr>
          <w:rStyle w:val="FootnoteReference"/>
        </w:rPr>
        <w:footnoteRef/>
      </w:r>
      <w:r>
        <w:t xml:space="preserve"> </w:t>
      </w:r>
      <w:r w:rsidR="00967AFF" w:rsidRPr="00967AFF">
        <w:t>http://www.startupsmart.com.au/growth/the-australian-tech-start-up-brain-drain-why-are-our-founders-heading-overseas/2014021811714.html</w:t>
      </w:r>
    </w:p>
  </w:footnote>
  <w:footnote w:id="9">
    <w:p w14:paraId="0E75C1E4" w14:textId="77777777" w:rsidR="00BC3408" w:rsidRDefault="00BC3408">
      <w:pPr>
        <w:pStyle w:val="FootnoteText"/>
      </w:pPr>
      <w:r>
        <w:rPr>
          <w:rStyle w:val="FootnoteReference"/>
        </w:rPr>
        <w:footnoteRef/>
      </w:r>
      <w:r w:rsidR="0097034F">
        <w:t xml:space="preserve"> </w:t>
      </w:r>
      <w:r w:rsidR="0097034F" w:rsidRPr="0097034F">
        <w:t>http://thenewdaily.com.au/money/2014/12/02/peer-to-peer-invest/</w:t>
      </w:r>
    </w:p>
  </w:footnote>
  <w:footnote w:id="10">
    <w:p w14:paraId="569BF4C9" w14:textId="77777777" w:rsidR="001E0602" w:rsidRDefault="001E0602">
      <w:pPr>
        <w:pStyle w:val="FootnoteText"/>
      </w:pPr>
      <w:r>
        <w:rPr>
          <w:rStyle w:val="FootnoteReference"/>
        </w:rPr>
        <w:footnoteRef/>
      </w:r>
      <w:r>
        <w:t xml:space="preserve"> Table 1: Key elements of the CAMAC and New Zealand models, Crowd-sourced Equity Funding, Discussion Paper, December 2014. Table per discussion paper with modification to include </w:t>
      </w:r>
      <w:proofErr w:type="spellStart"/>
      <w:r>
        <w:rPr>
          <w:b/>
          <w:i/>
        </w:rPr>
        <w:t>incubatr</w:t>
      </w:r>
      <w:proofErr w:type="spellEnd"/>
      <w:r>
        <w:t xml:space="preserve"> recommendations.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AD045" w14:textId="77777777" w:rsidR="00391FAA" w:rsidRDefault="00391FAA" w:rsidP="00EC1864">
    <w:pPr>
      <w:pStyle w:val="Header"/>
    </w:pPr>
    <w:r>
      <w:rPr>
        <w:noProof/>
        <w:sz w:val="72"/>
        <w:lang w:eastAsia="en-AU"/>
      </w:rPr>
      <w:drawing>
        <wp:inline distT="0" distB="0" distL="0" distR="0" wp14:anchorId="69906B77" wp14:editId="6477A90B">
          <wp:extent cx="1200150" cy="26041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g"/>
                  <pic:cNvPicPr/>
                </pic:nvPicPr>
                <pic:blipFill>
                  <a:blip r:embed="rId1">
                    <a:extLst>
                      <a:ext uri="{28A0092B-C50C-407E-A947-70E740481C1C}">
                        <a14:useLocalDpi xmlns:a14="http://schemas.microsoft.com/office/drawing/2010/main" val="0"/>
                      </a:ext>
                    </a:extLst>
                  </a:blip>
                  <a:stretch>
                    <a:fillRect/>
                  </a:stretch>
                </pic:blipFill>
                <pic:spPr>
                  <a:xfrm>
                    <a:off x="0" y="0"/>
                    <a:ext cx="1257150" cy="272778"/>
                  </a:xfrm>
                  <a:prstGeom prst="rect">
                    <a:avLst/>
                  </a:prstGeom>
                </pic:spPr>
              </pic:pic>
            </a:graphicData>
          </a:graphic>
        </wp:inline>
      </w:drawing>
    </w:r>
  </w:p>
  <w:p w14:paraId="3204A7F5" w14:textId="77777777" w:rsidR="00391FAA" w:rsidRDefault="00391F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A25C4"/>
    <w:multiLevelType w:val="hybridMultilevel"/>
    <w:tmpl w:val="41746EE0"/>
    <w:lvl w:ilvl="0" w:tplc="2EF4D600">
      <w:numFmt w:val="bullet"/>
      <w:lvlText w:val=""/>
      <w:lvlJc w:val="left"/>
      <w:pPr>
        <w:ind w:left="720" w:hanging="360"/>
      </w:pPr>
      <w:rPr>
        <w:rFonts w:ascii="Symbol" w:eastAsiaTheme="minorHAnsi" w:hAnsi="Symbol" w:cs="Segoe U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33F"/>
    <w:rsid w:val="00002A03"/>
    <w:rsid w:val="000067DA"/>
    <w:rsid w:val="00012123"/>
    <w:rsid w:val="00017372"/>
    <w:rsid w:val="00030914"/>
    <w:rsid w:val="00031A13"/>
    <w:rsid w:val="00035F53"/>
    <w:rsid w:val="00040D9B"/>
    <w:rsid w:val="00055A98"/>
    <w:rsid w:val="00056D26"/>
    <w:rsid w:val="00065EE6"/>
    <w:rsid w:val="00066D9C"/>
    <w:rsid w:val="000738D4"/>
    <w:rsid w:val="00077571"/>
    <w:rsid w:val="00081A7E"/>
    <w:rsid w:val="0008388B"/>
    <w:rsid w:val="000846F3"/>
    <w:rsid w:val="00090A81"/>
    <w:rsid w:val="00090DB9"/>
    <w:rsid w:val="00093D91"/>
    <w:rsid w:val="00096C48"/>
    <w:rsid w:val="00097807"/>
    <w:rsid w:val="000A6CB0"/>
    <w:rsid w:val="000A79FB"/>
    <w:rsid w:val="000D0876"/>
    <w:rsid w:val="000D37A7"/>
    <w:rsid w:val="000F06BB"/>
    <w:rsid w:val="000F583E"/>
    <w:rsid w:val="001001B1"/>
    <w:rsid w:val="00106A44"/>
    <w:rsid w:val="00115886"/>
    <w:rsid w:val="00121DDE"/>
    <w:rsid w:val="00125DAD"/>
    <w:rsid w:val="001312E3"/>
    <w:rsid w:val="00133460"/>
    <w:rsid w:val="00133D4B"/>
    <w:rsid w:val="00143634"/>
    <w:rsid w:val="001457B7"/>
    <w:rsid w:val="001524FD"/>
    <w:rsid w:val="00153C35"/>
    <w:rsid w:val="001653E2"/>
    <w:rsid w:val="00166CFF"/>
    <w:rsid w:val="00167AD8"/>
    <w:rsid w:val="00167E73"/>
    <w:rsid w:val="00170080"/>
    <w:rsid w:val="00171FCB"/>
    <w:rsid w:val="00181B8F"/>
    <w:rsid w:val="001A1DAA"/>
    <w:rsid w:val="001A1E8F"/>
    <w:rsid w:val="001B00F5"/>
    <w:rsid w:val="001B1BA7"/>
    <w:rsid w:val="001B246B"/>
    <w:rsid w:val="001B5DEF"/>
    <w:rsid w:val="001B67D8"/>
    <w:rsid w:val="001B70C7"/>
    <w:rsid w:val="001D1899"/>
    <w:rsid w:val="001D32F2"/>
    <w:rsid w:val="001E0602"/>
    <w:rsid w:val="001E5143"/>
    <w:rsid w:val="00204593"/>
    <w:rsid w:val="00205385"/>
    <w:rsid w:val="002059C2"/>
    <w:rsid w:val="0020694C"/>
    <w:rsid w:val="00221134"/>
    <w:rsid w:val="002212B4"/>
    <w:rsid w:val="00223A6F"/>
    <w:rsid w:val="002251B1"/>
    <w:rsid w:val="00234112"/>
    <w:rsid w:val="002401AA"/>
    <w:rsid w:val="00241895"/>
    <w:rsid w:val="00245972"/>
    <w:rsid w:val="002522EB"/>
    <w:rsid w:val="00254323"/>
    <w:rsid w:val="00257A16"/>
    <w:rsid w:val="002657EF"/>
    <w:rsid w:val="00265B7F"/>
    <w:rsid w:val="002779AD"/>
    <w:rsid w:val="00285616"/>
    <w:rsid w:val="0028598E"/>
    <w:rsid w:val="002866E1"/>
    <w:rsid w:val="00291035"/>
    <w:rsid w:val="002B6FA8"/>
    <w:rsid w:val="002B71B7"/>
    <w:rsid w:val="002B7A86"/>
    <w:rsid w:val="002C172D"/>
    <w:rsid w:val="002C2C84"/>
    <w:rsid w:val="002E1C61"/>
    <w:rsid w:val="002E7672"/>
    <w:rsid w:val="002F17FC"/>
    <w:rsid w:val="002F1E75"/>
    <w:rsid w:val="002F2715"/>
    <w:rsid w:val="002F290C"/>
    <w:rsid w:val="002F7080"/>
    <w:rsid w:val="00302023"/>
    <w:rsid w:val="00306BA3"/>
    <w:rsid w:val="00312229"/>
    <w:rsid w:val="003149BD"/>
    <w:rsid w:val="0031583A"/>
    <w:rsid w:val="00327EA3"/>
    <w:rsid w:val="003333E2"/>
    <w:rsid w:val="00333705"/>
    <w:rsid w:val="00336C7C"/>
    <w:rsid w:val="00341D2A"/>
    <w:rsid w:val="00350039"/>
    <w:rsid w:val="0035053E"/>
    <w:rsid w:val="00355B88"/>
    <w:rsid w:val="00360171"/>
    <w:rsid w:val="003612E5"/>
    <w:rsid w:val="00366CC3"/>
    <w:rsid w:val="00366DC7"/>
    <w:rsid w:val="003727A3"/>
    <w:rsid w:val="003832E2"/>
    <w:rsid w:val="00383A48"/>
    <w:rsid w:val="00384652"/>
    <w:rsid w:val="003856FA"/>
    <w:rsid w:val="003910AE"/>
    <w:rsid w:val="00391FAA"/>
    <w:rsid w:val="00394C0E"/>
    <w:rsid w:val="003A39A1"/>
    <w:rsid w:val="003A5218"/>
    <w:rsid w:val="003B7C6C"/>
    <w:rsid w:val="003C2114"/>
    <w:rsid w:val="003C343F"/>
    <w:rsid w:val="003D494E"/>
    <w:rsid w:val="003D4A6C"/>
    <w:rsid w:val="003D6559"/>
    <w:rsid w:val="003D6B74"/>
    <w:rsid w:val="003E2A57"/>
    <w:rsid w:val="003E5EA7"/>
    <w:rsid w:val="003E7EAD"/>
    <w:rsid w:val="003F2EF0"/>
    <w:rsid w:val="00407925"/>
    <w:rsid w:val="00416B3D"/>
    <w:rsid w:val="0041718D"/>
    <w:rsid w:val="0042457A"/>
    <w:rsid w:val="00433E8C"/>
    <w:rsid w:val="00440B9A"/>
    <w:rsid w:val="00445247"/>
    <w:rsid w:val="00457915"/>
    <w:rsid w:val="00461D51"/>
    <w:rsid w:val="00463FB2"/>
    <w:rsid w:val="00480A42"/>
    <w:rsid w:val="00484DFA"/>
    <w:rsid w:val="0049297F"/>
    <w:rsid w:val="00497121"/>
    <w:rsid w:val="004A26D9"/>
    <w:rsid w:val="004B1B7E"/>
    <w:rsid w:val="004C2E9B"/>
    <w:rsid w:val="004D7F09"/>
    <w:rsid w:val="004E50F2"/>
    <w:rsid w:val="004E7BC6"/>
    <w:rsid w:val="004F6F9C"/>
    <w:rsid w:val="0050152B"/>
    <w:rsid w:val="00504BC2"/>
    <w:rsid w:val="005053E3"/>
    <w:rsid w:val="005172DA"/>
    <w:rsid w:val="00520D8A"/>
    <w:rsid w:val="005221B7"/>
    <w:rsid w:val="00523CFA"/>
    <w:rsid w:val="00527324"/>
    <w:rsid w:val="0053082D"/>
    <w:rsid w:val="00531EE4"/>
    <w:rsid w:val="0056039E"/>
    <w:rsid w:val="00563E99"/>
    <w:rsid w:val="00573157"/>
    <w:rsid w:val="00577DE4"/>
    <w:rsid w:val="005A27E1"/>
    <w:rsid w:val="005A56B0"/>
    <w:rsid w:val="005B1105"/>
    <w:rsid w:val="005B6B22"/>
    <w:rsid w:val="005C169D"/>
    <w:rsid w:val="005D12B4"/>
    <w:rsid w:val="005D20F7"/>
    <w:rsid w:val="005D2505"/>
    <w:rsid w:val="005E2BE9"/>
    <w:rsid w:val="005E7BD6"/>
    <w:rsid w:val="00605339"/>
    <w:rsid w:val="00614C11"/>
    <w:rsid w:val="006202D7"/>
    <w:rsid w:val="00623E9A"/>
    <w:rsid w:val="00625B4A"/>
    <w:rsid w:val="00630458"/>
    <w:rsid w:val="00634247"/>
    <w:rsid w:val="00635383"/>
    <w:rsid w:val="006356D3"/>
    <w:rsid w:val="0063627C"/>
    <w:rsid w:val="00637035"/>
    <w:rsid w:val="00643980"/>
    <w:rsid w:val="006457DF"/>
    <w:rsid w:val="00654DB3"/>
    <w:rsid w:val="006623B5"/>
    <w:rsid w:val="0066476F"/>
    <w:rsid w:val="00666130"/>
    <w:rsid w:val="006720D6"/>
    <w:rsid w:val="00680CAD"/>
    <w:rsid w:val="006838BE"/>
    <w:rsid w:val="0068725D"/>
    <w:rsid w:val="006874B5"/>
    <w:rsid w:val="006A1B39"/>
    <w:rsid w:val="006A36D5"/>
    <w:rsid w:val="006A5B11"/>
    <w:rsid w:val="006B0BCF"/>
    <w:rsid w:val="006C0A56"/>
    <w:rsid w:val="006C3B5E"/>
    <w:rsid w:val="006C444A"/>
    <w:rsid w:val="006D341E"/>
    <w:rsid w:val="006D3BB7"/>
    <w:rsid w:val="006E304E"/>
    <w:rsid w:val="006F56AF"/>
    <w:rsid w:val="006F594C"/>
    <w:rsid w:val="00712B6B"/>
    <w:rsid w:val="00713441"/>
    <w:rsid w:val="00714B04"/>
    <w:rsid w:val="00720CC9"/>
    <w:rsid w:val="007227D4"/>
    <w:rsid w:val="007303FF"/>
    <w:rsid w:val="0073492C"/>
    <w:rsid w:val="00734E25"/>
    <w:rsid w:val="007630E3"/>
    <w:rsid w:val="00764F74"/>
    <w:rsid w:val="0076786F"/>
    <w:rsid w:val="00771370"/>
    <w:rsid w:val="00772BB6"/>
    <w:rsid w:val="007737A2"/>
    <w:rsid w:val="00774A53"/>
    <w:rsid w:val="00775391"/>
    <w:rsid w:val="00775F8E"/>
    <w:rsid w:val="0078260B"/>
    <w:rsid w:val="0078702A"/>
    <w:rsid w:val="007A172F"/>
    <w:rsid w:val="007B300B"/>
    <w:rsid w:val="007B6C67"/>
    <w:rsid w:val="007D1718"/>
    <w:rsid w:val="007D27C9"/>
    <w:rsid w:val="007E09CD"/>
    <w:rsid w:val="007E3139"/>
    <w:rsid w:val="007F5D89"/>
    <w:rsid w:val="007F618F"/>
    <w:rsid w:val="00801C5A"/>
    <w:rsid w:val="00807D15"/>
    <w:rsid w:val="0081171F"/>
    <w:rsid w:val="00822D56"/>
    <w:rsid w:val="00831FBC"/>
    <w:rsid w:val="0083473E"/>
    <w:rsid w:val="008351F3"/>
    <w:rsid w:val="008415E6"/>
    <w:rsid w:val="00841F2F"/>
    <w:rsid w:val="0084565B"/>
    <w:rsid w:val="00855EBE"/>
    <w:rsid w:val="00860C91"/>
    <w:rsid w:val="008659D9"/>
    <w:rsid w:val="00871C4C"/>
    <w:rsid w:val="008725D9"/>
    <w:rsid w:val="00880B22"/>
    <w:rsid w:val="00884597"/>
    <w:rsid w:val="008902B6"/>
    <w:rsid w:val="00895D6E"/>
    <w:rsid w:val="008A1778"/>
    <w:rsid w:val="008A3A1B"/>
    <w:rsid w:val="008A533F"/>
    <w:rsid w:val="008A7949"/>
    <w:rsid w:val="008B5465"/>
    <w:rsid w:val="008B685B"/>
    <w:rsid w:val="008C733E"/>
    <w:rsid w:val="008C7FB8"/>
    <w:rsid w:val="008D2B33"/>
    <w:rsid w:val="008E6EFB"/>
    <w:rsid w:val="008F6048"/>
    <w:rsid w:val="0090213C"/>
    <w:rsid w:val="00911971"/>
    <w:rsid w:val="00913295"/>
    <w:rsid w:val="009230F5"/>
    <w:rsid w:val="00924680"/>
    <w:rsid w:val="00945887"/>
    <w:rsid w:val="00947074"/>
    <w:rsid w:val="00960BA9"/>
    <w:rsid w:val="00961755"/>
    <w:rsid w:val="009664BA"/>
    <w:rsid w:val="00967AFF"/>
    <w:rsid w:val="0097034F"/>
    <w:rsid w:val="00983971"/>
    <w:rsid w:val="00984361"/>
    <w:rsid w:val="0099580D"/>
    <w:rsid w:val="009B4BFB"/>
    <w:rsid w:val="009C1C35"/>
    <w:rsid w:val="009C64E2"/>
    <w:rsid w:val="009D22B4"/>
    <w:rsid w:val="009D3F6E"/>
    <w:rsid w:val="009D5685"/>
    <w:rsid w:val="009D66A4"/>
    <w:rsid w:val="009D6720"/>
    <w:rsid w:val="009E2394"/>
    <w:rsid w:val="009E3570"/>
    <w:rsid w:val="009F25E4"/>
    <w:rsid w:val="009F4337"/>
    <w:rsid w:val="00A02D1B"/>
    <w:rsid w:val="00A0732D"/>
    <w:rsid w:val="00A10930"/>
    <w:rsid w:val="00A146E8"/>
    <w:rsid w:val="00A214AB"/>
    <w:rsid w:val="00A22A75"/>
    <w:rsid w:val="00A2647A"/>
    <w:rsid w:val="00A31D20"/>
    <w:rsid w:val="00A32139"/>
    <w:rsid w:val="00A47D01"/>
    <w:rsid w:val="00A523AB"/>
    <w:rsid w:val="00A557A9"/>
    <w:rsid w:val="00A55D4D"/>
    <w:rsid w:val="00A55E81"/>
    <w:rsid w:val="00A6050A"/>
    <w:rsid w:val="00A670BA"/>
    <w:rsid w:val="00A677BC"/>
    <w:rsid w:val="00A73CAA"/>
    <w:rsid w:val="00A806B0"/>
    <w:rsid w:val="00A80744"/>
    <w:rsid w:val="00A8419C"/>
    <w:rsid w:val="00A8556E"/>
    <w:rsid w:val="00A906A7"/>
    <w:rsid w:val="00A92064"/>
    <w:rsid w:val="00A92203"/>
    <w:rsid w:val="00A92D84"/>
    <w:rsid w:val="00A93149"/>
    <w:rsid w:val="00A96251"/>
    <w:rsid w:val="00A9751C"/>
    <w:rsid w:val="00AA2C78"/>
    <w:rsid w:val="00AA4FE0"/>
    <w:rsid w:val="00AA5123"/>
    <w:rsid w:val="00AA57D5"/>
    <w:rsid w:val="00AB4445"/>
    <w:rsid w:val="00AB5028"/>
    <w:rsid w:val="00AD77B3"/>
    <w:rsid w:val="00AE5721"/>
    <w:rsid w:val="00AE66A3"/>
    <w:rsid w:val="00AF73D2"/>
    <w:rsid w:val="00AF7AF0"/>
    <w:rsid w:val="00B028AB"/>
    <w:rsid w:val="00B26968"/>
    <w:rsid w:val="00B5525F"/>
    <w:rsid w:val="00B57271"/>
    <w:rsid w:val="00B61000"/>
    <w:rsid w:val="00B61E93"/>
    <w:rsid w:val="00B64266"/>
    <w:rsid w:val="00B71F43"/>
    <w:rsid w:val="00B7246D"/>
    <w:rsid w:val="00B77AB2"/>
    <w:rsid w:val="00B83B4A"/>
    <w:rsid w:val="00B83BA6"/>
    <w:rsid w:val="00B908E7"/>
    <w:rsid w:val="00B92F6E"/>
    <w:rsid w:val="00B95504"/>
    <w:rsid w:val="00BA0169"/>
    <w:rsid w:val="00BA0A41"/>
    <w:rsid w:val="00BB2472"/>
    <w:rsid w:val="00BC2CE6"/>
    <w:rsid w:val="00BC3408"/>
    <w:rsid w:val="00BC34FD"/>
    <w:rsid w:val="00BC3F68"/>
    <w:rsid w:val="00BD503A"/>
    <w:rsid w:val="00BE461F"/>
    <w:rsid w:val="00C1714C"/>
    <w:rsid w:val="00C26BD5"/>
    <w:rsid w:val="00C3092D"/>
    <w:rsid w:val="00C34069"/>
    <w:rsid w:val="00C37B30"/>
    <w:rsid w:val="00C4266A"/>
    <w:rsid w:val="00C44B63"/>
    <w:rsid w:val="00C54ECE"/>
    <w:rsid w:val="00C62DDB"/>
    <w:rsid w:val="00C7745E"/>
    <w:rsid w:val="00C80E43"/>
    <w:rsid w:val="00C82407"/>
    <w:rsid w:val="00C82F27"/>
    <w:rsid w:val="00C85275"/>
    <w:rsid w:val="00C85531"/>
    <w:rsid w:val="00C91B00"/>
    <w:rsid w:val="00C9242E"/>
    <w:rsid w:val="00C94C1D"/>
    <w:rsid w:val="00C9776A"/>
    <w:rsid w:val="00CA1FFC"/>
    <w:rsid w:val="00CA3E39"/>
    <w:rsid w:val="00CB0424"/>
    <w:rsid w:val="00CB3EBA"/>
    <w:rsid w:val="00CE2452"/>
    <w:rsid w:val="00CE51B0"/>
    <w:rsid w:val="00CF251D"/>
    <w:rsid w:val="00CF30D4"/>
    <w:rsid w:val="00D00D1B"/>
    <w:rsid w:val="00D02912"/>
    <w:rsid w:val="00D06159"/>
    <w:rsid w:val="00D112A9"/>
    <w:rsid w:val="00D1739F"/>
    <w:rsid w:val="00D26E75"/>
    <w:rsid w:val="00D3444A"/>
    <w:rsid w:val="00D376B0"/>
    <w:rsid w:val="00D453E7"/>
    <w:rsid w:val="00D61F8B"/>
    <w:rsid w:val="00D66499"/>
    <w:rsid w:val="00D8047F"/>
    <w:rsid w:val="00D8699C"/>
    <w:rsid w:val="00D911CA"/>
    <w:rsid w:val="00D912F9"/>
    <w:rsid w:val="00D9602F"/>
    <w:rsid w:val="00DA0E1C"/>
    <w:rsid w:val="00DA1978"/>
    <w:rsid w:val="00DA4F55"/>
    <w:rsid w:val="00DB031F"/>
    <w:rsid w:val="00DB0AD5"/>
    <w:rsid w:val="00DB2FFB"/>
    <w:rsid w:val="00DB564D"/>
    <w:rsid w:val="00DC04A6"/>
    <w:rsid w:val="00DC0F94"/>
    <w:rsid w:val="00DD41DA"/>
    <w:rsid w:val="00DD4FD9"/>
    <w:rsid w:val="00DE0CBD"/>
    <w:rsid w:val="00DE0D6F"/>
    <w:rsid w:val="00DE43B3"/>
    <w:rsid w:val="00DE647A"/>
    <w:rsid w:val="00DF013D"/>
    <w:rsid w:val="00DF0A3F"/>
    <w:rsid w:val="00DF400C"/>
    <w:rsid w:val="00DF7DA6"/>
    <w:rsid w:val="00E02DBC"/>
    <w:rsid w:val="00E1021A"/>
    <w:rsid w:val="00E21EF9"/>
    <w:rsid w:val="00E23C40"/>
    <w:rsid w:val="00E247AC"/>
    <w:rsid w:val="00E30232"/>
    <w:rsid w:val="00E33830"/>
    <w:rsid w:val="00E35822"/>
    <w:rsid w:val="00E41EA4"/>
    <w:rsid w:val="00E459A1"/>
    <w:rsid w:val="00E472E1"/>
    <w:rsid w:val="00E57A95"/>
    <w:rsid w:val="00E67D77"/>
    <w:rsid w:val="00E775E2"/>
    <w:rsid w:val="00E840EB"/>
    <w:rsid w:val="00E84C03"/>
    <w:rsid w:val="00E87A40"/>
    <w:rsid w:val="00E9091F"/>
    <w:rsid w:val="00E92E87"/>
    <w:rsid w:val="00E952BC"/>
    <w:rsid w:val="00E97B65"/>
    <w:rsid w:val="00EA0B04"/>
    <w:rsid w:val="00EA3D75"/>
    <w:rsid w:val="00EB1F66"/>
    <w:rsid w:val="00EB2A78"/>
    <w:rsid w:val="00EC1864"/>
    <w:rsid w:val="00EC28B7"/>
    <w:rsid w:val="00EC57CF"/>
    <w:rsid w:val="00ED2CA3"/>
    <w:rsid w:val="00ED35CF"/>
    <w:rsid w:val="00EF3D1C"/>
    <w:rsid w:val="00EF5D65"/>
    <w:rsid w:val="00F0136A"/>
    <w:rsid w:val="00F04FDB"/>
    <w:rsid w:val="00F1090E"/>
    <w:rsid w:val="00F12508"/>
    <w:rsid w:val="00F14A9A"/>
    <w:rsid w:val="00F22815"/>
    <w:rsid w:val="00F237E9"/>
    <w:rsid w:val="00F266A0"/>
    <w:rsid w:val="00F40CA2"/>
    <w:rsid w:val="00F44180"/>
    <w:rsid w:val="00F46D23"/>
    <w:rsid w:val="00F47C59"/>
    <w:rsid w:val="00F535B7"/>
    <w:rsid w:val="00F53E75"/>
    <w:rsid w:val="00F56BC0"/>
    <w:rsid w:val="00F608FF"/>
    <w:rsid w:val="00F66710"/>
    <w:rsid w:val="00F70ECF"/>
    <w:rsid w:val="00F7175A"/>
    <w:rsid w:val="00F749B7"/>
    <w:rsid w:val="00F814EE"/>
    <w:rsid w:val="00F9095A"/>
    <w:rsid w:val="00FA0D68"/>
    <w:rsid w:val="00FA7AC1"/>
    <w:rsid w:val="00FB0F83"/>
    <w:rsid w:val="00FB195C"/>
    <w:rsid w:val="00FB3A50"/>
    <w:rsid w:val="00FB4ACC"/>
    <w:rsid w:val="00FC157C"/>
    <w:rsid w:val="00FC4D20"/>
    <w:rsid w:val="00FD144D"/>
    <w:rsid w:val="00FD1C52"/>
    <w:rsid w:val="00FE46FD"/>
    <w:rsid w:val="00FF26CA"/>
    <w:rsid w:val="00FF67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E8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1FAA"/>
    <w:rPr>
      <w:color w:val="0563C1" w:themeColor="hyperlink"/>
      <w:u w:val="single"/>
    </w:rPr>
  </w:style>
  <w:style w:type="paragraph" w:styleId="Header">
    <w:name w:val="header"/>
    <w:basedOn w:val="Normal"/>
    <w:link w:val="HeaderChar"/>
    <w:uiPriority w:val="99"/>
    <w:unhideWhenUsed/>
    <w:rsid w:val="00391F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FAA"/>
  </w:style>
  <w:style w:type="paragraph" w:styleId="Footer">
    <w:name w:val="footer"/>
    <w:basedOn w:val="Normal"/>
    <w:link w:val="FooterChar"/>
    <w:uiPriority w:val="99"/>
    <w:unhideWhenUsed/>
    <w:rsid w:val="00391F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FAA"/>
  </w:style>
  <w:style w:type="paragraph" w:styleId="NoSpacing">
    <w:name w:val="No Spacing"/>
    <w:uiPriority w:val="1"/>
    <w:qFormat/>
    <w:rsid w:val="00E247AC"/>
    <w:pPr>
      <w:spacing w:after="0" w:line="240" w:lineRule="auto"/>
    </w:pPr>
  </w:style>
  <w:style w:type="paragraph" w:customStyle="1" w:styleId="SingleParagraph">
    <w:name w:val="Single Paragraph"/>
    <w:basedOn w:val="Normal"/>
    <w:link w:val="SingleParagraphChar"/>
    <w:rsid w:val="00E952BC"/>
    <w:pPr>
      <w:spacing w:after="0" w:line="280" w:lineRule="exact"/>
      <w:jc w:val="both"/>
    </w:pPr>
    <w:rPr>
      <w:rFonts w:eastAsia="Times New Roman" w:cs="Times New Roman"/>
      <w:color w:val="000000"/>
      <w:szCs w:val="20"/>
      <w:lang w:eastAsia="en-AU"/>
    </w:rPr>
  </w:style>
  <w:style w:type="paragraph" w:customStyle="1" w:styleId="TableColumnHeadingLeft">
    <w:name w:val="Table Column Heading Left"/>
    <w:basedOn w:val="Normal"/>
    <w:rsid w:val="00E952BC"/>
    <w:pPr>
      <w:spacing w:before="60" w:after="60" w:line="240" w:lineRule="auto"/>
      <w:jc w:val="both"/>
    </w:pPr>
    <w:rPr>
      <w:rFonts w:eastAsia="Times New Roman" w:cs="Times New Roman"/>
      <w:b/>
      <w:color w:val="342E82"/>
      <w:sz w:val="19"/>
      <w:szCs w:val="20"/>
      <w:lang w:eastAsia="en-AU"/>
    </w:rPr>
  </w:style>
  <w:style w:type="paragraph" w:customStyle="1" w:styleId="TableMainHeadingContd">
    <w:name w:val="Table Main Heading Contd"/>
    <w:basedOn w:val="Normal"/>
    <w:next w:val="Normal"/>
    <w:rsid w:val="00E952BC"/>
    <w:pPr>
      <w:keepNext/>
      <w:pageBreakBefore/>
      <w:spacing w:after="20" w:line="240" w:lineRule="auto"/>
    </w:pPr>
    <w:rPr>
      <w:rFonts w:ascii="Calibri" w:eastAsia="Times New Roman" w:hAnsi="Calibri" w:cs="Times New Roman"/>
      <w:b/>
      <w:color w:val="342E82"/>
      <w:szCs w:val="20"/>
      <w:lang w:eastAsia="en-AU"/>
    </w:rPr>
  </w:style>
  <w:style w:type="paragraph" w:customStyle="1" w:styleId="TableTextLeft">
    <w:name w:val="Table Text Left"/>
    <w:basedOn w:val="Normal"/>
    <w:rsid w:val="00E952BC"/>
    <w:pPr>
      <w:spacing w:before="40" w:after="40" w:line="240" w:lineRule="auto"/>
    </w:pPr>
    <w:rPr>
      <w:rFonts w:eastAsia="Times New Roman" w:cs="Times New Roman"/>
      <w:color w:val="000000"/>
      <w:sz w:val="16"/>
      <w:szCs w:val="20"/>
      <w:lang w:eastAsia="en-AU"/>
    </w:rPr>
  </w:style>
  <w:style w:type="character" w:customStyle="1" w:styleId="SingleParagraphChar">
    <w:name w:val="Single Paragraph Char"/>
    <w:basedOn w:val="DefaultParagraphFont"/>
    <w:link w:val="SingleParagraph"/>
    <w:locked/>
    <w:rsid w:val="00E952BC"/>
    <w:rPr>
      <w:rFonts w:eastAsia="Times New Roman" w:cs="Times New Roman"/>
      <w:color w:val="000000"/>
      <w:szCs w:val="20"/>
      <w:lang w:eastAsia="en-AU"/>
    </w:rPr>
  </w:style>
  <w:style w:type="paragraph" w:styleId="FootnoteText">
    <w:name w:val="footnote text"/>
    <w:basedOn w:val="Normal"/>
    <w:link w:val="FootnoteTextChar"/>
    <w:uiPriority w:val="99"/>
    <w:semiHidden/>
    <w:unhideWhenUsed/>
    <w:rsid w:val="001E06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0602"/>
    <w:rPr>
      <w:sz w:val="20"/>
      <w:szCs w:val="20"/>
    </w:rPr>
  </w:style>
  <w:style w:type="character" w:styleId="FootnoteReference">
    <w:name w:val="footnote reference"/>
    <w:basedOn w:val="DefaultParagraphFont"/>
    <w:uiPriority w:val="99"/>
    <w:semiHidden/>
    <w:unhideWhenUsed/>
    <w:rsid w:val="001E0602"/>
    <w:rPr>
      <w:vertAlign w:val="superscript"/>
    </w:rPr>
  </w:style>
  <w:style w:type="paragraph" w:styleId="ListParagraph">
    <w:name w:val="List Paragraph"/>
    <w:basedOn w:val="Normal"/>
    <w:uiPriority w:val="34"/>
    <w:qFormat/>
    <w:rsid w:val="00A906A7"/>
    <w:pPr>
      <w:ind w:left="720"/>
      <w:contextualSpacing/>
    </w:pPr>
  </w:style>
  <w:style w:type="paragraph" w:styleId="BalloonText">
    <w:name w:val="Balloon Text"/>
    <w:basedOn w:val="Normal"/>
    <w:link w:val="BalloonTextChar"/>
    <w:uiPriority w:val="99"/>
    <w:semiHidden/>
    <w:unhideWhenUsed/>
    <w:rsid w:val="00A962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25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1FAA"/>
    <w:rPr>
      <w:color w:val="0563C1" w:themeColor="hyperlink"/>
      <w:u w:val="single"/>
    </w:rPr>
  </w:style>
  <w:style w:type="paragraph" w:styleId="Header">
    <w:name w:val="header"/>
    <w:basedOn w:val="Normal"/>
    <w:link w:val="HeaderChar"/>
    <w:uiPriority w:val="99"/>
    <w:unhideWhenUsed/>
    <w:rsid w:val="00391F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FAA"/>
  </w:style>
  <w:style w:type="paragraph" w:styleId="Footer">
    <w:name w:val="footer"/>
    <w:basedOn w:val="Normal"/>
    <w:link w:val="FooterChar"/>
    <w:uiPriority w:val="99"/>
    <w:unhideWhenUsed/>
    <w:rsid w:val="00391F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FAA"/>
  </w:style>
  <w:style w:type="paragraph" w:styleId="NoSpacing">
    <w:name w:val="No Spacing"/>
    <w:uiPriority w:val="1"/>
    <w:qFormat/>
    <w:rsid w:val="00E247AC"/>
    <w:pPr>
      <w:spacing w:after="0" w:line="240" w:lineRule="auto"/>
    </w:pPr>
  </w:style>
  <w:style w:type="paragraph" w:customStyle="1" w:styleId="SingleParagraph">
    <w:name w:val="Single Paragraph"/>
    <w:basedOn w:val="Normal"/>
    <w:link w:val="SingleParagraphChar"/>
    <w:rsid w:val="00E952BC"/>
    <w:pPr>
      <w:spacing w:after="0" w:line="280" w:lineRule="exact"/>
      <w:jc w:val="both"/>
    </w:pPr>
    <w:rPr>
      <w:rFonts w:eastAsia="Times New Roman" w:cs="Times New Roman"/>
      <w:color w:val="000000"/>
      <w:szCs w:val="20"/>
      <w:lang w:eastAsia="en-AU"/>
    </w:rPr>
  </w:style>
  <w:style w:type="paragraph" w:customStyle="1" w:styleId="TableColumnHeadingLeft">
    <w:name w:val="Table Column Heading Left"/>
    <w:basedOn w:val="Normal"/>
    <w:rsid w:val="00E952BC"/>
    <w:pPr>
      <w:spacing w:before="60" w:after="60" w:line="240" w:lineRule="auto"/>
      <w:jc w:val="both"/>
    </w:pPr>
    <w:rPr>
      <w:rFonts w:eastAsia="Times New Roman" w:cs="Times New Roman"/>
      <w:b/>
      <w:color w:val="342E82"/>
      <w:sz w:val="19"/>
      <w:szCs w:val="20"/>
      <w:lang w:eastAsia="en-AU"/>
    </w:rPr>
  </w:style>
  <w:style w:type="paragraph" w:customStyle="1" w:styleId="TableMainHeadingContd">
    <w:name w:val="Table Main Heading Contd"/>
    <w:basedOn w:val="Normal"/>
    <w:next w:val="Normal"/>
    <w:rsid w:val="00E952BC"/>
    <w:pPr>
      <w:keepNext/>
      <w:pageBreakBefore/>
      <w:spacing w:after="20" w:line="240" w:lineRule="auto"/>
    </w:pPr>
    <w:rPr>
      <w:rFonts w:ascii="Calibri" w:eastAsia="Times New Roman" w:hAnsi="Calibri" w:cs="Times New Roman"/>
      <w:b/>
      <w:color w:val="342E82"/>
      <w:szCs w:val="20"/>
      <w:lang w:eastAsia="en-AU"/>
    </w:rPr>
  </w:style>
  <w:style w:type="paragraph" w:customStyle="1" w:styleId="TableTextLeft">
    <w:name w:val="Table Text Left"/>
    <w:basedOn w:val="Normal"/>
    <w:rsid w:val="00E952BC"/>
    <w:pPr>
      <w:spacing w:before="40" w:after="40" w:line="240" w:lineRule="auto"/>
    </w:pPr>
    <w:rPr>
      <w:rFonts w:eastAsia="Times New Roman" w:cs="Times New Roman"/>
      <w:color w:val="000000"/>
      <w:sz w:val="16"/>
      <w:szCs w:val="20"/>
      <w:lang w:eastAsia="en-AU"/>
    </w:rPr>
  </w:style>
  <w:style w:type="character" w:customStyle="1" w:styleId="SingleParagraphChar">
    <w:name w:val="Single Paragraph Char"/>
    <w:basedOn w:val="DefaultParagraphFont"/>
    <w:link w:val="SingleParagraph"/>
    <w:locked/>
    <w:rsid w:val="00E952BC"/>
    <w:rPr>
      <w:rFonts w:eastAsia="Times New Roman" w:cs="Times New Roman"/>
      <w:color w:val="000000"/>
      <w:szCs w:val="20"/>
      <w:lang w:eastAsia="en-AU"/>
    </w:rPr>
  </w:style>
  <w:style w:type="paragraph" w:styleId="FootnoteText">
    <w:name w:val="footnote text"/>
    <w:basedOn w:val="Normal"/>
    <w:link w:val="FootnoteTextChar"/>
    <w:uiPriority w:val="99"/>
    <w:semiHidden/>
    <w:unhideWhenUsed/>
    <w:rsid w:val="001E06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0602"/>
    <w:rPr>
      <w:sz w:val="20"/>
      <w:szCs w:val="20"/>
    </w:rPr>
  </w:style>
  <w:style w:type="character" w:styleId="FootnoteReference">
    <w:name w:val="footnote reference"/>
    <w:basedOn w:val="DefaultParagraphFont"/>
    <w:uiPriority w:val="99"/>
    <w:semiHidden/>
    <w:unhideWhenUsed/>
    <w:rsid w:val="001E0602"/>
    <w:rPr>
      <w:vertAlign w:val="superscript"/>
    </w:rPr>
  </w:style>
  <w:style w:type="paragraph" w:styleId="ListParagraph">
    <w:name w:val="List Paragraph"/>
    <w:basedOn w:val="Normal"/>
    <w:uiPriority w:val="34"/>
    <w:qFormat/>
    <w:rsid w:val="00A906A7"/>
    <w:pPr>
      <w:ind w:left="720"/>
      <w:contextualSpacing/>
    </w:pPr>
  </w:style>
  <w:style w:type="paragraph" w:styleId="BalloonText">
    <w:name w:val="Balloon Text"/>
    <w:basedOn w:val="Normal"/>
    <w:link w:val="BalloonTextChar"/>
    <w:uiPriority w:val="99"/>
    <w:semiHidden/>
    <w:unhideWhenUsed/>
    <w:rsid w:val="00A962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2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dmin@incubatr.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dd4adf-ddb3-46a3-8d7c-fab3fb2a6bc7">
      <Value>7</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2014MG-93-11494</_dlc_DocId>
    <_dlc_DocIdUrl xmlns="d4dd4adf-ddb3-46a3-8d7c-fab3fb2a6bc7">
      <Url>http://tweb/sites/mg/fsd/_layouts/15/DocIdRedir.aspx?ID=2014MG-93-11494</Url>
      <Description>2014MG-93-11494</Description>
    </_dlc_DocIdUrl>
  </documentManagement>
</p:properties>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17" ma:contentTypeDescription=" " ma:contentTypeScope="" ma:versionID="05e352d8acc251fe0bdd3962f7e88859">
  <xsd:schema xmlns:xsd="http://www.w3.org/2001/XMLSchema" xmlns:xs="http://www.w3.org/2001/XMLSchema" xmlns:p="http://schemas.microsoft.com/office/2006/metadata/properties" xmlns:ns1="http://schemas.microsoft.com/sharepoint/v3" xmlns:ns2="d4dd4adf-ddb3-46a3-8d7c-fab3fb2a6bc7" targetNamespace="http://schemas.microsoft.com/office/2006/metadata/properties" ma:root="true" ma:fieldsID="86a65ed0b00e7401c108b4db23034070" ns1:_="" ns2:_="">
    <xsd:import namespace="http://schemas.microsoft.com/sharepoint/v3"/>
    <xsd:import namespace="d4dd4adf-ddb3-46a3-8d7c-fab3fb2a6bc7"/>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B9659-F6AA-4219-88A3-E97A6F1023CA}">
  <ds:schemaRefs>
    <ds:schemaRef ds:uri="http://schemas.openxmlformats.org/package/2006/metadata/core-properties"/>
    <ds:schemaRef ds:uri="http://www.w3.org/XML/1998/namespace"/>
    <ds:schemaRef ds:uri="http://purl.org/dc/elements/1.1/"/>
    <ds:schemaRef ds:uri="d4dd4adf-ddb3-46a3-8d7c-fab3fb2a6bc7"/>
    <ds:schemaRef ds:uri="http://purl.org/dc/terms/"/>
    <ds:schemaRef ds:uri="http://schemas.microsoft.com/office/2006/metadata/properties"/>
    <ds:schemaRef ds:uri="http://schemas.microsoft.com/sharepoint/v3"/>
    <ds:schemaRef ds:uri="http://schemas.microsoft.com/office/2006/documentManagement/typ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84F992EB-5D0C-4C06-A941-F26208E9A367}">
  <ds:schemaRefs>
    <ds:schemaRef ds:uri="http://schemas.microsoft.com/sharepoint/events"/>
  </ds:schemaRefs>
</ds:datastoreItem>
</file>

<file path=customXml/itemProps3.xml><?xml version="1.0" encoding="utf-8"?>
<ds:datastoreItem xmlns:ds="http://schemas.openxmlformats.org/officeDocument/2006/customXml" ds:itemID="{353C9FAB-3287-498C-B165-1E2708BC3976}">
  <ds:schemaRefs>
    <ds:schemaRef ds:uri="http://schemas.microsoft.com/sharepoint/v3/contenttype/forms"/>
  </ds:schemaRefs>
</ds:datastoreItem>
</file>

<file path=customXml/itemProps4.xml><?xml version="1.0" encoding="utf-8"?>
<ds:datastoreItem xmlns:ds="http://schemas.openxmlformats.org/officeDocument/2006/customXml" ds:itemID="{ED86121F-5F4C-4BA2-B8CF-C7A636920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89A0E6-3419-4DCF-BB13-5A2F8E8E8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3327</Words>
  <Characters>18802</Characters>
  <Application>Microsoft Office Word</Application>
  <DocSecurity>0</DocSecurity>
  <Lines>508</Lines>
  <Paragraphs>148</Paragraphs>
  <ScaleCrop>false</ScaleCrop>
  <HeadingPairs>
    <vt:vector size="2" baseType="variant">
      <vt:variant>
        <vt:lpstr>Title</vt:lpstr>
      </vt:variant>
      <vt:variant>
        <vt:i4>1</vt:i4>
      </vt:variant>
    </vt:vector>
  </HeadingPairs>
  <TitlesOfParts>
    <vt:vector size="1" baseType="lpstr">
      <vt:lpstr>Incubatr - Crowd-sourced Equity Funding</vt:lpstr>
    </vt:vector>
  </TitlesOfParts>
  <Company/>
  <LinksUpToDate>false</LinksUpToDate>
  <CharactersWithSpaces>21981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Incubatr - Crowd-sourced Equity Funding</dc:title>
  <dc:creator/>
  <cp:lastModifiedBy/>
  <cp:revision>1</cp:revision>
  <dcterms:created xsi:type="dcterms:W3CDTF">2015-04-14T04:38:00Z</dcterms:created>
  <dcterms:modified xsi:type="dcterms:W3CDTF">2015-04-14T05:30:00Z</dcterms:modified>
  <dc:language>English</dc:language>
</cp:coreProperties>
</file>