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A9" w:rsidRDefault="003276A9" w:rsidP="00CB49F3">
      <w:pPr>
        <w:pStyle w:val="Baseparagraphcentred"/>
      </w:pPr>
      <w:bookmarkStart w:id="0" w:name="_GoBack"/>
      <w:bookmarkEnd w:id="0"/>
    </w:p>
    <w:p w:rsidR="007A6106" w:rsidRDefault="007A6106" w:rsidP="00CB49F3">
      <w:pPr>
        <w:pStyle w:val="Baseparagraphcentred"/>
      </w:pPr>
    </w:p>
    <w:p w:rsidR="007A6106" w:rsidRDefault="007A6106" w:rsidP="00CB49F3">
      <w:pPr>
        <w:pStyle w:val="Baseparagraphcentred"/>
      </w:pPr>
    </w:p>
    <w:p w:rsidR="007A6106" w:rsidRDefault="007A6106" w:rsidP="00CB49F3">
      <w:pPr>
        <w:pStyle w:val="Baseparagraphcentred"/>
      </w:pPr>
    </w:p>
    <w:p w:rsidR="007A6106" w:rsidRDefault="007A6106" w:rsidP="00CB49F3">
      <w:pPr>
        <w:pStyle w:val="Baseparagraphcentred"/>
      </w:pPr>
    </w:p>
    <w:p w:rsidR="007A6106" w:rsidRDefault="007A6106" w:rsidP="00CB49F3">
      <w:pPr>
        <w:pStyle w:val="Baseparagraphcentred"/>
      </w:pPr>
    </w:p>
    <w:p w:rsidR="007A6106" w:rsidRDefault="007A6106" w:rsidP="00CB49F3">
      <w:pPr>
        <w:pStyle w:val="Baseparagraphcentred"/>
      </w:pPr>
    </w:p>
    <w:p w:rsidR="007A6106" w:rsidRDefault="007A6106" w:rsidP="00CB49F3">
      <w:pPr>
        <w:pStyle w:val="Baseparagraphcentred"/>
      </w:pPr>
    </w:p>
    <w:p w:rsidR="003276A9" w:rsidRDefault="003276A9" w:rsidP="00CB49F3">
      <w:pPr>
        <w:pStyle w:val="Baseparagraphcentred"/>
      </w:pPr>
    </w:p>
    <w:p w:rsidR="003276A9" w:rsidRDefault="003276A9" w:rsidP="00CB49F3">
      <w:pPr>
        <w:pStyle w:val="Baseparagraphcentred"/>
      </w:pPr>
    </w:p>
    <w:p w:rsidR="003276A9" w:rsidRDefault="00F022E5" w:rsidP="00CB49F3">
      <w:pPr>
        <w:pStyle w:val="Baseparagraphcentred"/>
      </w:pPr>
      <w:r w:rsidRPr="00F022E5">
        <w:rPr>
          <w:caps/>
        </w:rPr>
        <w:t>Tax Laws Amendment (Farm Manag</w:t>
      </w:r>
      <w:r>
        <w:rPr>
          <w:caps/>
        </w:rPr>
        <w:t xml:space="preserve">ement Deposit Reforms) </w:t>
      </w:r>
      <w:r w:rsidR="00F153E7">
        <w:rPr>
          <w:caps/>
        </w:rPr>
        <w:t>Bill </w:t>
      </w:r>
      <w:r>
        <w:rPr>
          <w:caps/>
        </w:rPr>
        <w:t>2016</w:t>
      </w:r>
    </w:p>
    <w:p w:rsidR="003276A9" w:rsidRDefault="002F6346" w:rsidP="00E009C6">
      <w:pPr>
        <w:pStyle w:val="Baseparagraphcentred"/>
        <w:tabs>
          <w:tab w:val="left" w:pos="1800"/>
        </w:tabs>
        <w:jc w:val="left"/>
      </w:pPr>
      <w:r>
        <w:tab/>
      </w:r>
    </w:p>
    <w:p w:rsidR="003276A9" w:rsidRDefault="003276A9" w:rsidP="00CB49F3">
      <w:pPr>
        <w:pStyle w:val="Baseparagraphcentred"/>
      </w:pPr>
    </w:p>
    <w:p w:rsidR="003276A9" w:rsidRDefault="003276A9" w:rsidP="00CB49F3">
      <w:pPr>
        <w:pStyle w:val="Baseparagraphcentred"/>
      </w:pPr>
    </w:p>
    <w:p w:rsidR="003276A9" w:rsidRDefault="002F6346" w:rsidP="00CB49F3">
      <w:pPr>
        <w:pStyle w:val="Baseparagraphcentred"/>
      </w:pPr>
      <w:r>
        <w:t xml:space="preserve">EXPOSURE DRAFT </w:t>
      </w:r>
      <w:r w:rsidR="003276A9">
        <w:t>EXPLANATORY M</w:t>
      </w:r>
      <w:r>
        <w:t>ATERIAL</w:t>
      </w:r>
    </w:p>
    <w:p w:rsidR="003276A9" w:rsidRDefault="003276A9" w:rsidP="00CB49F3">
      <w:pPr>
        <w:pStyle w:val="Baseparagraphcentred"/>
      </w:pPr>
    </w:p>
    <w:p w:rsidR="003276A9" w:rsidRDefault="003276A9" w:rsidP="00CB49F3">
      <w:pPr>
        <w:pStyle w:val="Baseparagraphcentred"/>
      </w:pPr>
    </w:p>
    <w:p w:rsidR="003276A9" w:rsidRDefault="003276A9" w:rsidP="00CB49F3">
      <w:pPr>
        <w:pStyle w:val="Baseparagraphcentred"/>
      </w:pPr>
    </w:p>
    <w:p w:rsidR="003276A9" w:rsidRDefault="003276A9" w:rsidP="00CB49F3">
      <w:pPr>
        <w:pStyle w:val="Baseparagraphcentred"/>
      </w:pPr>
    </w:p>
    <w:p w:rsidR="003276A9" w:rsidRDefault="003276A9" w:rsidP="00CB49F3"/>
    <w:p w:rsidR="003276A9" w:rsidRDefault="003276A9" w:rsidP="00CB49F3">
      <w:pPr>
        <w:sectPr w:rsidR="003276A9" w:rsidSect="00CB49F3">
          <w:headerReference w:type="even" r:id="rId14"/>
          <w:headerReference w:type="default" r:id="rId15"/>
          <w:footerReference w:type="even" r:id="rId16"/>
          <w:footerReference w:type="default" r:id="rId17"/>
          <w:type w:val="oddPage"/>
          <w:pgSz w:w="11906" w:h="16838" w:code="9"/>
          <w:pgMar w:top="2466" w:right="2098" w:bottom="2466" w:left="2098" w:header="1559" w:footer="1899" w:gutter="0"/>
          <w:cols w:space="708"/>
          <w:titlePg/>
          <w:docGrid w:linePitch="360"/>
        </w:sectPr>
      </w:pPr>
    </w:p>
    <w:p w:rsidR="003276A9" w:rsidRPr="003E0794" w:rsidRDefault="003276A9" w:rsidP="00CB49F3">
      <w:pPr>
        <w:pStyle w:val="TOCHeading"/>
      </w:pPr>
      <w:r w:rsidRPr="003E0794">
        <w:lastRenderedPageBreak/>
        <w:t>Table of contents</w:t>
      </w:r>
    </w:p>
    <w:p w:rsidR="00D514E1" w:rsidRDefault="00CB49F3">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514E1">
        <w:t>Glossary</w:t>
      </w:r>
      <w:r w:rsidR="00D514E1">
        <w:tab/>
      </w:r>
      <w:r w:rsidR="00D514E1">
        <w:fldChar w:fldCharType="begin"/>
      </w:r>
      <w:r w:rsidR="00D514E1">
        <w:instrText xml:space="preserve"> PAGEREF _Toc435786681 \h </w:instrText>
      </w:r>
      <w:r w:rsidR="00D514E1">
        <w:fldChar w:fldCharType="separate"/>
      </w:r>
      <w:r w:rsidR="00D514E1">
        <w:t>5</w:t>
      </w:r>
      <w:r w:rsidR="00D514E1">
        <w:fldChar w:fldCharType="end"/>
      </w:r>
    </w:p>
    <w:p w:rsidR="00D514E1" w:rsidRDefault="00D514E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Farm management deposit reforms</w:t>
      </w:r>
      <w:r>
        <w:rPr>
          <w:noProof/>
        </w:rPr>
        <w:tab/>
      </w:r>
      <w:r>
        <w:rPr>
          <w:noProof/>
        </w:rPr>
        <w:fldChar w:fldCharType="begin"/>
      </w:r>
      <w:r>
        <w:rPr>
          <w:noProof/>
        </w:rPr>
        <w:instrText xml:space="preserve"> PAGEREF _Toc435786682 \h </w:instrText>
      </w:r>
      <w:r>
        <w:rPr>
          <w:noProof/>
        </w:rPr>
      </w:r>
      <w:r>
        <w:rPr>
          <w:noProof/>
        </w:rPr>
        <w:fldChar w:fldCharType="separate"/>
      </w:r>
      <w:r>
        <w:rPr>
          <w:noProof/>
        </w:rPr>
        <w:t>7</w:t>
      </w:r>
      <w:r>
        <w:rPr>
          <w:noProof/>
        </w:rPr>
        <w:fldChar w:fldCharType="end"/>
      </w:r>
    </w:p>
    <w:p w:rsidR="003276A9" w:rsidRDefault="00CB49F3" w:rsidP="00CB49F3">
      <w:pPr>
        <w:pStyle w:val="base-text-paragraphnonumbers"/>
      </w:pPr>
      <w:r>
        <w:rPr>
          <w:b/>
          <w:bCs/>
          <w:noProof/>
          <w:lang w:val="en-US"/>
        </w:rPr>
        <w:fldChar w:fldCharType="end"/>
      </w:r>
    </w:p>
    <w:p w:rsidR="003276A9" w:rsidRDefault="003276A9" w:rsidP="00CB49F3">
      <w:pPr>
        <w:pStyle w:val="Hiddentext"/>
      </w:pPr>
      <w:r>
        <w:t>Do not remove section break.</w:t>
      </w:r>
    </w:p>
    <w:p w:rsidR="003276A9" w:rsidRDefault="003276A9" w:rsidP="00CB49F3">
      <w:pPr>
        <w:pStyle w:val="base-text-paragraphnonumbers"/>
        <w:sectPr w:rsidR="003276A9" w:rsidSect="00CB49F3">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559" w:footer="1899" w:gutter="0"/>
          <w:cols w:space="708"/>
          <w:titlePg/>
          <w:docGrid w:linePitch="360"/>
        </w:sectPr>
      </w:pPr>
    </w:p>
    <w:p w:rsidR="003276A9" w:rsidRPr="00A03E30" w:rsidRDefault="003276A9" w:rsidP="00CB49F3"/>
    <w:p w:rsidR="003276A9" w:rsidRPr="00D67ADC" w:rsidRDefault="003276A9" w:rsidP="00CB49F3">
      <w:pPr>
        <w:pStyle w:val="Chapterheadingsubdocument"/>
      </w:pPr>
      <w:bookmarkStart w:id="1" w:name="_Toc435786681"/>
      <w:r w:rsidRPr="00D67ADC">
        <w:t>Glossary</w:t>
      </w:r>
      <w:bookmarkEnd w:id="1"/>
    </w:p>
    <w:p w:rsidR="003276A9" w:rsidRDefault="003276A9" w:rsidP="00CB49F3">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3276A9" w:rsidRPr="00123D96" w:rsidTr="00CB49F3">
        <w:tc>
          <w:tcPr>
            <w:tcW w:w="2721" w:type="dxa"/>
          </w:tcPr>
          <w:p w:rsidR="003276A9" w:rsidRPr="00123D96" w:rsidRDefault="003276A9" w:rsidP="00CB49F3">
            <w:pPr>
              <w:pStyle w:val="tableheaderwithintable"/>
            </w:pPr>
            <w:r w:rsidRPr="00123D96">
              <w:t>Abbreviation</w:t>
            </w:r>
          </w:p>
        </w:tc>
        <w:tc>
          <w:tcPr>
            <w:tcW w:w="3885" w:type="dxa"/>
          </w:tcPr>
          <w:p w:rsidR="003276A9" w:rsidRPr="00123D96" w:rsidRDefault="003276A9" w:rsidP="00CB49F3">
            <w:pPr>
              <w:pStyle w:val="tableheaderwithintable"/>
            </w:pPr>
            <w:r w:rsidRPr="00123D96">
              <w:t>Definition</w:t>
            </w:r>
          </w:p>
        </w:tc>
      </w:tr>
      <w:tr w:rsidR="003276A9" w:rsidRPr="002C43E8" w:rsidTr="00CB49F3">
        <w:tc>
          <w:tcPr>
            <w:tcW w:w="2721" w:type="dxa"/>
          </w:tcPr>
          <w:p w:rsidR="003276A9" w:rsidRPr="002C43E8" w:rsidRDefault="0040745E" w:rsidP="00CB49F3">
            <w:pPr>
              <w:pStyle w:val="Glossarytabletext"/>
              <w:rPr>
                <w:lang w:val="en-US" w:eastAsia="en-US"/>
              </w:rPr>
            </w:pPr>
            <w:r>
              <w:rPr>
                <w:lang w:val="en-US" w:eastAsia="en-US"/>
              </w:rPr>
              <w:t>FMD</w:t>
            </w:r>
          </w:p>
        </w:tc>
        <w:tc>
          <w:tcPr>
            <w:tcW w:w="3885" w:type="dxa"/>
          </w:tcPr>
          <w:p w:rsidR="003276A9" w:rsidRPr="002C43E8" w:rsidRDefault="00E63412" w:rsidP="00CB49F3">
            <w:pPr>
              <w:pStyle w:val="Glossarytabletext"/>
              <w:rPr>
                <w:lang w:val="en-US" w:eastAsia="en-US"/>
              </w:rPr>
            </w:pPr>
            <w:r>
              <w:rPr>
                <w:lang w:val="en-US" w:eastAsia="en-US"/>
              </w:rPr>
              <w:t>farm management deposit</w:t>
            </w:r>
          </w:p>
        </w:tc>
      </w:tr>
      <w:tr w:rsidR="003276A9" w:rsidRPr="002C43E8" w:rsidTr="00CB49F3">
        <w:tc>
          <w:tcPr>
            <w:tcW w:w="2721" w:type="dxa"/>
          </w:tcPr>
          <w:p w:rsidR="003276A9" w:rsidRPr="002C43E8" w:rsidRDefault="00E63412" w:rsidP="00CB49F3">
            <w:pPr>
              <w:pStyle w:val="Glossarytabletext"/>
              <w:rPr>
                <w:lang w:val="en-US" w:eastAsia="en-US"/>
              </w:rPr>
            </w:pPr>
            <w:r>
              <w:rPr>
                <w:lang w:val="en-US" w:eastAsia="en-US"/>
              </w:rPr>
              <w:t>ITAA 1997</w:t>
            </w:r>
          </w:p>
        </w:tc>
        <w:tc>
          <w:tcPr>
            <w:tcW w:w="3885" w:type="dxa"/>
          </w:tcPr>
          <w:p w:rsidR="003276A9" w:rsidRPr="00E63412" w:rsidRDefault="00E63412" w:rsidP="00CB49F3">
            <w:pPr>
              <w:pStyle w:val="Glossarytabletext"/>
              <w:rPr>
                <w:i/>
                <w:lang w:val="en-US" w:eastAsia="en-US"/>
              </w:rPr>
            </w:pPr>
            <w:r w:rsidRPr="00E63412">
              <w:rPr>
                <w:i/>
                <w:lang w:val="en-US" w:eastAsia="en-US"/>
              </w:rPr>
              <w:t>Income Tax Assessment Act 1997</w:t>
            </w:r>
          </w:p>
        </w:tc>
      </w:tr>
      <w:tr w:rsidR="003276A9" w:rsidRPr="002C43E8" w:rsidTr="00CB49F3">
        <w:tc>
          <w:tcPr>
            <w:tcW w:w="2721" w:type="dxa"/>
          </w:tcPr>
          <w:p w:rsidR="003276A9" w:rsidRPr="002C43E8" w:rsidRDefault="000C7D94" w:rsidP="00CB49F3">
            <w:pPr>
              <w:pStyle w:val="Glossarytabletext"/>
              <w:rPr>
                <w:lang w:val="en-US" w:eastAsia="en-US"/>
              </w:rPr>
            </w:pPr>
            <w:r>
              <w:rPr>
                <w:lang w:val="en-US" w:eastAsia="en-US"/>
              </w:rPr>
              <w:t>Commissioner</w:t>
            </w:r>
          </w:p>
        </w:tc>
        <w:tc>
          <w:tcPr>
            <w:tcW w:w="3885" w:type="dxa"/>
          </w:tcPr>
          <w:p w:rsidR="003276A9" w:rsidRPr="002C43E8" w:rsidRDefault="000C7D94" w:rsidP="00CB49F3">
            <w:pPr>
              <w:pStyle w:val="Glossarytabletext"/>
              <w:rPr>
                <w:lang w:val="en-US" w:eastAsia="en-US"/>
              </w:rPr>
            </w:pPr>
            <w:r>
              <w:rPr>
                <w:lang w:val="en-US" w:eastAsia="en-US"/>
              </w:rPr>
              <w:t>Commissioner of Taxation</w:t>
            </w:r>
          </w:p>
        </w:tc>
      </w:tr>
    </w:tbl>
    <w:p w:rsidR="003276A9" w:rsidRDefault="003276A9" w:rsidP="00CB49F3">
      <w:pPr>
        <w:pStyle w:val="Hiddentext"/>
      </w:pPr>
      <w:r>
        <w:t>Do not remove section break.</w:t>
      </w:r>
    </w:p>
    <w:p w:rsidR="003276A9" w:rsidRDefault="003276A9" w:rsidP="00CB49F3">
      <w:pPr>
        <w:sectPr w:rsidR="003276A9" w:rsidSect="00CB49F3">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cols w:space="708"/>
          <w:titlePg/>
          <w:docGrid w:linePitch="360"/>
        </w:sectPr>
      </w:pPr>
    </w:p>
    <w:p w:rsidR="003276A9" w:rsidRPr="003276A9" w:rsidRDefault="003276A9" w:rsidP="003276A9"/>
    <w:p w:rsidR="003276A9" w:rsidRPr="00F51A71" w:rsidRDefault="003276A9" w:rsidP="00CB49F3">
      <w:pPr>
        <w:pStyle w:val="ChapterHeading"/>
        <w:tabs>
          <w:tab w:val="clear" w:pos="1134"/>
          <w:tab w:val="num" w:pos="360"/>
        </w:tabs>
      </w:pPr>
      <w:r w:rsidRPr="00F51A71">
        <w:br/>
      </w:r>
      <w:bookmarkStart w:id="2" w:name="_Toc435786682"/>
      <w:r>
        <w:t>Farm management deposit reforms</w:t>
      </w:r>
      <w:bookmarkEnd w:id="2"/>
    </w:p>
    <w:p w:rsidR="003276A9" w:rsidRDefault="003276A9" w:rsidP="00CB49F3">
      <w:pPr>
        <w:pStyle w:val="Heading2"/>
      </w:pPr>
      <w:r>
        <w:t>Outline of chapter</w:t>
      </w:r>
    </w:p>
    <w:p w:rsidR="00614182" w:rsidRDefault="00614182" w:rsidP="00614182">
      <w:pPr>
        <w:pStyle w:val="base-text-paragraph"/>
      </w:pPr>
      <w:r>
        <w:t xml:space="preserve">Schedule </w:t>
      </w:r>
      <w:r w:rsidR="00D46E91">
        <w:t>1</w:t>
      </w:r>
      <w:r>
        <w:t xml:space="preserve"> reforms the income tax treatment of farm management deposits (FMD</w:t>
      </w:r>
      <w:r w:rsidR="00D93210">
        <w:t>s</w:t>
      </w:r>
      <w:r>
        <w:t>) by:</w:t>
      </w:r>
    </w:p>
    <w:p w:rsidR="009B7C0E" w:rsidRPr="003A6BC6" w:rsidRDefault="009B7C0E" w:rsidP="009B7C0E">
      <w:pPr>
        <w:pStyle w:val="Bullet"/>
        <w:tabs>
          <w:tab w:val="clear" w:pos="520"/>
          <w:tab w:val="num" w:pos="2268"/>
        </w:tabs>
        <w:ind w:left="2268" w:hanging="283"/>
      </w:pPr>
      <w:r w:rsidRPr="003A6BC6">
        <w:t>increasing the maximum amount that can be held in FMDs to $800,000;</w:t>
      </w:r>
    </w:p>
    <w:p w:rsidR="009B7C0E" w:rsidRPr="003A6BC6" w:rsidRDefault="003E29E2" w:rsidP="003E29E2">
      <w:pPr>
        <w:pStyle w:val="Bullet"/>
        <w:tabs>
          <w:tab w:val="clear" w:pos="520"/>
          <w:tab w:val="num" w:pos="2268"/>
        </w:tabs>
        <w:ind w:left="2268" w:hanging="283"/>
      </w:pPr>
      <w:r w:rsidRPr="003E29E2">
        <w:t xml:space="preserve">allowing primary producers experiencing severe drought conditions to withdraw an amount held in an FMD within 12 months of </w:t>
      </w:r>
      <w:r w:rsidR="00AF7595">
        <w:t xml:space="preserve">its </w:t>
      </w:r>
      <w:r w:rsidRPr="003E29E2">
        <w:t xml:space="preserve">deposit in the income year following deposit without affecting the income tax treatment of the FMD in the </w:t>
      </w:r>
      <w:r>
        <w:t xml:space="preserve">earlier </w:t>
      </w:r>
      <w:r w:rsidRPr="003E29E2">
        <w:t>income year</w:t>
      </w:r>
      <w:r w:rsidR="009B7C0E" w:rsidRPr="003A6BC6">
        <w:t>; and</w:t>
      </w:r>
    </w:p>
    <w:p w:rsidR="009B7C0E" w:rsidRPr="003A6BC6" w:rsidRDefault="009B7C0E" w:rsidP="009B7C0E">
      <w:pPr>
        <w:pStyle w:val="Bullet"/>
        <w:tabs>
          <w:tab w:val="clear" w:pos="520"/>
          <w:tab w:val="num" w:pos="2268"/>
        </w:tabs>
        <w:ind w:left="2268" w:hanging="283"/>
      </w:pPr>
      <w:r w:rsidRPr="003A6BC6">
        <w:t xml:space="preserve">allowing amounts held in an FMD to </w:t>
      </w:r>
      <w:r w:rsidR="00A43C90">
        <w:t>offset</w:t>
      </w:r>
      <w:r w:rsidR="00F95DA5">
        <w:t xml:space="preserve"> (ie. reduce the interest </w:t>
      </w:r>
      <w:r w:rsidR="00A8088C">
        <w:t xml:space="preserve">charged </w:t>
      </w:r>
      <w:r w:rsidR="00F95DA5">
        <w:t>on)</w:t>
      </w:r>
      <w:r w:rsidRPr="003A6BC6">
        <w:t xml:space="preserve"> a loan </w:t>
      </w:r>
      <w:r w:rsidR="00F95DA5">
        <w:t xml:space="preserve">or other debt </w:t>
      </w:r>
      <w:r w:rsidRPr="003A6BC6">
        <w:t xml:space="preserve">relating to the FMD holder’s primary production business. </w:t>
      </w:r>
    </w:p>
    <w:p w:rsidR="00F14001" w:rsidRDefault="00F14001" w:rsidP="00F14001">
      <w:pPr>
        <w:pStyle w:val="base-text-paragraph"/>
      </w:pPr>
      <w:r w:rsidRPr="00833641">
        <w:t xml:space="preserve">All legislative references in this Chapter are to the </w:t>
      </w:r>
      <w:r w:rsidRPr="00F14001">
        <w:rPr>
          <w:i/>
        </w:rPr>
        <w:t>Income Tax Assessment Act 1997</w:t>
      </w:r>
      <w:r w:rsidRPr="00F14001">
        <w:t xml:space="preserve"> </w:t>
      </w:r>
      <w:r>
        <w:t>(</w:t>
      </w:r>
      <w:r w:rsidRPr="00F14001">
        <w:t>ITAA 1997</w:t>
      </w:r>
      <w:r>
        <w:t>)</w:t>
      </w:r>
      <w:r w:rsidRPr="00833641">
        <w:t>, unless otherwise stated.</w:t>
      </w:r>
    </w:p>
    <w:p w:rsidR="003276A9" w:rsidRDefault="00614182" w:rsidP="00614182">
      <w:pPr>
        <w:pStyle w:val="Heading2"/>
      </w:pPr>
      <w:r>
        <w:t xml:space="preserve"> </w:t>
      </w:r>
      <w:r w:rsidR="003276A9">
        <w:t>Context of amendments</w:t>
      </w:r>
    </w:p>
    <w:p w:rsidR="000457CC" w:rsidRDefault="004C69C2" w:rsidP="004C69C2">
      <w:pPr>
        <w:pStyle w:val="base-text-paragraph"/>
      </w:pPr>
      <w:r>
        <w:t xml:space="preserve">The Government released the </w:t>
      </w:r>
      <w:r w:rsidRPr="004C69C2">
        <w:rPr>
          <w:i/>
        </w:rPr>
        <w:t>Agricultural Competitiveness White Paper</w:t>
      </w:r>
      <w:r>
        <w:t xml:space="preserve"> </w:t>
      </w:r>
      <w:r w:rsidRPr="004C69C2">
        <w:t>on 4 July 2015</w:t>
      </w:r>
      <w:r>
        <w:t xml:space="preserve">. The paper contains a </w:t>
      </w:r>
      <w:r w:rsidR="00A70364">
        <w:t xml:space="preserve">number </w:t>
      </w:r>
      <w:r>
        <w:t>of policies to strengthen the agricultural sector including:</w:t>
      </w:r>
    </w:p>
    <w:p w:rsidR="004C69C2" w:rsidRDefault="0004758A" w:rsidP="004C69C2">
      <w:pPr>
        <w:pStyle w:val="dotpoint"/>
      </w:pPr>
      <w:r>
        <w:t>improving the tax system for the agricultural sector; and</w:t>
      </w:r>
    </w:p>
    <w:p w:rsidR="0004758A" w:rsidRPr="0004758A" w:rsidRDefault="0004758A" w:rsidP="0004758A">
      <w:pPr>
        <w:pStyle w:val="dotpoint"/>
      </w:pPr>
      <w:r>
        <w:t>s</w:t>
      </w:r>
      <w:r w:rsidRPr="0004758A">
        <w:t xml:space="preserve">trengthening </w:t>
      </w:r>
      <w:r>
        <w:t>the Government’s</w:t>
      </w:r>
      <w:r w:rsidRPr="0004758A">
        <w:t xml:space="preserve"> approach to drought and risk management</w:t>
      </w:r>
      <w:r>
        <w:t xml:space="preserve"> to facilitate more effective risk management by primary producers.</w:t>
      </w:r>
    </w:p>
    <w:p w:rsidR="00A866B6" w:rsidRDefault="0004758A" w:rsidP="00A54049">
      <w:pPr>
        <w:pStyle w:val="base-text-paragraph"/>
      </w:pPr>
      <w:r>
        <w:t>FMD</w:t>
      </w:r>
      <w:r w:rsidR="00FB4957">
        <w:t>s</w:t>
      </w:r>
      <w:r w:rsidR="004C69C2" w:rsidRPr="004C69C2">
        <w:t xml:space="preserve"> </w:t>
      </w:r>
      <w:r w:rsidR="00A866B6">
        <w:t>assist</w:t>
      </w:r>
      <w:r>
        <w:t xml:space="preserve"> primary producers</w:t>
      </w:r>
      <w:r w:rsidR="004C69C2" w:rsidRPr="004C69C2">
        <w:t xml:space="preserve"> </w:t>
      </w:r>
      <w:r w:rsidR="00A54049">
        <w:t xml:space="preserve">that carry on a primary production business in Australia </w:t>
      </w:r>
      <w:r w:rsidR="004D2F27">
        <w:t xml:space="preserve">to </w:t>
      </w:r>
      <w:r w:rsidR="00A54049">
        <w:t xml:space="preserve">manage </w:t>
      </w:r>
      <w:r w:rsidR="0094620E">
        <w:t xml:space="preserve">risks from </w:t>
      </w:r>
      <w:r>
        <w:t>fluctuating primary production income</w:t>
      </w:r>
      <w:r w:rsidR="00A866B6">
        <w:t xml:space="preserve"> levels</w:t>
      </w:r>
      <w:r>
        <w:t xml:space="preserve"> </w:t>
      </w:r>
      <w:r w:rsidR="00A866B6">
        <w:t>that are</w:t>
      </w:r>
      <w:r>
        <w:t xml:space="preserve"> common in the agricultural sector. </w:t>
      </w:r>
      <w:r w:rsidR="00A866B6" w:rsidRPr="00A866B6">
        <w:t>FMD</w:t>
      </w:r>
      <w:r w:rsidR="00A866B6">
        <w:t>s</w:t>
      </w:r>
      <w:r w:rsidR="00A866B6" w:rsidRPr="00A866B6">
        <w:t xml:space="preserve"> allow primary producers, in effect, to </w:t>
      </w:r>
      <w:r w:rsidR="00A54049" w:rsidRPr="00A54049">
        <w:t>carry over income from years of good cash</w:t>
      </w:r>
      <w:r w:rsidR="00A54049">
        <w:t xml:space="preserve"> </w:t>
      </w:r>
      <w:r w:rsidR="00BD2617">
        <w:t>flow</w:t>
      </w:r>
      <w:r w:rsidR="005A3541">
        <w:t xml:space="preserve"> </w:t>
      </w:r>
      <w:r w:rsidR="00A54049">
        <w:t>and to draw on that income in years of reduced cash flow</w:t>
      </w:r>
      <w:r w:rsidR="003A6BC6">
        <w:t xml:space="preserve"> in response</w:t>
      </w:r>
      <w:r w:rsidR="00A866B6">
        <w:t xml:space="preserve"> to</w:t>
      </w:r>
      <w:r w:rsidR="00A866B6" w:rsidRPr="00A866B6">
        <w:t xml:space="preserve"> adverse economic events and seasonal fluctuations</w:t>
      </w:r>
      <w:r w:rsidR="008C18F3">
        <w:t xml:space="preserve"> </w:t>
      </w:r>
      <w:r w:rsidR="004A1BF3">
        <w:t xml:space="preserve">that affect </w:t>
      </w:r>
      <w:r w:rsidR="008C18F3">
        <w:t>their</w:t>
      </w:r>
      <w:r w:rsidR="00A866B6">
        <w:t xml:space="preserve"> primary production </w:t>
      </w:r>
      <w:r w:rsidR="00A70364">
        <w:t>business.</w:t>
      </w:r>
      <w:r w:rsidR="00A866B6" w:rsidRPr="00A866B6">
        <w:t xml:space="preserve"> </w:t>
      </w:r>
    </w:p>
    <w:p w:rsidR="005A3541" w:rsidRDefault="00A866B6" w:rsidP="005A3541">
      <w:pPr>
        <w:pStyle w:val="base-text-paragraph"/>
      </w:pPr>
      <w:r>
        <w:t>Division 393</w:t>
      </w:r>
      <w:r w:rsidR="001E6BCA">
        <w:t xml:space="preserve"> </w:t>
      </w:r>
      <w:r w:rsidR="00046AE6">
        <w:t xml:space="preserve">achieves this </w:t>
      </w:r>
      <w:r w:rsidR="00A83DE5">
        <w:t>outcome</w:t>
      </w:r>
      <w:r w:rsidR="00AF7595">
        <w:t xml:space="preserve"> </w:t>
      </w:r>
      <w:r w:rsidR="00046AE6">
        <w:t xml:space="preserve">by </w:t>
      </w:r>
      <w:r w:rsidR="001E6BCA">
        <w:t>enabl</w:t>
      </w:r>
      <w:r w:rsidR="00046AE6">
        <w:t>ing</w:t>
      </w:r>
      <w:r w:rsidRPr="00A866B6">
        <w:t xml:space="preserve"> primary producers (with a limited amount of non-primary production income) to claim </w:t>
      </w:r>
      <w:r w:rsidR="001E6BCA">
        <w:t>a deduction</w:t>
      </w:r>
      <w:r w:rsidRPr="00A866B6">
        <w:t xml:space="preserve"> </w:t>
      </w:r>
      <w:r w:rsidR="009B7C0E">
        <w:t xml:space="preserve">in an income year generally </w:t>
      </w:r>
      <w:r w:rsidRPr="00A866B6">
        <w:t>for</w:t>
      </w:r>
      <w:r w:rsidR="001E6BCA">
        <w:t xml:space="preserve"> the amount deposited into </w:t>
      </w:r>
      <w:r w:rsidR="008C18F3">
        <w:t>FMD</w:t>
      </w:r>
      <w:r w:rsidR="00F95DA5">
        <w:t>s</w:t>
      </w:r>
      <w:r w:rsidR="009B7C0E">
        <w:t xml:space="preserve"> in that income</w:t>
      </w:r>
      <w:r w:rsidRPr="00A866B6">
        <w:t xml:space="preserve"> year. </w:t>
      </w:r>
    </w:p>
    <w:p w:rsidR="004C69C2" w:rsidRDefault="005A3541" w:rsidP="005A3541">
      <w:pPr>
        <w:pStyle w:val="base-text-paragraph"/>
      </w:pPr>
      <w:r>
        <w:t>W</w:t>
      </w:r>
      <w:r w:rsidR="00A866B6" w:rsidRPr="00A866B6">
        <w:t xml:space="preserve">hen an FMD is withdrawn, the amount </w:t>
      </w:r>
      <w:r w:rsidR="00F95DA5">
        <w:t>previously deducted</w:t>
      </w:r>
      <w:r w:rsidR="00A866B6" w:rsidRPr="00A866B6">
        <w:t xml:space="preserve"> is included in </w:t>
      </w:r>
      <w:r w:rsidR="001E6BCA">
        <w:t>the primary producer’s</w:t>
      </w:r>
      <w:r w:rsidR="00A866B6" w:rsidRPr="00A866B6">
        <w:t xml:space="preserve"> assessable income in the </w:t>
      </w:r>
      <w:r w:rsidR="001E6BCA">
        <w:t xml:space="preserve">income year of </w:t>
      </w:r>
      <w:r w:rsidR="0094620E">
        <w:t>withdrawal</w:t>
      </w:r>
      <w:r w:rsidR="00A866B6" w:rsidRPr="00A866B6">
        <w:t>.</w:t>
      </w:r>
      <w:r w:rsidRPr="005A3541">
        <w:t xml:space="preserve"> This</w:t>
      </w:r>
      <w:r w:rsidR="00046AE6">
        <w:t>, in effect allows eligible primary producers to</w:t>
      </w:r>
      <w:r w:rsidRPr="005A3541">
        <w:t xml:space="preserve"> defer the payment of the </w:t>
      </w:r>
      <w:r w:rsidR="00A83DE5">
        <w:t xml:space="preserve">income </w:t>
      </w:r>
      <w:r w:rsidRPr="005A3541">
        <w:t xml:space="preserve">tax </w:t>
      </w:r>
      <w:r w:rsidR="00046AE6">
        <w:t>on these amounts until withdraw</w:t>
      </w:r>
      <w:r w:rsidR="00AF7595">
        <w:t>n</w:t>
      </w:r>
      <w:r w:rsidR="00046AE6">
        <w:t>.</w:t>
      </w:r>
    </w:p>
    <w:p w:rsidR="003276A9" w:rsidRDefault="003276A9" w:rsidP="00CB49F3">
      <w:pPr>
        <w:pStyle w:val="Heading2"/>
      </w:pPr>
      <w:r>
        <w:t>Summary of new law</w:t>
      </w:r>
    </w:p>
    <w:p w:rsidR="0075706C" w:rsidRDefault="0075706C" w:rsidP="0075706C">
      <w:pPr>
        <w:pStyle w:val="base-text-paragraph"/>
      </w:pPr>
      <w:r>
        <w:t xml:space="preserve">Schedule </w:t>
      </w:r>
      <w:r w:rsidR="00D46E91">
        <w:t>1</w:t>
      </w:r>
      <w:r>
        <w:t xml:space="preserve"> makes changes to the FMD </w:t>
      </w:r>
      <w:r w:rsidR="0094620E">
        <w:t>framework</w:t>
      </w:r>
      <w:r>
        <w:t xml:space="preserve"> in the income tax law to make FMDs more flexible by increasing the amount that may be held in FMDs, allowing early withdraw</w:t>
      </w:r>
      <w:r w:rsidR="0062463F">
        <w:t>al</w:t>
      </w:r>
      <w:r>
        <w:t xml:space="preserve"> </w:t>
      </w:r>
      <w:r w:rsidR="00FB4957">
        <w:t xml:space="preserve">of FMDs in severe drought conditions </w:t>
      </w:r>
      <w:r w:rsidR="009B7C0E">
        <w:t>and enabling</w:t>
      </w:r>
      <w:r>
        <w:t xml:space="preserve"> FMDs to be used in loan offset arrangements.</w:t>
      </w:r>
    </w:p>
    <w:p w:rsidR="0075706C" w:rsidRDefault="0075706C" w:rsidP="0075706C">
      <w:pPr>
        <w:pStyle w:val="base-text-paragraph"/>
      </w:pPr>
      <w:r>
        <w:t>The reforms:</w:t>
      </w:r>
    </w:p>
    <w:p w:rsidR="0075706C" w:rsidRDefault="0075706C" w:rsidP="003A6BC6">
      <w:pPr>
        <w:pStyle w:val="dotpoint"/>
      </w:pPr>
      <w:r>
        <w:t>increase the maximum amount that can be held in FMDs to $800,000;</w:t>
      </w:r>
    </w:p>
    <w:p w:rsidR="00FB4957" w:rsidRDefault="00FB4957" w:rsidP="003A6BC6">
      <w:pPr>
        <w:pStyle w:val="dotpoint"/>
      </w:pPr>
      <w:r>
        <w:t>allow</w:t>
      </w:r>
      <w:r w:rsidRPr="00FB4957">
        <w:t xml:space="preserve"> primary producers experiencing severe drought conditions to withdraw an amount held in an FMD within 12 months of deposit in the income year following deposit without affecting the income tax treatment of the FMD in the earlier income year;</w:t>
      </w:r>
      <w:r w:rsidR="004C4FA4">
        <w:t xml:space="preserve"> and</w:t>
      </w:r>
    </w:p>
    <w:p w:rsidR="0075706C" w:rsidRDefault="0075706C" w:rsidP="003A6BC6">
      <w:pPr>
        <w:pStyle w:val="dotpoint"/>
      </w:pPr>
      <w:r>
        <w:t>allow</w:t>
      </w:r>
      <w:r w:rsidRPr="008B3449">
        <w:t xml:space="preserve"> amounts held in </w:t>
      </w:r>
      <w:r>
        <w:t>an</w:t>
      </w:r>
      <w:r w:rsidRPr="008B3449">
        <w:t xml:space="preserve"> FMD</w:t>
      </w:r>
      <w:r>
        <w:t xml:space="preserve"> </w:t>
      </w:r>
      <w:r w:rsidRPr="008B3449">
        <w:t xml:space="preserve">to </w:t>
      </w:r>
      <w:r w:rsidR="005A3541">
        <w:t>offset</w:t>
      </w:r>
      <w:r w:rsidR="00F95DA5">
        <w:t xml:space="preserve"> (ie. reduce the interest </w:t>
      </w:r>
      <w:r w:rsidR="00A8088C">
        <w:t>charged on</w:t>
      </w:r>
      <w:r w:rsidR="00F95DA5">
        <w:t>)</w:t>
      </w:r>
      <w:r w:rsidRPr="008B3449">
        <w:t xml:space="preserve"> </w:t>
      </w:r>
      <w:r>
        <w:t>a loan</w:t>
      </w:r>
      <w:r w:rsidR="00046AE6">
        <w:t xml:space="preserve"> </w:t>
      </w:r>
      <w:r w:rsidR="00F95DA5">
        <w:t>or other debt</w:t>
      </w:r>
      <w:r w:rsidRPr="008B3449">
        <w:t xml:space="preserve"> relating to the </w:t>
      </w:r>
      <w:r>
        <w:t xml:space="preserve">FMD </w:t>
      </w:r>
      <w:r w:rsidR="009B7C0E">
        <w:t>owner</w:t>
      </w:r>
      <w:r>
        <w:t>’s</w:t>
      </w:r>
      <w:r w:rsidRPr="008B3449">
        <w:t xml:space="preserve"> </w:t>
      </w:r>
      <w:r>
        <w:t>primary production business.</w:t>
      </w:r>
    </w:p>
    <w:p w:rsidR="003276A9" w:rsidRDefault="003276A9" w:rsidP="00CB49F3">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276A9" w:rsidRPr="004666B8" w:rsidTr="003A6E97">
        <w:trPr>
          <w:tblHeader/>
        </w:trPr>
        <w:tc>
          <w:tcPr>
            <w:tcW w:w="3275" w:type="dxa"/>
          </w:tcPr>
          <w:p w:rsidR="003276A9" w:rsidRPr="004666B8" w:rsidRDefault="003276A9" w:rsidP="00CB49F3">
            <w:pPr>
              <w:pStyle w:val="tableheaderwithintable"/>
              <w:rPr>
                <w:lang w:val="en-US" w:eastAsia="en-US"/>
              </w:rPr>
            </w:pPr>
            <w:r w:rsidRPr="004666B8">
              <w:rPr>
                <w:lang w:val="en-US" w:eastAsia="en-US"/>
              </w:rPr>
              <w:t>New law</w:t>
            </w:r>
          </w:p>
        </w:tc>
        <w:tc>
          <w:tcPr>
            <w:tcW w:w="3276" w:type="dxa"/>
          </w:tcPr>
          <w:p w:rsidR="003276A9" w:rsidRPr="004666B8" w:rsidRDefault="003276A9" w:rsidP="00CB49F3">
            <w:pPr>
              <w:pStyle w:val="tableheaderwithintable"/>
              <w:rPr>
                <w:lang w:val="en-US" w:eastAsia="en-US"/>
              </w:rPr>
            </w:pPr>
            <w:r w:rsidRPr="004666B8">
              <w:rPr>
                <w:lang w:val="en-US" w:eastAsia="en-US"/>
              </w:rPr>
              <w:t>Current law</w:t>
            </w:r>
          </w:p>
        </w:tc>
      </w:tr>
      <w:tr w:rsidR="008C18F3" w:rsidRPr="004666B8" w:rsidTr="00C01488">
        <w:tc>
          <w:tcPr>
            <w:tcW w:w="6551" w:type="dxa"/>
            <w:gridSpan w:val="2"/>
          </w:tcPr>
          <w:p w:rsidR="008C18F3" w:rsidRPr="008C18F3" w:rsidRDefault="008C18F3" w:rsidP="008C18F3">
            <w:pPr>
              <w:pStyle w:val="tabletext"/>
              <w:jc w:val="center"/>
              <w:rPr>
                <w:b/>
                <w:lang w:val="en-US" w:eastAsia="en-US"/>
              </w:rPr>
            </w:pPr>
            <w:r w:rsidRPr="008C18F3">
              <w:rPr>
                <w:b/>
                <w:lang w:val="en-US" w:eastAsia="en-US"/>
              </w:rPr>
              <w:t>Increase in FMD cap</w:t>
            </w:r>
          </w:p>
        </w:tc>
      </w:tr>
      <w:tr w:rsidR="008C18F3" w:rsidRPr="004666B8" w:rsidTr="00CB49F3">
        <w:tc>
          <w:tcPr>
            <w:tcW w:w="3275" w:type="dxa"/>
          </w:tcPr>
          <w:p w:rsidR="008C18F3" w:rsidRPr="004666B8" w:rsidRDefault="008C18F3" w:rsidP="0075706C">
            <w:pPr>
              <w:pStyle w:val="tabletext"/>
              <w:rPr>
                <w:lang w:val="en-US" w:eastAsia="en-US"/>
              </w:rPr>
            </w:pPr>
            <w:r>
              <w:rPr>
                <w:lang w:val="en-US" w:eastAsia="en-US"/>
              </w:rPr>
              <w:t xml:space="preserve">The maximum amount that can be </w:t>
            </w:r>
            <w:r w:rsidR="0075706C">
              <w:rPr>
                <w:lang w:val="en-US" w:eastAsia="en-US"/>
              </w:rPr>
              <w:t>held</w:t>
            </w:r>
            <w:r>
              <w:rPr>
                <w:lang w:val="en-US" w:eastAsia="en-US"/>
              </w:rPr>
              <w:t xml:space="preserve"> </w:t>
            </w:r>
            <w:r w:rsidR="004A1BF3">
              <w:rPr>
                <w:lang w:val="en-US" w:eastAsia="en-US"/>
              </w:rPr>
              <w:t xml:space="preserve">by an individual </w:t>
            </w:r>
            <w:r>
              <w:rPr>
                <w:lang w:val="en-US" w:eastAsia="en-US"/>
              </w:rPr>
              <w:t>in an FMD</w:t>
            </w:r>
            <w:r w:rsidR="00D228B8">
              <w:rPr>
                <w:lang w:val="en-US" w:eastAsia="en-US"/>
              </w:rPr>
              <w:t xml:space="preserve"> at any time </w:t>
            </w:r>
            <w:r>
              <w:rPr>
                <w:lang w:val="en-US" w:eastAsia="en-US"/>
              </w:rPr>
              <w:t>is $800,000.</w:t>
            </w:r>
          </w:p>
        </w:tc>
        <w:tc>
          <w:tcPr>
            <w:tcW w:w="3276" w:type="dxa"/>
          </w:tcPr>
          <w:p w:rsidR="00FA6897" w:rsidRPr="004666B8" w:rsidRDefault="008C18F3">
            <w:pPr>
              <w:pStyle w:val="tabletext"/>
              <w:rPr>
                <w:lang w:val="en-US" w:eastAsia="en-US"/>
              </w:rPr>
            </w:pPr>
            <w:r>
              <w:rPr>
                <w:lang w:val="en-US" w:eastAsia="en-US"/>
              </w:rPr>
              <w:t xml:space="preserve">The maximum amount that can be </w:t>
            </w:r>
            <w:r w:rsidR="00D228B8">
              <w:rPr>
                <w:lang w:val="en-US" w:eastAsia="en-US"/>
              </w:rPr>
              <w:t xml:space="preserve">held </w:t>
            </w:r>
            <w:r w:rsidR="004A1BF3">
              <w:rPr>
                <w:lang w:val="en-US" w:eastAsia="en-US"/>
              </w:rPr>
              <w:t xml:space="preserve">by an individual </w:t>
            </w:r>
            <w:r>
              <w:rPr>
                <w:lang w:val="en-US" w:eastAsia="en-US"/>
              </w:rPr>
              <w:t xml:space="preserve">in an FMD </w:t>
            </w:r>
            <w:r w:rsidR="00D228B8">
              <w:rPr>
                <w:lang w:val="en-US" w:eastAsia="en-US"/>
              </w:rPr>
              <w:t>at any</w:t>
            </w:r>
            <w:r w:rsidR="00932BA4">
              <w:rPr>
                <w:lang w:val="en-US" w:eastAsia="en-US"/>
              </w:rPr>
              <w:t xml:space="preserve"> </w:t>
            </w:r>
            <w:r w:rsidR="00D228B8">
              <w:rPr>
                <w:lang w:val="en-US" w:eastAsia="en-US"/>
              </w:rPr>
              <w:t xml:space="preserve">time </w:t>
            </w:r>
            <w:r>
              <w:rPr>
                <w:lang w:val="en-US" w:eastAsia="en-US"/>
              </w:rPr>
              <w:t>is $400,000.</w:t>
            </w:r>
          </w:p>
        </w:tc>
      </w:tr>
      <w:tr w:rsidR="00EA0FD0" w:rsidRPr="004666B8" w:rsidTr="00C01488">
        <w:tc>
          <w:tcPr>
            <w:tcW w:w="6551" w:type="dxa"/>
            <w:gridSpan w:val="2"/>
          </w:tcPr>
          <w:p w:rsidR="00EA0FD0" w:rsidRPr="00EA0FD0" w:rsidRDefault="009A44F5" w:rsidP="009A44F5">
            <w:pPr>
              <w:pStyle w:val="tabletext"/>
              <w:jc w:val="center"/>
              <w:rPr>
                <w:b/>
                <w:lang w:val="en-US" w:eastAsia="en-US"/>
              </w:rPr>
            </w:pPr>
            <w:r>
              <w:rPr>
                <w:b/>
                <w:lang w:val="en-US" w:eastAsia="en-US"/>
              </w:rPr>
              <w:t>Consequences of e</w:t>
            </w:r>
            <w:r w:rsidR="00EA0FD0" w:rsidRPr="00EA0FD0">
              <w:rPr>
                <w:b/>
                <w:lang w:val="en-US" w:eastAsia="en-US"/>
              </w:rPr>
              <w:t>arly withdrawal of FMDs because of severe drought</w:t>
            </w:r>
          </w:p>
        </w:tc>
      </w:tr>
      <w:tr w:rsidR="008C18F3" w:rsidRPr="004666B8" w:rsidTr="00CB49F3">
        <w:tc>
          <w:tcPr>
            <w:tcW w:w="3275" w:type="dxa"/>
          </w:tcPr>
          <w:p w:rsidR="00FB4957" w:rsidRDefault="002A7C0E" w:rsidP="00606766">
            <w:pPr>
              <w:pStyle w:val="tabletext"/>
              <w:rPr>
                <w:lang w:val="en-US" w:eastAsia="en-US"/>
              </w:rPr>
            </w:pPr>
            <w:r w:rsidRPr="002A7C0E">
              <w:rPr>
                <w:lang w:val="en-US" w:eastAsia="en-US"/>
              </w:rPr>
              <w:t>A</w:t>
            </w:r>
            <w:r>
              <w:rPr>
                <w:lang w:val="en-US" w:eastAsia="en-US"/>
              </w:rPr>
              <w:t>n amount</w:t>
            </w:r>
            <w:r w:rsidRPr="002A7C0E">
              <w:rPr>
                <w:lang w:val="en-US" w:eastAsia="en-US"/>
              </w:rPr>
              <w:t xml:space="preserve"> withdraw</w:t>
            </w:r>
            <w:r w:rsidR="00D93210">
              <w:rPr>
                <w:lang w:val="en-US" w:eastAsia="en-US"/>
              </w:rPr>
              <w:t>n</w:t>
            </w:r>
            <w:r w:rsidRPr="002A7C0E">
              <w:rPr>
                <w:lang w:val="en-US" w:eastAsia="en-US"/>
              </w:rPr>
              <w:t xml:space="preserve"> from an FMD </w:t>
            </w:r>
            <w:r w:rsidR="00046AE6">
              <w:rPr>
                <w:lang w:val="en-US" w:eastAsia="en-US"/>
              </w:rPr>
              <w:t>with</w:t>
            </w:r>
            <w:r w:rsidR="0090715A">
              <w:rPr>
                <w:lang w:val="en-US" w:eastAsia="en-US"/>
              </w:rPr>
              <w:t>in</w:t>
            </w:r>
            <w:r w:rsidR="00046AE6">
              <w:rPr>
                <w:lang w:val="en-US" w:eastAsia="en-US"/>
              </w:rPr>
              <w:t xml:space="preserve"> a year of </w:t>
            </w:r>
            <w:r w:rsidR="004C4FA4">
              <w:rPr>
                <w:lang w:val="en-US" w:eastAsia="en-US"/>
              </w:rPr>
              <w:t xml:space="preserve">its </w:t>
            </w:r>
            <w:r w:rsidR="00932BA4">
              <w:rPr>
                <w:lang w:val="en-US" w:eastAsia="en-US"/>
              </w:rPr>
              <w:t xml:space="preserve">deposit </w:t>
            </w:r>
            <w:r w:rsidR="005149CC">
              <w:rPr>
                <w:lang w:val="en-US" w:eastAsia="en-US"/>
              </w:rPr>
              <w:t>does not lose its taxation treatment as an FMD</w:t>
            </w:r>
            <w:r>
              <w:rPr>
                <w:lang w:val="en-US" w:eastAsia="en-US"/>
              </w:rPr>
              <w:t xml:space="preserve"> if</w:t>
            </w:r>
            <w:r w:rsidR="00F04EA2">
              <w:rPr>
                <w:lang w:val="en-US" w:eastAsia="en-US"/>
              </w:rPr>
              <w:t xml:space="preserve"> </w:t>
            </w:r>
            <w:r w:rsidR="00C631B6">
              <w:rPr>
                <w:lang w:val="en-US" w:eastAsia="en-US"/>
              </w:rPr>
              <w:t>prescribed</w:t>
            </w:r>
            <w:r w:rsidR="005149CC">
              <w:rPr>
                <w:lang w:val="en-US" w:eastAsia="en-US"/>
              </w:rPr>
              <w:t xml:space="preserve"> </w:t>
            </w:r>
            <w:r w:rsidR="000812F1">
              <w:rPr>
                <w:lang w:val="en-US" w:eastAsia="en-US"/>
              </w:rPr>
              <w:t>r</w:t>
            </w:r>
            <w:r w:rsidR="00FB4957">
              <w:rPr>
                <w:lang w:val="en-US" w:eastAsia="en-US"/>
              </w:rPr>
              <w:t xml:space="preserve">ainfall conditions </w:t>
            </w:r>
            <w:r w:rsidR="000812F1">
              <w:rPr>
                <w:lang w:val="en-US" w:eastAsia="en-US"/>
              </w:rPr>
              <w:t xml:space="preserve">are met </w:t>
            </w:r>
            <w:r w:rsidR="00CF5A9B">
              <w:rPr>
                <w:lang w:val="en-US" w:eastAsia="en-US"/>
              </w:rPr>
              <w:t>for a prescribed period</w:t>
            </w:r>
            <w:r w:rsidR="003B2F0A">
              <w:rPr>
                <w:lang w:val="en-US" w:eastAsia="en-US"/>
              </w:rPr>
              <w:t>.</w:t>
            </w:r>
          </w:p>
          <w:p w:rsidR="002C7C99" w:rsidRDefault="002C7C99" w:rsidP="002C7C99">
            <w:pPr>
              <w:pStyle w:val="tabletext"/>
              <w:rPr>
                <w:lang w:val="en-US" w:eastAsia="en-US"/>
              </w:rPr>
            </w:pPr>
            <w:r>
              <w:rPr>
                <w:lang w:val="en-US" w:eastAsia="en-US"/>
              </w:rPr>
              <w:t xml:space="preserve">Accordingly, if an amount </w:t>
            </w:r>
            <w:r w:rsidR="00046AE6">
              <w:rPr>
                <w:lang w:val="en-US" w:eastAsia="en-US"/>
              </w:rPr>
              <w:t xml:space="preserve">of an FMD </w:t>
            </w:r>
            <w:r>
              <w:rPr>
                <w:lang w:val="en-US" w:eastAsia="en-US"/>
              </w:rPr>
              <w:t xml:space="preserve">is </w:t>
            </w:r>
            <w:r w:rsidR="000812F1">
              <w:rPr>
                <w:lang w:val="en-US" w:eastAsia="en-US"/>
              </w:rPr>
              <w:t xml:space="preserve">withdrawn within twelve months of </w:t>
            </w:r>
            <w:r w:rsidR="002509FD">
              <w:rPr>
                <w:lang w:val="en-US" w:eastAsia="en-US"/>
              </w:rPr>
              <w:t xml:space="preserve">its </w:t>
            </w:r>
            <w:r>
              <w:rPr>
                <w:lang w:val="en-US" w:eastAsia="en-US"/>
              </w:rPr>
              <w:t>deposit</w:t>
            </w:r>
            <w:r w:rsidR="00046AE6">
              <w:rPr>
                <w:lang w:val="en-US" w:eastAsia="en-US"/>
              </w:rPr>
              <w:t xml:space="preserve"> and </w:t>
            </w:r>
            <w:r w:rsidR="00CC555C">
              <w:rPr>
                <w:lang w:val="en-US" w:eastAsia="en-US"/>
              </w:rPr>
              <w:t xml:space="preserve">it </w:t>
            </w:r>
            <w:r w:rsidR="00046AE6">
              <w:rPr>
                <w:lang w:val="en-US" w:eastAsia="en-US"/>
              </w:rPr>
              <w:t>meets the conditions</w:t>
            </w:r>
            <w:r w:rsidR="0090715A">
              <w:rPr>
                <w:lang w:val="en-US" w:eastAsia="en-US"/>
              </w:rPr>
              <w:t xml:space="preserve"> set out </w:t>
            </w:r>
            <w:r w:rsidR="00A83DE5">
              <w:rPr>
                <w:lang w:val="en-US" w:eastAsia="en-US"/>
              </w:rPr>
              <w:t xml:space="preserve">below </w:t>
            </w:r>
            <w:r>
              <w:rPr>
                <w:lang w:val="en-US" w:eastAsia="en-US"/>
              </w:rPr>
              <w:t>then:</w:t>
            </w:r>
          </w:p>
          <w:p w:rsidR="002C7C99" w:rsidRDefault="002C7C99" w:rsidP="002C7C99">
            <w:pPr>
              <w:pStyle w:val="tabledotpoint"/>
              <w:rPr>
                <w:lang w:val="en-US" w:eastAsia="en-US"/>
              </w:rPr>
            </w:pPr>
            <w:r>
              <w:rPr>
                <w:lang w:val="en-US" w:eastAsia="en-US"/>
              </w:rPr>
              <w:t>entitlement to the deduction claimed remains; and</w:t>
            </w:r>
          </w:p>
          <w:p w:rsidR="00245CFB" w:rsidRDefault="00CF5A9B">
            <w:pPr>
              <w:pStyle w:val="tabledotpoint"/>
              <w:rPr>
                <w:lang w:val="en-US" w:eastAsia="en-US"/>
              </w:rPr>
            </w:pPr>
            <w:r>
              <w:rPr>
                <w:lang w:val="en-US" w:eastAsia="en-US"/>
              </w:rPr>
              <w:t xml:space="preserve">the </w:t>
            </w:r>
            <w:r w:rsidR="002C7C99">
              <w:rPr>
                <w:lang w:val="en-US" w:eastAsia="en-US"/>
              </w:rPr>
              <w:t xml:space="preserve">amount must </w:t>
            </w:r>
            <w:r w:rsidR="005C75DD">
              <w:rPr>
                <w:lang w:val="en-US" w:eastAsia="en-US"/>
              </w:rPr>
              <w:t xml:space="preserve">generally </w:t>
            </w:r>
            <w:r w:rsidR="002C7C99">
              <w:rPr>
                <w:lang w:val="en-US" w:eastAsia="en-US"/>
              </w:rPr>
              <w:t>be included in the assessable income of the FMD</w:t>
            </w:r>
            <w:r w:rsidR="003210A1">
              <w:rPr>
                <w:lang w:val="en-US" w:eastAsia="en-US"/>
              </w:rPr>
              <w:t xml:space="preserve"> holder in the </w:t>
            </w:r>
            <w:r w:rsidR="00046AE6" w:rsidRPr="003B2F0A">
              <w:rPr>
                <w:lang w:val="en-US" w:eastAsia="en-US"/>
              </w:rPr>
              <w:t xml:space="preserve">income </w:t>
            </w:r>
            <w:r w:rsidR="003210A1">
              <w:rPr>
                <w:lang w:val="en-US" w:eastAsia="en-US"/>
              </w:rPr>
              <w:t>year the withdrawal occurs.</w:t>
            </w:r>
          </w:p>
        </w:tc>
        <w:tc>
          <w:tcPr>
            <w:tcW w:w="3276" w:type="dxa"/>
          </w:tcPr>
          <w:p w:rsidR="003A3937" w:rsidRDefault="008E2943" w:rsidP="00606766">
            <w:pPr>
              <w:pStyle w:val="tabletext"/>
              <w:rPr>
                <w:lang w:val="en-US" w:eastAsia="en-US"/>
              </w:rPr>
            </w:pPr>
            <w:r>
              <w:rPr>
                <w:lang w:val="en-US" w:eastAsia="en-US"/>
              </w:rPr>
              <w:t>A</w:t>
            </w:r>
            <w:r w:rsidR="002A7C0E">
              <w:rPr>
                <w:lang w:val="en-US" w:eastAsia="en-US"/>
              </w:rPr>
              <w:t>n amount</w:t>
            </w:r>
            <w:r>
              <w:rPr>
                <w:lang w:val="en-US" w:eastAsia="en-US"/>
              </w:rPr>
              <w:t xml:space="preserve"> withdraw</w:t>
            </w:r>
            <w:r w:rsidR="00D93210">
              <w:rPr>
                <w:lang w:val="en-US" w:eastAsia="en-US"/>
              </w:rPr>
              <w:t>n</w:t>
            </w:r>
            <w:r>
              <w:rPr>
                <w:lang w:val="en-US" w:eastAsia="en-US"/>
              </w:rPr>
              <w:t xml:space="preserve"> from an FMD </w:t>
            </w:r>
            <w:r w:rsidRPr="008E2943">
              <w:rPr>
                <w:lang w:val="en-US" w:eastAsia="en-US"/>
              </w:rPr>
              <w:t xml:space="preserve">is </w:t>
            </w:r>
            <w:r w:rsidR="00046AE6">
              <w:rPr>
                <w:lang w:val="en-US" w:eastAsia="en-US"/>
              </w:rPr>
              <w:t xml:space="preserve">generally </w:t>
            </w:r>
            <w:r w:rsidRPr="008E2943">
              <w:rPr>
                <w:lang w:val="en-US" w:eastAsia="en-US"/>
              </w:rPr>
              <w:t>treated as never having been an FMD</w:t>
            </w:r>
            <w:r>
              <w:rPr>
                <w:lang w:val="en-US" w:eastAsia="en-US"/>
              </w:rPr>
              <w:t xml:space="preserve"> if</w:t>
            </w:r>
            <w:r w:rsidR="00046AE6">
              <w:rPr>
                <w:lang w:val="en-US" w:eastAsia="en-US"/>
              </w:rPr>
              <w:t xml:space="preserve"> </w:t>
            </w:r>
            <w:r w:rsidR="00CF58A8">
              <w:rPr>
                <w:lang w:val="en-US" w:eastAsia="en-US"/>
              </w:rPr>
              <w:t>the</w:t>
            </w:r>
            <w:r w:rsidR="009A44F5">
              <w:rPr>
                <w:lang w:val="en-US" w:eastAsia="en-US"/>
              </w:rPr>
              <w:t xml:space="preserve"> amount </w:t>
            </w:r>
            <w:r w:rsidR="002A7C0E">
              <w:rPr>
                <w:lang w:val="en-US" w:eastAsia="en-US"/>
              </w:rPr>
              <w:t>held in</w:t>
            </w:r>
            <w:r w:rsidR="009A44F5">
              <w:rPr>
                <w:lang w:val="en-US" w:eastAsia="en-US"/>
              </w:rPr>
              <w:t xml:space="preserve"> </w:t>
            </w:r>
            <w:r w:rsidR="00CF58A8">
              <w:rPr>
                <w:lang w:val="en-US" w:eastAsia="en-US"/>
              </w:rPr>
              <w:t>the</w:t>
            </w:r>
            <w:r w:rsidR="009A44F5">
              <w:rPr>
                <w:lang w:val="en-US" w:eastAsia="en-US"/>
              </w:rPr>
              <w:t xml:space="preserve"> FMD is withdrawn within </w:t>
            </w:r>
            <w:r w:rsidR="008A366E">
              <w:rPr>
                <w:lang w:val="en-US" w:eastAsia="en-US"/>
              </w:rPr>
              <w:t>twelve</w:t>
            </w:r>
            <w:r w:rsidR="009A44F5">
              <w:rPr>
                <w:lang w:val="en-US" w:eastAsia="en-US"/>
              </w:rPr>
              <w:t xml:space="preserve"> months of its deposit</w:t>
            </w:r>
            <w:r w:rsidR="003A3937">
              <w:rPr>
                <w:lang w:val="en-US" w:eastAsia="en-US"/>
              </w:rPr>
              <w:t>.</w:t>
            </w:r>
          </w:p>
          <w:p w:rsidR="008C18F3" w:rsidRDefault="002F0931" w:rsidP="003A3937">
            <w:pPr>
              <w:pStyle w:val="tabledotpoint"/>
              <w:numPr>
                <w:ilvl w:val="0"/>
                <w:numId w:val="0"/>
              </w:numPr>
              <w:rPr>
                <w:lang w:val="en-US" w:eastAsia="en-US"/>
              </w:rPr>
            </w:pPr>
            <w:r>
              <w:rPr>
                <w:lang w:val="en-US" w:eastAsia="en-US"/>
              </w:rPr>
              <w:t xml:space="preserve">Accordingly, </w:t>
            </w:r>
            <w:r w:rsidR="00B90D9E" w:rsidRPr="002F0931">
              <w:rPr>
                <w:lang w:val="en-US" w:eastAsia="en-US"/>
              </w:rPr>
              <w:t xml:space="preserve">the FMD holder is required to amend their previous year’s </w:t>
            </w:r>
            <w:r w:rsidR="00D228B8">
              <w:rPr>
                <w:lang w:val="en-US" w:eastAsia="en-US"/>
              </w:rPr>
              <w:t>income tax assessment</w:t>
            </w:r>
            <w:r w:rsidR="00B90D9E" w:rsidRPr="002F0931">
              <w:rPr>
                <w:lang w:val="en-US" w:eastAsia="en-US"/>
              </w:rPr>
              <w:t xml:space="preserve"> to remove the deduction claimed for the amount of the deposit. </w:t>
            </w:r>
          </w:p>
          <w:p w:rsidR="00BE3A46" w:rsidRPr="002F0931" w:rsidRDefault="00BE3A46" w:rsidP="003A3937">
            <w:pPr>
              <w:pStyle w:val="tabledotpoint"/>
              <w:numPr>
                <w:ilvl w:val="0"/>
                <w:numId w:val="0"/>
              </w:numPr>
              <w:rPr>
                <w:lang w:val="en-US" w:eastAsia="en-US"/>
              </w:rPr>
            </w:pPr>
          </w:p>
        </w:tc>
      </w:tr>
      <w:tr w:rsidR="00FA6897" w:rsidRPr="004666B8" w:rsidTr="00AD1782">
        <w:tc>
          <w:tcPr>
            <w:tcW w:w="6551" w:type="dxa"/>
            <w:gridSpan w:val="2"/>
          </w:tcPr>
          <w:p w:rsidR="00FA6897" w:rsidRPr="00606766" w:rsidRDefault="00E111A7" w:rsidP="00A83DE5">
            <w:pPr>
              <w:pStyle w:val="tableheaderwithintable"/>
              <w:rPr>
                <w:b w:val="0"/>
                <w:lang w:val="en-US" w:eastAsia="en-US"/>
              </w:rPr>
            </w:pPr>
            <w:r w:rsidRPr="00E111A7">
              <w:rPr>
                <w:i w:val="0"/>
                <w:lang w:val="en-US" w:eastAsia="en-US"/>
              </w:rPr>
              <w:t>Rain</w:t>
            </w:r>
            <w:r w:rsidR="00FA6897" w:rsidRPr="00606766">
              <w:rPr>
                <w:i w:val="0"/>
                <w:lang w:val="en-US" w:eastAsia="en-US"/>
              </w:rPr>
              <w:t xml:space="preserve">fall conditions for early </w:t>
            </w:r>
            <w:r w:rsidR="00A83DE5">
              <w:rPr>
                <w:i w:val="0"/>
                <w:lang w:val="en-US" w:eastAsia="en-US"/>
              </w:rPr>
              <w:t>withdrawal</w:t>
            </w:r>
          </w:p>
        </w:tc>
      </w:tr>
      <w:tr w:rsidR="00FA6897" w:rsidRPr="004666B8" w:rsidTr="00CB49F3">
        <w:tc>
          <w:tcPr>
            <w:tcW w:w="3275" w:type="dxa"/>
          </w:tcPr>
          <w:p w:rsidR="00FA6897" w:rsidRPr="00FA6897" w:rsidRDefault="00FA6897" w:rsidP="00FA6897">
            <w:pPr>
              <w:pStyle w:val="tabletext"/>
              <w:rPr>
                <w:lang w:val="en-US" w:eastAsia="en-US"/>
              </w:rPr>
            </w:pPr>
            <w:r w:rsidRPr="00FA6897">
              <w:rPr>
                <w:lang w:val="en-US" w:eastAsia="en-US"/>
              </w:rPr>
              <w:t xml:space="preserve">The rainfall conditions and period for withdrawal unless </w:t>
            </w:r>
            <w:r w:rsidR="00C631B6">
              <w:rPr>
                <w:lang w:val="en-US" w:eastAsia="en-US"/>
              </w:rPr>
              <w:t>prescribed</w:t>
            </w:r>
            <w:r w:rsidRPr="00FA6897">
              <w:rPr>
                <w:lang w:val="en-US" w:eastAsia="en-US"/>
              </w:rPr>
              <w:t xml:space="preserve"> by regulation are as follows</w:t>
            </w:r>
            <w:r w:rsidR="008573AE">
              <w:rPr>
                <w:lang w:val="en-US" w:eastAsia="en-US"/>
              </w:rPr>
              <w:t>.</w:t>
            </w:r>
          </w:p>
          <w:p w:rsidR="00FA6897" w:rsidRDefault="00BB19EA" w:rsidP="00BB19EA">
            <w:pPr>
              <w:pStyle w:val="tabletext"/>
              <w:rPr>
                <w:lang w:val="en-US" w:eastAsia="en-US"/>
              </w:rPr>
            </w:pPr>
            <w:r>
              <w:rPr>
                <w:lang w:val="en-US" w:eastAsia="en-US"/>
              </w:rPr>
              <w:t>The qualifying primary production business must demonstrate that any part of the land of the business has experienced a</w:t>
            </w:r>
            <w:r w:rsidR="006013F6" w:rsidRPr="00FA6897">
              <w:rPr>
                <w:lang w:val="en-US" w:eastAsia="en-US"/>
              </w:rPr>
              <w:t xml:space="preserve"> rainfall </w:t>
            </w:r>
            <w:r>
              <w:rPr>
                <w:lang w:val="en-US" w:eastAsia="en-US"/>
              </w:rPr>
              <w:t>deficiency</w:t>
            </w:r>
            <w:r w:rsidR="006013F6" w:rsidRPr="00FA6897">
              <w:rPr>
                <w:lang w:val="en-US" w:eastAsia="en-US"/>
              </w:rPr>
              <w:t xml:space="preserve"> </w:t>
            </w:r>
            <w:r>
              <w:rPr>
                <w:lang w:val="en-US" w:eastAsia="en-US"/>
              </w:rPr>
              <w:t>for</w:t>
            </w:r>
            <w:r w:rsidR="006013F6" w:rsidRPr="00FA6897">
              <w:rPr>
                <w:lang w:val="en-US" w:eastAsia="en-US"/>
              </w:rPr>
              <w:t xml:space="preserve"> </w:t>
            </w:r>
            <w:r>
              <w:rPr>
                <w:lang w:val="en-US" w:eastAsia="en-US"/>
              </w:rPr>
              <w:t>at least</w:t>
            </w:r>
            <w:r w:rsidR="006013F6" w:rsidRPr="00FA6897">
              <w:rPr>
                <w:lang w:val="en-US" w:eastAsia="en-US"/>
              </w:rPr>
              <w:t xml:space="preserve"> </w:t>
            </w:r>
            <w:r w:rsidR="008573AE">
              <w:rPr>
                <w:lang w:val="en-US" w:eastAsia="en-US"/>
              </w:rPr>
              <w:t>six</w:t>
            </w:r>
            <w:r>
              <w:rPr>
                <w:lang w:val="en-US" w:eastAsia="en-US"/>
              </w:rPr>
              <w:t xml:space="preserve"> consecutive</w:t>
            </w:r>
            <w:r w:rsidR="00FA6897" w:rsidRPr="00FA6897">
              <w:rPr>
                <w:lang w:val="en-US" w:eastAsia="en-US"/>
              </w:rPr>
              <w:t xml:space="preserve"> </w:t>
            </w:r>
            <w:r w:rsidR="006013F6" w:rsidRPr="00FA6897">
              <w:rPr>
                <w:lang w:val="en-US" w:eastAsia="en-US"/>
              </w:rPr>
              <w:t>month</w:t>
            </w:r>
            <w:r w:rsidR="00FA6897" w:rsidRPr="00FA6897">
              <w:rPr>
                <w:lang w:val="en-US" w:eastAsia="en-US"/>
              </w:rPr>
              <w:t>s</w:t>
            </w:r>
            <w:r>
              <w:rPr>
                <w:lang w:val="en-US" w:eastAsia="en-US"/>
              </w:rPr>
              <w:t xml:space="preserve">. The deficiency must be equivalent to or worse </w:t>
            </w:r>
            <w:r w:rsidR="007F3067">
              <w:rPr>
                <w:lang w:val="en-US" w:eastAsia="en-US"/>
              </w:rPr>
              <w:t xml:space="preserve">(ie lower) </w:t>
            </w:r>
            <w:r>
              <w:rPr>
                <w:lang w:val="en-US" w:eastAsia="en-US"/>
              </w:rPr>
              <w:t xml:space="preserve">than five per cent </w:t>
            </w:r>
            <w:r w:rsidR="004C4FA4">
              <w:rPr>
                <w:lang w:val="en-US" w:eastAsia="en-US"/>
              </w:rPr>
              <w:t xml:space="preserve">of </w:t>
            </w:r>
            <w:r>
              <w:rPr>
                <w:lang w:val="en-US" w:eastAsia="en-US"/>
              </w:rPr>
              <w:t>average rainfall (one in twenty year event) for that six month period</w:t>
            </w:r>
            <w:r w:rsidR="006013F6" w:rsidRPr="00FA6897">
              <w:rPr>
                <w:lang w:val="en-US" w:eastAsia="en-US"/>
              </w:rPr>
              <w:t xml:space="preserve"> </w:t>
            </w:r>
            <w:r>
              <w:rPr>
                <w:lang w:val="en-US" w:eastAsia="en-US"/>
              </w:rPr>
              <w:t>based on</w:t>
            </w:r>
            <w:r w:rsidR="00FA6897" w:rsidRPr="00FA6897">
              <w:rPr>
                <w:lang w:val="en-US" w:eastAsia="en-US"/>
              </w:rPr>
              <w:t xml:space="preserve"> </w:t>
            </w:r>
            <w:r>
              <w:rPr>
                <w:lang w:val="en-US" w:eastAsia="en-US"/>
              </w:rPr>
              <w:t xml:space="preserve">the most recently available </w:t>
            </w:r>
            <w:r w:rsidR="00FA6897" w:rsidRPr="00FA6897">
              <w:rPr>
                <w:lang w:val="en-US" w:eastAsia="en-US"/>
              </w:rPr>
              <w:t xml:space="preserve">publicly </w:t>
            </w:r>
            <w:r>
              <w:rPr>
                <w:lang w:val="en-US" w:eastAsia="en-US"/>
              </w:rPr>
              <w:t>released data from</w:t>
            </w:r>
            <w:r w:rsidR="00FA6897" w:rsidRPr="00FA6897">
              <w:rPr>
                <w:lang w:val="en-US" w:eastAsia="en-US"/>
              </w:rPr>
              <w:t xml:space="preserve"> the Bureau of Meteorology</w:t>
            </w:r>
            <w:r>
              <w:rPr>
                <w:lang w:val="en-US" w:eastAsia="en-US"/>
              </w:rPr>
              <w:t xml:space="preserve"> at the time of the withdrawal.</w:t>
            </w:r>
          </w:p>
        </w:tc>
        <w:tc>
          <w:tcPr>
            <w:tcW w:w="3276" w:type="dxa"/>
          </w:tcPr>
          <w:p w:rsidR="00FA6897" w:rsidRDefault="00FA6897" w:rsidP="008E2943">
            <w:pPr>
              <w:pStyle w:val="tabletext"/>
              <w:rPr>
                <w:lang w:val="en-US" w:eastAsia="en-US"/>
              </w:rPr>
            </w:pPr>
            <w:r>
              <w:rPr>
                <w:lang w:val="en-US" w:eastAsia="en-US"/>
              </w:rPr>
              <w:t>Not applicable.</w:t>
            </w:r>
          </w:p>
        </w:tc>
      </w:tr>
      <w:tr w:rsidR="006544F8" w:rsidRPr="004666B8" w:rsidTr="00C01488">
        <w:tc>
          <w:tcPr>
            <w:tcW w:w="6551" w:type="dxa"/>
            <w:gridSpan w:val="2"/>
          </w:tcPr>
          <w:p w:rsidR="006544F8" w:rsidRPr="006544F8" w:rsidRDefault="006544F8" w:rsidP="006544F8">
            <w:pPr>
              <w:pStyle w:val="tabletext"/>
              <w:jc w:val="center"/>
              <w:rPr>
                <w:b/>
                <w:lang w:val="en-US" w:eastAsia="en-US"/>
              </w:rPr>
            </w:pPr>
            <w:r>
              <w:rPr>
                <w:b/>
                <w:lang w:val="en-US" w:eastAsia="en-US"/>
              </w:rPr>
              <w:t>Use of</w:t>
            </w:r>
            <w:r w:rsidRPr="006544F8">
              <w:rPr>
                <w:b/>
                <w:lang w:val="en-US" w:eastAsia="en-US"/>
              </w:rPr>
              <w:t xml:space="preserve"> FMD</w:t>
            </w:r>
            <w:r>
              <w:rPr>
                <w:b/>
                <w:lang w:val="en-US" w:eastAsia="en-US"/>
              </w:rPr>
              <w:t>s with</w:t>
            </w:r>
            <w:r w:rsidRPr="006544F8">
              <w:rPr>
                <w:b/>
                <w:lang w:val="en-US" w:eastAsia="en-US"/>
              </w:rPr>
              <w:t xml:space="preserve"> </w:t>
            </w:r>
            <w:r w:rsidR="00245CFB">
              <w:rPr>
                <w:b/>
                <w:lang w:val="en-US" w:eastAsia="en-US"/>
              </w:rPr>
              <w:t xml:space="preserve">qualifying </w:t>
            </w:r>
            <w:r w:rsidRPr="006544F8">
              <w:rPr>
                <w:b/>
                <w:lang w:val="en-US" w:eastAsia="en-US"/>
              </w:rPr>
              <w:t xml:space="preserve">primary production loan offset accounts </w:t>
            </w:r>
          </w:p>
        </w:tc>
      </w:tr>
      <w:tr w:rsidR="00EA0FD0" w:rsidRPr="004666B8" w:rsidTr="00CB49F3">
        <w:tc>
          <w:tcPr>
            <w:tcW w:w="3275" w:type="dxa"/>
          </w:tcPr>
          <w:p w:rsidR="00A83DE5" w:rsidRDefault="008A366E" w:rsidP="008A366E">
            <w:pPr>
              <w:pStyle w:val="tabletext"/>
              <w:rPr>
                <w:lang w:val="en-US" w:eastAsia="en-US"/>
              </w:rPr>
            </w:pPr>
            <w:r w:rsidRPr="008A366E">
              <w:rPr>
                <w:lang w:val="en-US" w:eastAsia="en-US"/>
              </w:rPr>
              <w:t xml:space="preserve">The agreement for the making of </w:t>
            </w:r>
            <w:r>
              <w:rPr>
                <w:lang w:val="en-US" w:eastAsia="en-US"/>
              </w:rPr>
              <w:t xml:space="preserve">an </w:t>
            </w:r>
            <w:r w:rsidRPr="008A366E">
              <w:rPr>
                <w:lang w:val="en-US" w:eastAsia="en-US"/>
              </w:rPr>
              <w:t xml:space="preserve">FMD </w:t>
            </w:r>
            <w:r>
              <w:rPr>
                <w:lang w:val="en-US" w:eastAsia="en-US"/>
              </w:rPr>
              <w:t>can</w:t>
            </w:r>
            <w:r w:rsidRPr="008A366E">
              <w:rPr>
                <w:lang w:val="en-US" w:eastAsia="en-US"/>
              </w:rPr>
              <w:t xml:space="preserve"> allow the </w:t>
            </w:r>
            <w:r w:rsidR="00A253CA">
              <w:rPr>
                <w:lang w:val="en-US" w:eastAsia="en-US"/>
              </w:rPr>
              <w:t xml:space="preserve">linking of an </w:t>
            </w:r>
            <w:r w:rsidRPr="008A366E">
              <w:rPr>
                <w:lang w:val="en-US" w:eastAsia="en-US"/>
              </w:rPr>
              <w:t xml:space="preserve">FMD to </w:t>
            </w:r>
            <w:r w:rsidR="00E965C9">
              <w:rPr>
                <w:lang w:val="en-US" w:eastAsia="en-US"/>
              </w:rPr>
              <w:t xml:space="preserve">a loan </w:t>
            </w:r>
            <w:r w:rsidR="003B2F0A">
              <w:rPr>
                <w:lang w:val="en-US" w:eastAsia="en-US"/>
              </w:rPr>
              <w:t xml:space="preserve">or other debt </w:t>
            </w:r>
            <w:r w:rsidR="00E965C9">
              <w:rPr>
                <w:lang w:val="en-US" w:eastAsia="en-US"/>
              </w:rPr>
              <w:t xml:space="preserve">of the FMD owner or their partnership </w:t>
            </w:r>
            <w:r w:rsidR="00A83DE5">
              <w:rPr>
                <w:lang w:val="en-US" w:eastAsia="en-US"/>
              </w:rPr>
              <w:t>to red</w:t>
            </w:r>
            <w:r w:rsidR="007F3067">
              <w:rPr>
                <w:lang w:val="en-US" w:eastAsia="en-US"/>
              </w:rPr>
              <w:t xml:space="preserve">uce the interest charged on </w:t>
            </w:r>
            <w:r w:rsidR="00A83DE5">
              <w:rPr>
                <w:lang w:val="en-US" w:eastAsia="en-US"/>
              </w:rPr>
              <w:t>that loan or other debt if:</w:t>
            </w:r>
          </w:p>
          <w:p w:rsidR="00A83DE5" w:rsidRDefault="00E965C9" w:rsidP="005E0C5E">
            <w:pPr>
              <w:pStyle w:val="tabledotpoint"/>
              <w:rPr>
                <w:lang w:val="en-US" w:eastAsia="en-US"/>
              </w:rPr>
            </w:pPr>
            <w:r>
              <w:rPr>
                <w:lang w:val="en-US" w:eastAsia="en-US"/>
              </w:rPr>
              <w:t xml:space="preserve">they are carrying </w:t>
            </w:r>
            <w:r w:rsidR="00A83DE5">
              <w:rPr>
                <w:lang w:val="en-US" w:eastAsia="en-US"/>
              </w:rPr>
              <w:t xml:space="preserve">on </w:t>
            </w:r>
            <w:r w:rsidR="004C4FA4">
              <w:rPr>
                <w:lang w:val="en-US" w:eastAsia="en-US"/>
              </w:rPr>
              <w:t>a</w:t>
            </w:r>
            <w:r>
              <w:rPr>
                <w:lang w:val="en-US" w:eastAsia="en-US"/>
              </w:rPr>
              <w:t xml:space="preserve"> primary production business</w:t>
            </w:r>
            <w:r w:rsidR="00A83DE5">
              <w:rPr>
                <w:lang w:val="en-US" w:eastAsia="en-US"/>
              </w:rPr>
              <w:t>;</w:t>
            </w:r>
            <w:r>
              <w:rPr>
                <w:lang w:val="en-US" w:eastAsia="en-US"/>
              </w:rPr>
              <w:t xml:space="preserve"> and </w:t>
            </w:r>
          </w:p>
          <w:p w:rsidR="00A83DE5" w:rsidRDefault="00E965C9" w:rsidP="005E0C5E">
            <w:pPr>
              <w:pStyle w:val="tabledotpoint"/>
              <w:rPr>
                <w:lang w:val="en-US" w:eastAsia="en-US"/>
              </w:rPr>
            </w:pPr>
            <w:r>
              <w:rPr>
                <w:lang w:val="en-US" w:eastAsia="en-US"/>
              </w:rPr>
              <w:t>the loan is used wholly for the purpose of that business</w:t>
            </w:r>
            <w:r w:rsidR="004C4FA4">
              <w:rPr>
                <w:lang w:val="en-US" w:eastAsia="en-US"/>
              </w:rPr>
              <w:t xml:space="preserve">. </w:t>
            </w:r>
          </w:p>
          <w:p w:rsidR="00EA0FD0" w:rsidRDefault="003A6E97" w:rsidP="00FA6897">
            <w:pPr>
              <w:pStyle w:val="tabletext"/>
              <w:rPr>
                <w:lang w:val="en-US" w:eastAsia="en-US"/>
              </w:rPr>
            </w:pPr>
            <w:r>
              <w:rPr>
                <w:lang w:val="en-US" w:eastAsia="en-US"/>
              </w:rPr>
              <w:t>To the extent that</w:t>
            </w:r>
            <w:r w:rsidR="008A366E" w:rsidRPr="008A366E">
              <w:rPr>
                <w:lang w:val="en-US" w:eastAsia="en-US"/>
              </w:rPr>
              <w:t xml:space="preserve"> a</w:t>
            </w:r>
            <w:r>
              <w:rPr>
                <w:lang w:val="en-US" w:eastAsia="en-US"/>
              </w:rPr>
              <w:t xml:space="preserve">n FMD </w:t>
            </w:r>
            <w:r w:rsidR="00BD2DCF">
              <w:rPr>
                <w:lang w:val="en-US" w:eastAsia="en-US"/>
              </w:rPr>
              <w:t xml:space="preserve">loan offset arrangement results in a lower amount of </w:t>
            </w:r>
            <w:r>
              <w:rPr>
                <w:lang w:val="en-US" w:eastAsia="en-US"/>
              </w:rPr>
              <w:t xml:space="preserve">interest payable on a </w:t>
            </w:r>
            <w:r w:rsidR="00E965C9">
              <w:rPr>
                <w:lang w:val="en-US" w:eastAsia="en-US"/>
              </w:rPr>
              <w:t xml:space="preserve">loan </w:t>
            </w:r>
            <w:r w:rsidR="00010EEF">
              <w:rPr>
                <w:lang w:val="en-US" w:eastAsia="en-US"/>
              </w:rPr>
              <w:t>or other debt other than for the purposes of a primary production business of the FMD owner or a partnership in which they are a partner</w:t>
            </w:r>
            <w:r w:rsidR="00E965C9">
              <w:rPr>
                <w:lang w:val="en-US" w:eastAsia="en-US"/>
              </w:rPr>
              <w:t>, then an administrative penalty</w:t>
            </w:r>
            <w:r w:rsidR="00FA6897">
              <w:rPr>
                <w:lang w:val="en-US" w:eastAsia="en-US"/>
              </w:rPr>
              <w:t xml:space="preserve"> is payable. The administrative penalty</w:t>
            </w:r>
            <w:r w:rsidR="00E965C9">
              <w:rPr>
                <w:lang w:val="en-US" w:eastAsia="en-US"/>
              </w:rPr>
              <w:t xml:space="preserve"> equal</w:t>
            </w:r>
            <w:r w:rsidR="00FA6897">
              <w:rPr>
                <w:lang w:val="en-US" w:eastAsia="en-US"/>
              </w:rPr>
              <w:t>s</w:t>
            </w:r>
            <w:r w:rsidR="00E965C9">
              <w:rPr>
                <w:lang w:val="en-US" w:eastAsia="en-US"/>
              </w:rPr>
              <w:t xml:space="preserve"> 200 percent of the </w:t>
            </w:r>
            <w:r w:rsidR="00010EEF">
              <w:rPr>
                <w:lang w:val="en-US" w:eastAsia="en-US"/>
              </w:rPr>
              <w:t xml:space="preserve">amount by which </w:t>
            </w:r>
            <w:r w:rsidR="00BD2DCF">
              <w:rPr>
                <w:lang w:val="en-US" w:eastAsia="en-US"/>
              </w:rPr>
              <w:t xml:space="preserve">interest </w:t>
            </w:r>
            <w:r w:rsidR="00BD2DCF" w:rsidRPr="00BD2DCF">
              <w:rPr>
                <w:lang w:val="en-US" w:eastAsia="en-US"/>
              </w:rPr>
              <w:t xml:space="preserve">has been reduced on the portion of the loan subject to the non-qualifying </w:t>
            </w:r>
            <w:r w:rsidR="00BD2DCF">
              <w:rPr>
                <w:lang w:val="en-US" w:eastAsia="en-US"/>
              </w:rPr>
              <w:t>purpose.</w:t>
            </w:r>
          </w:p>
        </w:tc>
        <w:tc>
          <w:tcPr>
            <w:tcW w:w="3276" w:type="dxa"/>
          </w:tcPr>
          <w:p w:rsidR="006544FF" w:rsidRPr="006544FF" w:rsidRDefault="00910E4D" w:rsidP="006544FF">
            <w:pPr>
              <w:pStyle w:val="tabletext"/>
              <w:rPr>
                <w:lang w:val="en-US" w:eastAsia="en-US"/>
              </w:rPr>
            </w:pPr>
            <w:r>
              <w:rPr>
                <w:lang w:val="en-US" w:eastAsia="en-US"/>
              </w:rPr>
              <w:t>T</w:t>
            </w:r>
            <w:r w:rsidR="006544FF" w:rsidRPr="006544FF">
              <w:rPr>
                <w:lang w:val="en-US" w:eastAsia="en-US"/>
              </w:rPr>
              <w:t xml:space="preserve">he agreement for the making of </w:t>
            </w:r>
            <w:r w:rsidR="008A366E">
              <w:rPr>
                <w:lang w:val="en-US" w:eastAsia="en-US"/>
              </w:rPr>
              <w:t>an</w:t>
            </w:r>
            <w:r w:rsidR="006544FF" w:rsidRPr="006544FF">
              <w:rPr>
                <w:lang w:val="en-US" w:eastAsia="en-US"/>
              </w:rPr>
              <w:t xml:space="preserve"> FMD must not allow the FMD to be used </w:t>
            </w:r>
            <w:r w:rsidR="00A253CA">
              <w:rPr>
                <w:lang w:val="en-US" w:eastAsia="en-US"/>
              </w:rPr>
              <w:t>for loan offset purposes</w:t>
            </w:r>
            <w:r w:rsidR="00484559">
              <w:rPr>
                <w:lang w:val="en-US" w:eastAsia="en-US"/>
              </w:rPr>
              <w:t>.</w:t>
            </w:r>
          </w:p>
          <w:p w:rsidR="00BE3A46" w:rsidRDefault="00910E4D" w:rsidP="00606766">
            <w:pPr>
              <w:pStyle w:val="tabletext"/>
              <w:rPr>
                <w:lang w:val="en-US" w:eastAsia="en-US"/>
              </w:rPr>
            </w:pPr>
            <w:r>
              <w:rPr>
                <w:lang w:val="en-US" w:eastAsia="en-US"/>
              </w:rPr>
              <w:t xml:space="preserve">The </w:t>
            </w:r>
            <w:r w:rsidR="006544FF" w:rsidRPr="006544FF">
              <w:rPr>
                <w:lang w:val="en-US" w:eastAsia="en-US"/>
              </w:rPr>
              <w:t>use of a</w:t>
            </w:r>
            <w:r w:rsidR="00FD69D5">
              <w:rPr>
                <w:lang w:val="en-US" w:eastAsia="en-US"/>
              </w:rPr>
              <w:t>n FMD for</w:t>
            </w:r>
            <w:r w:rsidR="006544FF" w:rsidRPr="006544FF">
              <w:rPr>
                <w:lang w:val="en-US" w:eastAsia="en-US"/>
              </w:rPr>
              <w:t xml:space="preserve"> loa</w:t>
            </w:r>
            <w:r w:rsidR="003210A1">
              <w:rPr>
                <w:lang w:val="en-US" w:eastAsia="en-US"/>
              </w:rPr>
              <w:t xml:space="preserve">n offset </w:t>
            </w:r>
            <w:r w:rsidR="00FD69D5">
              <w:rPr>
                <w:lang w:val="en-US" w:eastAsia="en-US"/>
              </w:rPr>
              <w:t>purposes</w:t>
            </w:r>
            <w:r w:rsidR="003210A1">
              <w:rPr>
                <w:lang w:val="en-US" w:eastAsia="en-US"/>
              </w:rPr>
              <w:t xml:space="preserve"> </w:t>
            </w:r>
            <w:r w:rsidR="006544FF" w:rsidRPr="006544FF">
              <w:rPr>
                <w:lang w:val="en-US" w:eastAsia="en-US"/>
              </w:rPr>
              <w:t>result</w:t>
            </w:r>
            <w:r w:rsidR="003210A1">
              <w:rPr>
                <w:lang w:val="en-US" w:eastAsia="en-US"/>
              </w:rPr>
              <w:t>s</w:t>
            </w:r>
            <w:r w:rsidR="006544FF" w:rsidRPr="006544FF">
              <w:rPr>
                <w:lang w:val="en-US" w:eastAsia="en-US"/>
              </w:rPr>
              <w:t xml:space="preserve"> in the deposit being treated as if it was never an FMD</w:t>
            </w:r>
            <w:r w:rsidR="00BE3A46">
              <w:rPr>
                <w:lang w:val="en-US" w:eastAsia="en-US"/>
              </w:rPr>
              <w:t>.</w:t>
            </w:r>
          </w:p>
        </w:tc>
      </w:tr>
      <w:tr w:rsidR="008573AE" w:rsidRPr="004666B8" w:rsidTr="000B5E93">
        <w:tc>
          <w:tcPr>
            <w:tcW w:w="6551" w:type="dxa"/>
            <w:gridSpan w:val="2"/>
          </w:tcPr>
          <w:p w:rsidR="008573AE" w:rsidRPr="00606766" w:rsidRDefault="008573AE">
            <w:pPr>
              <w:pStyle w:val="tabletext"/>
              <w:rPr>
                <w:b/>
                <w:lang w:val="en-US" w:eastAsia="en-US"/>
              </w:rPr>
            </w:pPr>
            <w:r w:rsidRPr="00606766">
              <w:rPr>
                <w:b/>
                <w:lang w:val="en-US" w:eastAsia="en-US"/>
              </w:rPr>
              <w:t>Effect of FMD offset arrangement on interest income and deductions</w:t>
            </w:r>
          </w:p>
        </w:tc>
      </w:tr>
      <w:tr w:rsidR="008573AE" w:rsidRPr="004666B8" w:rsidTr="00CB49F3">
        <w:tc>
          <w:tcPr>
            <w:tcW w:w="3275" w:type="dxa"/>
          </w:tcPr>
          <w:p w:rsidR="008573AE" w:rsidRDefault="008573AE">
            <w:pPr>
              <w:pStyle w:val="tabletext"/>
              <w:rPr>
                <w:lang w:val="en-US" w:eastAsia="en-US"/>
              </w:rPr>
            </w:pPr>
            <w:r>
              <w:rPr>
                <w:lang w:val="en-US" w:eastAsia="en-US"/>
              </w:rPr>
              <w:t xml:space="preserve">For the avoidance of doubt, these amendments </w:t>
            </w:r>
            <w:r w:rsidR="00C631B6">
              <w:rPr>
                <w:lang w:val="en-US" w:eastAsia="en-US"/>
              </w:rPr>
              <w:t>clarify</w:t>
            </w:r>
            <w:r>
              <w:rPr>
                <w:lang w:val="en-US" w:eastAsia="en-US"/>
              </w:rPr>
              <w:t xml:space="preserve"> that i</w:t>
            </w:r>
            <w:r w:rsidRPr="00FA6897">
              <w:rPr>
                <w:lang w:val="en-US" w:eastAsia="en-US"/>
              </w:rPr>
              <w:t xml:space="preserve">f an amount </w:t>
            </w:r>
            <w:r w:rsidR="00C631B6">
              <w:rPr>
                <w:lang w:val="en-US" w:eastAsia="en-US"/>
              </w:rPr>
              <w:t>would otherwise be</w:t>
            </w:r>
            <w:r w:rsidRPr="00FA6897">
              <w:rPr>
                <w:lang w:val="en-US" w:eastAsia="en-US"/>
              </w:rPr>
              <w:t xml:space="preserve"> </w:t>
            </w:r>
            <w:r>
              <w:rPr>
                <w:lang w:val="en-US" w:eastAsia="en-US"/>
              </w:rPr>
              <w:t>included in</w:t>
            </w:r>
            <w:r w:rsidR="00C631B6">
              <w:rPr>
                <w:lang w:val="en-US" w:eastAsia="en-US"/>
              </w:rPr>
              <w:t xml:space="preserve"> the</w:t>
            </w:r>
            <w:r>
              <w:rPr>
                <w:lang w:val="en-US" w:eastAsia="en-US"/>
              </w:rPr>
              <w:t xml:space="preserve"> assessable income</w:t>
            </w:r>
            <w:r w:rsidRPr="00FA6897">
              <w:rPr>
                <w:lang w:val="en-US" w:eastAsia="en-US"/>
              </w:rPr>
              <w:t xml:space="preserve"> </w:t>
            </w:r>
            <w:r w:rsidR="00C631B6">
              <w:rPr>
                <w:lang w:val="en-US" w:eastAsia="en-US"/>
              </w:rPr>
              <w:t>of the</w:t>
            </w:r>
            <w:r>
              <w:rPr>
                <w:lang w:val="en-US" w:eastAsia="en-US"/>
              </w:rPr>
              <w:t xml:space="preserve"> FMD owner as a result of </w:t>
            </w:r>
            <w:r w:rsidR="00A8088C">
              <w:rPr>
                <w:lang w:val="en-US" w:eastAsia="en-US"/>
              </w:rPr>
              <w:t>entering into</w:t>
            </w:r>
            <w:r>
              <w:rPr>
                <w:lang w:val="en-US" w:eastAsia="en-US"/>
              </w:rPr>
              <w:t xml:space="preserve"> a qualifying </w:t>
            </w:r>
            <w:r w:rsidRPr="00FA6897">
              <w:rPr>
                <w:lang w:val="en-US" w:eastAsia="en-US"/>
              </w:rPr>
              <w:t xml:space="preserve">loan offset arrangement, </w:t>
            </w:r>
            <w:r>
              <w:rPr>
                <w:lang w:val="en-US" w:eastAsia="en-US"/>
              </w:rPr>
              <w:t xml:space="preserve">then such </w:t>
            </w:r>
            <w:r w:rsidRPr="00FA6897">
              <w:rPr>
                <w:lang w:val="en-US" w:eastAsia="en-US"/>
              </w:rPr>
              <w:t>income is neither assessable income nor exempt income.</w:t>
            </w:r>
            <w:r>
              <w:rPr>
                <w:lang w:val="en-US" w:eastAsia="en-US"/>
              </w:rPr>
              <w:t xml:space="preserve"> The amendments also </w:t>
            </w:r>
            <w:r w:rsidR="00C631B6">
              <w:rPr>
                <w:lang w:val="en-US" w:eastAsia="en-US"/>
              </w:rPr>
              <w:t>clarify</w:t>
            </w:r>
            <w:r>
              <w:rPr>
                <w:lang w:val="en-US" w:eastAsia="en-US"/>
              </w:rPr>
              <w:t xml:space="preserve"> that any corresponding deduction is </w:t>
            </w:r>
            <w:r w:rsidR="00A8088C">
              <w:rPr>
                <w:lang w:val="en-US" w:eastAsia="en-US"/>
              </w:rPr>
              <w:t>limited to the actual amount charged.</w:t>
            </w:r>
          </w:p>
          <w:p w:rsidR="008573AE" w:rsidRDefault="008573AE">
            <w:pPr>
              <w:pStyle w:val="tabletext"/>
              <w:rPr>
                <w:lang w:val="en-US" w:eastAsia="en-US"/>
              </w:rPr>
            </w:pPr>
            <w:r>
              <w:rPr>
                <w:lang w:val="en-US" w:eastAsia="en-US"/>
              </w:rPr>
              <w:t>To the extent that an FMD offset arrangement is non-qualifying, t</w:t>
            </w:r>
            <w:r w:rsidRPr="008573AE">
              <w:rPr>
                <w:lang w:val="en-US" w:eastAsia="en-US"/>
              </w:rPr>
              <w:t xml:space="preserve">he treatment of interest income and deductions depends on the application of the </w:t>
            </w:r>
            <w:r w:rsidR="00C631B6">
              <w:rPr>
                <w:lang w:val="en-US" w:eastAsia="en-US"/>
              </w:rPr>
              <w:t xml:space="preserve">general </w:t>
            </w:r>
            <w:r w:rsidRPr="008573AE">
              <w:rPr>
                <w:lang w:val="en-US" w:eastAsia="en-US"/>
              </w:rPr>
              <w:t>income tax law to the arrangement.</w:t>
            </w:r>
          </w:p>
        </w:tc>
        <w:tc>
          <w:tcPr>
            <w:tcW w:w="3276" w:type="dxa"/>
          </w:tcPr>
          <w:p w:rsidR="008573AE" w:rsidRDefault="008573AE" w:rsidP="006544FF">
            <w:pPr>
              <w:pStyle w:val="tabletext"/>
              <w:rPr>
                <w:lang w:val="en-US" w:eastAsia="en-US"/>
              </w:rPr>
            </w:pPr>
            <w:r>
              <w:rPr>
                <w:lang w:val="en-US" w:eastAsia="en-US"/>
              </w:rPr>
              <w:t xml:space="preserve">The treatment of interest income and deductions depends on the application of the </w:t>
            </w:r>
            <w:r w:rsidR="00C631B6">
              <w:rPr>
                <w:lang w:val="en-US" w:eastAsia="en-US"/>
              </w:rPr>
              <w:t xml:space="preserve">general </w:t>
            </w:r>
            <w:r>
              <w:rPr>
                <w:lang w:val="en-US" w:eastAsia="en-US"/>
              </w:rPr>
              <w:t>income tax law to the arrangement.</w:t>
            </w:r>
          </w:p>
        </w:tc>
      </w:tr>
    </w:tbl>
    <w:p w:rsidR="003276A9" w:rsidRDefault="003276A9" w:rsidP="00CB49F3">
      <w:pPr>
        <w:pStyle w:val="Heading2"/>
      </w:pPr>
      <w:r>
        <w:t>Detailed explanation of new law</w:t>
      </w:r>
    </w:p>
    <w:p w:rsidR="002B228D" w:rsidRDefault="00313B68" w:rsidP="00313B68">
      <w:pPr>
        <w:pStyle w:val="base-text-paragraph"/>
      </w:pPr>
      <w:r>
        <w:t xml:space="preserve">Schedule </w:t>
      </w:r>
      <w:r w:rsidR="00D46E91">
        <w:t>1</w:t>
      </w:r>
      <w:r>
        <w:t xml:space="preserve"> makes a number of reforms to the income tax treatment of FMD</w:t>
      </w:r>
      <w:r w:rsidR="002B228D">
        <w:t>s.</w:t>
      </w:r>
    </w:p>
    <w:p w:rsidR="00313B68" w:rsidRDefault="002B228D" w:rsidP="002B228D">
      <w:pPr>
        <w:pStyle w:val="Heading3"/>
      </w:pPr>
      <w:r w:rsidRPr="002B228D">
        <w:t>Increase in FMD cap</w:t>
      </w:r>
    </w:p>
    <w:p w:rsidR="00313B68" w:rsidRDefault="002B228D" w:rsidP="00313B68">
      <w:pPr>
        <w:pStyle w:val="base-text-paragraph"/>
      </w:pPr>
      <w:r>
        <w:t xml:space="preserve">Schedule </w:t>
      </w:r>
      <w:r w:rsidR="00D46E91">
        <w:t>1</w:t>
      </w:r>
      <w:r>
        <w:t xml:space="preserve"> increases the maximum </w:t>
      </w:r>
      <w:r w:rsidR="00313B68">
        <w:t>amount that</w:t>
      </w:r>
      <w:r w:rsidR="004A1BF3">
        <w:t xml:space="preserve"> an individual can ho</w:t>
      </w:r>
      <w:r w:rsidR="00313B68">
        <w:t>ld in FMD</w:t>
      </w:r>
      <w:r w:rsidR="00010EEF">
        <w:t>s</w:t>
      </w:r>
      <w:r w:rsidR="00313B68">
        <w:t xml:space="preserve"> </w:t>
      </w:r>
      <w:r w:rsidR="005D1A67">
        <w:t xml:space="preserve">at any time </w:t>
      </w:r>
      <w:r>
        <w:t xml:space="preserve">from $400,000 to $800,000. This </w:t>
      </w:r>
      <w:r w:rsidR="005731C6">
        <w:t xml:space="preserve">enhances the capacity of </w:t>
      </w:r>
      <w:r>
        <w:t xml:space="preserve">the FMD </w:t>
      </w:r>
      <w:r w:rsidR="005D1A67">
        <w:t xml:space="preserve">framework </w:t>
      </w:r>
      <w:r w:rsidR="005731C6">
        <w:t>to assist</w:t>
      </w:r>
      <w:r>
        <w:t xml:space="preserve"> </w:t>
      </w:r>
      <w:r w:rsidR="00543A8D">
        <w:t>primary producers</w:t>
      </w:r>
      <w:r>
        <w:t xml:space="preserve"> to manage seasonal fluctuations in cash flow</w:t>
      </w:r>
      <w:r w:rsidR="00F14001">
        <w:t>, including</w:t>
      </w:r>
      <w:r w:rsidR="005731C6">
        <w:t xml:space="preserve"> </w:t>
      </w:r>
      <w:r w:rsidR="00543A8D">
        <w:t>extended periods of positive or negative cash flow</w:t>
      </w:r>
      <w:r>
        <w:t xml:space="preserve">. </w:t>
      </w:r>
      <w:r w:rsidR="00616C15" w:rsidRPr="00616C15">
        <w:rPr>
          <w:rStyle w:val="Referencingstyle"/>
        </w:rPr>
        <w:t xml:space="preserve">[Schedule </w:t>
      </w:r>
      <w:r w:rsidR="001D3DAE">
        <w:rPr>
          <w:rStyle w:val="Referencingstyle"/>
        </w:rPr>
        <w:t>1</w:t>
      </w:r>
      <w:r w:rsidR="00616C15" w:rsidRPr="00616C15">
        <w:rPr>
          <w:rStyle w:val="Referencingstyle"/>
        </w:rPr>
        <w:t xml:space="preserve">, item </w:t>
      </w:r>
      <w:r w:rsidR="00CF4204">
        <w:rPr>
          <w:rStyle w:val="Referencingstyle"/>
        </w:rPr>
        <w:t>8</w:t>
      </w:r>
      <w:r w:rsidR="00616C15" w:rsidRPr="00616C15">
        <w:rPr>
          <w:rStyle w:val="Referencingstyle"/>
        </w:rPr>
        <w:t>, table item 10, section 393-35]</w:t>
      </w:r>
    </w:p>
    <w:p w:rsidR="00C95775" w:rsidRDefault="00C95775" w:rsidP="00C95775">
      <w:pPr>
        <w:pStyle w:val="ExampleHeading"/>
      </w:pPr>
      <w:r>
        <w:t>: Higher contribution to FMDs</w:t>
      </w:r>
    </w:p>
    <w:p w:rsidR="00C95775" w:rsidRPr="00C95775" w:rsidRDefault="00C95775" w:rsidP="00C95775">
      <w:pPr>
        <w:pStyle w:val="exampletext"/>
      </w:pPr>
      <w:r>
        <w:t>Sebastien holds $40</w:t>
      </w:r>
      <w:r w:rsidR="000423D9">
        <w:t>0,000 in an FMD on 30 June 2016 and continues to meet all eligibility requirements concerning the FMD.</w:t>
      </w:r>
      <w:r>
        <w:t xml:space="preserve">  He experience</w:t>
      </w:r>
      <w:r w:rsidR="00337776">
        <w:t>s</w:t>
      </w:r>
      <w:r>
        <w:t xml:space="preserve"> strong gro</w:t>
      </w:r>
      <w:r w:rsidR="005731C6">
        <w:t xml:space="preserve">wth in </w:t>
      </w:r>
      <w:r w:rsidR="009C066B">
        <w:t>his</w:t>
      </w:r>
      <w:r>
        <w:t xml:space="preserve"> primary production business, with sale prices for his produce </w:t>
      </w:r>
      <w:r w:rsidR="00337776">
        <w:t>increasing</w:t>
      </w:r>
      <w:r>
        <w:t xml:space="preserve">. </w:t>
      </w:r>
    </w:p>
    <w:p w:rsidR="00C95775" w:rsidRPr="00C95775" w:rsidRDefault="00C95775" w:rsidP="00C95775">
      <w:pPr>
        <w:pStyle w:val="exampletext"/>
      </w:pPr>
      <w:r>
        <w:t>Sebastien dep</w:t>
      </w:r>
      <w:r w:rsidR="004A1BF3">
        <w:t xml:space="preserve">osits $200,000 in an FMD in both the </w:t>
      </w:r>
      <w:r>
        <w:t>2016-17 income year and also the 2017-18 income</w:t>
      </w:r>
      <w:r w:rsidR="000423D9">
        <w:t xml:space="preserve"> year</w:t>
      </w:r>
      <w:r>
        <w:t>.</w:t>
      </w:r>
      <w:r w:rsidR="000423D9">
        <w:t xml:space="preserve">  Following the second deposit, Sebastien has reached the $800,000 cap on </w:t>
      </w:r>
      <w:r w:rsidR="00337776">
        <w:t xml:space="preserve">amounts he can deposit to </w:t>
      </w:r>
      <w:r w:rsidR="00B708A3">
        <w:t xml:space="preserve">an </w:t>
      </w:r>
      <w:r w:rsidR="000423D9">
        <w:t xml:space="preserve">FMD.  Any further amount contributed will not </w:t>
      </w:r>
      <w:r w:rsidR="004A1BF3">
        <w:t>be a</w:t>
      </w:r>
      <w:r w:rsidR="00AF7FDB">
        <w:t>n</w:t>
      </w:r>
      <w:r w:rsidR="004A1BF3">
        <w:t xml:space="preserve"> FMD</w:t>
      </w:r>
      <w:r w:rsidR="000423D9">
        <w:t xml:space="preserve"> </w:t>
      </w:r>
      <w:r w:rsidR="009C066B">
        <w:t>under subsection 393</w:t>
      </w:r>
      <w:r w:rsidR="009C066B">
        <w:noBreakHyphen/>
        <w:t xml:space="preserve">30(3) </w:t>
      </w:r>
      <w:r w:rsidR="004A1BF3">
        <w:t>an</w:t>
      </w:r>
      <w:r w:rsidR="00AF7FDB">
        <w:t>d</w:t>
      </w:r>
      <w:r w:rsidR="004A1BF3">
        <w:t xml:space="preserve"> will not qualify for a </w:t>
      </w:r>
      <w:r w:rsidR="000423D9">
        <w:t>deduction under section 393</w:t>
      </w:r>
      <w:r w:rsidR="000423D9">
        <w:noBreakHyphen/>
        <w:t>5.</w:t>
      </w:r>
      <w:r>
        <w:t xml:space="preserve"> </w:t>
      </w:r>
    </w:p>
    <w:p w:rsidR="00543A8D" w:rsidRDefault="00543A8D" w:rsidP="00543A8D">
      <w:pPr>
        <w:pStyle w:val="Heading3"/>
      </w:pPr>
      <w:r w:rsidRPr="00543A8D">
        <w:t>Consequences of early withdrawal of FMDs because of severe drought</w:t>
      </w:r>
    </w:p>
    <w:p w:rsidR="005663E4" w:rsidRDefault="005663E4" w:rsidP="005663E4">
      <w:pPr>
        <w:pStyle w:val="base-text-paragraph"/>
      </w:pPr>
      <w:r>
        <w:t xml:space="preserve">Schedule 1 allows a primary producer to gain early access to an amount held in an FMD if they carry on a qualifying primary production business on land that satisfies a rainfall deficiency test for the period prescribed by regulations. If no period is prescribed then the test must be met for a consecutive period of six months. Early access to an FMD enables an amount held in an FMD to be withdrawn within 12 months of its deposit without affecting the deduction for the amount deposited to the FMD in the previous income year.  </w:t>
      </w:r>
    </w:p>
    <w:p w:rsidR="0087114D" w:rsidRDefault="00A253CA" w:rsidP="00606766">
      <w:pPr>
        <w:pStyle w:val="base-text-paragraph"/>
      </w:pPr>
      <w:r>
        <w:t>S</w:t>
      </w:r>
      <w:r w:rsidR="000539F9">
        <w:t xml:space="preserve">chedule </w:t>
      </w:r>
      <w:r w:rsidR="00D46E91">
        <w:t>1</w:t>
      </w:r>
      <w:r>
        <w:t xml:space="preserve"> </w:t>
      </w:r>
      <w:r w:rsidR="000539F9">
        <w:t>is designed to</w:t>
      </w:r>
      <w:r w:rsidR="00111844">
        <w:t xml:space="preserve"> </w:t>
      </w:r>
      <w:r w:rsidR="00385114">
        <w:t>assist</w:t>
      </w:r>
      <w:r w:rsidR="00111844">
        <w:t xml:space="preserve"> primary producers </w:t>
      </w:r>
      <w:r w:rsidR="0094397F">
        <w:t xml:space="preserve">to support themselves in times of </w:t>
      </w:r>
      <w:r w:rsidR="00111844">
        <w:t>severe drought</w:t>
      </w:r>
      <w:r w:rsidR="00385114">
        <w:t xml:space="preserve"> by providing them</w:t>
      </w:r>
      <w:r w:rsidR="0094397F">
        <w:t xml:space="preserve"> with</w:t>
      </w:r>
      <w:r w:rsidR="00385114">
        <w:t xml:space="preserve"> early access in these circumstances</w:t>
      </w:r>
      <w:r w:rsidR="00111844">
        <w:t xml:space="preserve">. </w:t>
      </w:r>
      <w:r w:rsidR="00385114">
        <w:t xml:space="preserve">Early access in times of </w:t>
      </w:r>
      <w:r w:rsidR="00B555DC">
        <w:t xml:space="preserve">severe </w:t>
      </w:r>
      <w:r w:rsidR="00385114">
        <w:t>drought</w:t>
      </w:r>
      <w:r w:rsidR="00111844">
        <w:t xml:space="preserve"> has not been available since the repeal of the exceptional circumstances provisions</w:t>
      </w:r>
      <w:r w:rsidR="007A50D3">
        <w:t xml:space="preserve"> </w:t>
      </w:r>
      <w:r w:rsidR="005B3B41">
        <w:t>in</w:t>
      </w:r>
      <w:r w:rsidR="007A50D3">
        <w:t xml:space="preserve"> Commonwealth legislation</w:t>
      </w:r>
      <w:r w:rsidR="00A8088C">
        <w:t xml:space="preserve"> (eg, the former subsection 393</w:t>
      </w:r>
      <w:r w:rsidR="00A8088C">
        <w:noBreakHyphen/>
        <w:t>40(3) repealed in 2014)</w:t>
      </w:r>
      <w:r w:rsidR="00111844">
        <w:t>.</w:t>
      </w:r>
      <w:r w:rsidR="000539F9">
        <w:t xml:space="preserve"> </w:t>
      </w:r>
      <w:r w:rsidR="0087114D">
        <w:t xml:space="preserve">The rainfall deficiency test </w:t>
      </w:r>
      <w:r w:rsidR="007A50D3">
        <w:t xml:space="preserve">restores the ability of </w:t>
      </w:r>
      <w:r w:rsidR="005B3B41">
        <w:t>primary producers</w:t>
      </w:r>
      <w:r w:rsidR="007A50D3">
        <w:t xml:space="preserve"> </w:t>
      </w:r>
      <w:r w:rsidR="00B24F8E">
        <w:t>subject to</w:t>
      </w:r>
      <w:r w:rsidR="007A50D3">
        <w:t xml:space="preserve"> severe drought to access amounts </w:t>
      </w:r>
      <w:r w:rsidR="005D1A67">
        <w:t xml:space="preserve">recently </w:t>
      </w:r>
      <w:r w:rsidR="005B3B41">
        <w:t>deposited to</w:t>
      </w:r>
      <w:r w:rsidR="007A50D3">
        <w:t xml:space="preserve"> FMD</w:t>
      </w:r>
      <w:r w:rsidR="005D1A67">
        <w:t>s</w:t>
      </w:r>
      <w:r w:rsidR="007A50D3">
        <w:t xml:space="preserve"> </w:t>
      </w:r>
      <w:r w:rsidR="00B24F8E">
        <w:t>with an</w:t>
      </w:r>
      <w:r w:rsidR="007A50D3">
        <w:t xml:space="preserve"> objective test </w:t>
      </w:r>
      <w:r w:rsidR="005B3B41">
        <w:t xml:space="preserve">that can </w:t>
      </w:r>
      <w:r w:rsidR="002851AB">
        <w:t xml:space="preserve">be </w:t>
      </w:r>
      <w:r w:rsidR="005B3B41">
        <w:t>appl</w:t>
      </w:r>
      <w:r w:rsidR="002851AB">
        <w:t>ied</w:t>
      </w:r>
      <w:r w:rsidR="005B3B41">
        <w:t xml:space="preserve"> </w:t>
      </w:r>
      <w:r w:rsidR="007A50D3">
        <w:t>using publicly available information.</w:t>
      </w:r>
      <w:r w:rsidR="007A50D3" w:rsidDel="007A50D3">
        <w:t xml:space="preserve"> </w:t>
      </w:r>
    </w:p>
    <w:p w:rsidR="000539F9" w:rsidRDefault="00363299" w:rsidP="00606766">
      <w:pPr>
        <w:pStyle w:val="base-text-paragraph"/>
      </w:pPr>
      <w:r>
        <w:t xml:space="preserve">The schedule is intended to </w:t>
      </w:r>
      <w:r w:rsidR="00BA3278">
        <w:t xml:space="preserve">allow primary producers to deposit amounts into FMDs with confidence, knowing that if </w:t>
      </w:r>
      <w:r w:rsidR="008573AE">
        <w:t xml:space="preserve">they experience a </w:t>
      </w:r>
      <w:r w:rsidR="00BA3278">
        <w:t xml:space="preserve">severe drought </w:t>
      </w:r>
      <w:r w:rsidR="00654B6B">
        <w:t>and they need to access the funds</w:t>
      </w:r>
      <w:r w:rsidR="00FF0BD0">
        <w:t xml:space="preserve"> </w:t>
      </w:r>
      <w:r w:rsidR="002851AB">
        <w:t xml:space="preserve">in the next income year but </w:t>
      </w:r>
      <w:r w:rsidR="00FF0BD0">
        <w:t>within 12 months</w:t>
      </w:r>
      <w:r w:rsidR="00654B6B">
        <w:t xml:space="preserve"> they will not lose access to a previously claimed tax </w:t>
      </w:r>
      <w:r w:rsidR="002851AB">
        <w:t>deduction</w:t>
      </w:r>
      <w:r w:rsidR="00BA3278">
        <w:t>.</w:t>
      </w:r>
      <w:r>
        <w:t xml:space="preserve"> </w:t>
      </w:r>
    </w:p>
    <w:p w:rsidR="003D3FD8" w:rsidRDefault="003D3FD8" w:rsidP="003D3FD8">
      <w:pPr>
        <w:pStyle w:val="Heading4"/>
      </w:pPr>
      <w:r>
        <w:t>Qualifying primary production businesses for early withdrawal</w:t>
      </w:r>
    </w:p>
    <w:p w:rsidR="00A8088C" w:rsidRDefault="00355BAF" w:rsidP="006165F9">
      <w:pPr>
        <w:pStyle w:val="base-text-paragraph"/>
      </w:pPr>
      <w:r w:rsidRPr="00355BAF">
        <w:t xml:space="preserve">The owner of an FMD can carry on such businesses </w:t>
      </w:r>
      <w:r>
        <w:t xml:space="preserve">through a variety of entities. These </w:t>
      </w:r>
      <w:r w:rsidR="007F3067">
        <w:t>entities include</w:t>
      </w:r>
      <w:r w:rsidRPr="00355BAF">
        <w:t xml:space="preserve"> </w:t>
      </w:r>
      <w:r w:rsidR="007F3067">
        <w:t xml:space="preserve">as </w:t>
      </w:r>
      <w:r w:rsidRPr="00355BAF">
        <w:t>a sole trader, as a partner or as a beneficiary that is presently entitled to income of the trust or a unit holder in a fixed trust under section 393-25.</w:t>
      </w:r>
    </w:p>
    <w:p w:rsidR="00337776" w:rsidRDefault="00355BAF" w:rsidP="006165F9">
      <w:pPr>
        <w:pStyle w:val="base-text-paragraph"/>
      </w:pPr>
      <w:r>
        <w:t>However, e</w:t>
      </w:r>
      <w:r w:rsidR="00720347">
        <w:t xml:space="preserve">arly access to FMD withdrawals is only available </w:t>
      </w:r>
      <w:r w:rsidR="00C44D32">
        <w:t>for</w:t>
      </w:r>
      <w:r w:rsidR="00720347">
        <w:t xml:space="preserve"> </w:t>
      </w:r>
      <w:r w:rsidR="00EC52BB">
        <w:t xml:space="preserve">some </w:t>
      </w:r>
      <w:r w:rsidR="00720347">
        <w:t>categories o</w:t>
      </w:r>
      <w:r w:rsidR="00EC52BB">
        <w:t>f primary production businesses</w:t>
      </w:r>
      <w:r w:rsidR="009A4092">
        <w:t xml:space="preserve"> as defined in section 995-1</w:t>
      </w:r>
      <w:r w:rsidR="00EC52BB">
        <w:t xml:space="preserve">. </w:t>
      </w:r>
      <w:r w:rsidR="00CF4204">
        <w:rPr>
          <w:rStyle w:val="Referencingstyle"/>
        </w:rPr>
        <w:t>[Schedule 1, item 11</w:t>
      </w:r>
      <w:r w:rsidR="00B73723">
        <w:rPr>
          <w:rStyle w:val="Referencingstyle"/>
        </w:rPr>
        <w:t>, paragraph</w:t>
      </w:r>
      <w:r w:rsidR="003A233E">
        <w:rPr>
          <w:rStyle w:val="Referencingstyle"/>
        </w:rPr>
        <w:t>s</w:t>
      </w:r>
      <w:r w:rsidR="00B73723">
        <w:rPr>
          <w:rStyle w:val="Referencingstyle"/>
        </w:rPr>
        <w:t xml:space="preserve"> 393-40(3)(a)</w:t>
      </w:r>
      <w:r w:rsidR="003A233E">
        <w:rPr>
          <w:rStyle w:val="Referencingstyle"/>
        </w:rPr>
        <w:t xml:space="preserve"> and (b)</w:t>
      </w:r>
      <w:r w:rsidR="00B73723">
        <w:rPr>
          <w:rStyle w:val="Referencingstyle"/>
        </w:rPr>
        <w:t>]</w:t>
      </w:r>
    </w:p>
    <w:p w:rsidR="00720347" w:rsidRDefault="00EC52BB" w:rsidP="006165F9">
      <w:pPr>
        <w:pStyle w:val="base-text-paragraph"/>
      </w:pPr>
      <w:r>
        <w:t xml:space="preserve">These qualifying </w:t>
      </w:r>
      <w:r w:rsidR="007424B9">
        <w:t xml:space="preserve">classes of </w:t>
      </w:r>
      <w:r>
        <w:t xml:space="preserve">primary production businesses </w:t>
      </w:r>
      <w:r w:rsidR="005417CA">
        <w:t xml:space="preserve">are </w:t>
      </w:r>
      <w:r w:rsidR="00612F2B">
        <w:t>businesses that</w:t>
      </w:r>
      <w:r w:rsidR="00720347">
        <w:t>:</w:t>
      </w:r>
    </w:p>
    <w:p w:rsidR="00720347" w:rsidRDefault="00720347" w:rsidP="00720347">
      <w:pPr>
        <w:pStyle w:val="dotpoint"/>
      </w:pPr>
      <w:r>
        <w:t>cultivat</w:t>
      </w:r>
      <w:r w:rsidR="00612F2B">
        <w:t>e</w:t>
      </w:r>
      <w:r>
        <w:t xml:space="preserve"> or propagat</w:t>
      </w:r>
      <w:r w:rsidR="00612F2B">
        <w:t>e</w:t>
      </w:r>
      <w:r>
        <w:t xml:space="preserve"> plants, fungi or their products or parts</w:t>
      </w:r>
      <w:r w:rsidR="009A4092">
        <w:t xml:space="preserve"> (eg. vegetable cropping, plant propagation, mushroom farming)</w:t>
      </w:r>
      <w:r>
        <w:t xml:space="preserve">; </w:t>
      </w:r>
    </w:p>
    <w:p w:rsidR="00720347" w:rsidRDefault="00720347" w:rsidP="009A4092">
      <w:pPr>
        <w:pStyle w:val="dotpoint"/>
      </w:pPr>
      <w:r>
        <w:t xml:space="preserve">maintain animals for sale or the sale of their </w:t>
      </w:r>
      <w:r w:rsidR="00E906C4">
        <w:t xml:space="preserve">bodily products or </w:t>
      </w:r>
      <w:r>
        <w:t>offspring</w:t>
      </w:r>
      <w:r w:rsidR="009A4092">
        <w:t xml:space="preserve"> (eg. cattle farming, sheep farming including wool production,</w:t>
      </w:r>
      <w:r w:rsidR="009A4092" w:rsidRPr="009A4092">
        <w:t xml:space="preserve"> farming of aquatic </w:t>
      </w:r>
      <w:r w:rsidR="009D28E3">
        <w:t>animals</w:t>
      </w:r>
      <w:r w:rsidR="009A4092">
        <w:t xml:space="preserve"> such as fish, crustaceans and molluscs)</w:t>
      </w:r>
      <w:r>
        <w:t>;</w:t>
      </w:r>
    </w:p>
    <w:p w:rsidR="00720347" w:rsidRDefault="00720347" w:rsidP="00720347">
      <w:pPr>
        <w:pStyle w:val="dotpoint"/>
      </w:pPr>
      <w:r>
        <w:t>produc</w:t>
      </w:r>
      <w:r w:rsidR="00612F2B">
        <w:t>e</w:t>
      </w:r>
      <w:r>
        <w:t xml:space="preserve"> dairy products</w:t>
      </w:r>
      <w:r w:rsidR="00EC52BB">
        <w:t xml:space="preserve"> from raw material produced by the primary producer</w:t>
      </w:r>
      <w:r w:rsidR="009A4092">
        <w:t xml:space="preserve"> (eg. dairy farmers)</w:t>
      </w:r>
      <w:r w:rsidR="00EC52BB">
        <w:t>;</w:t>
      </w:r>
      <w:r w:rsidR="002234E9">
        <w:t xml:space="preserve"> and</w:t>
      </w:r>
    </w:p>
    <w:p w:rsidR="00EC52BB" w:rsidRDefault="00612F2B" w:rsidP="00720347">
      <w:pPr>
        <w:pStyle w:val="dotpoint"/>
      </w:pPr>
      <w:r>
        <w:t>plant or tend</w:t>
      </w:r>
      <w:r w:rsidR="00EC52BB">
        <w:t xml:space="preserve"> trees in a plantation or forest for logging</w:t>
      </w:r>
      <w:r w:rsidR="009A4092">
        <w:t xml:space="preserve"> (eg tree cultivation for logging)</w:t>
      </w:r>
      <w:r w:rsidR="00EC52BB">
        <w:t>.</w:t>
      </w:r>
    </w:p>
    <w:p w:rsidR="00B73723" w:rsidRDefault="00B73723" w:rsidP="005E0C5E">
      <w:pPr>
        <w:pStyle w:val="base-text-paragraph"/>
        <w:numPr>
          <w:ilvl w:val="0"/>
          <w:numId w:val="0"/>
        </w:numPr>
        <w:ind w:left="1134"/>
      </w:pPr>
      <w:r>
        <w:rPr>
          <w:rStyle w:val="Referencingstyle"/>
        </w:rPr>
        <w:t>[Schedu</w:t>
      </w:r>
      <w:r w:rsidR="00D47F4E">
        <w:rPr>
          <w:rStyle w:val="Referencingstyle"/>
        </w:rPr>
        <w:t>le 1, item 11</w:t>
      </w:r>
      <w:r>
        <w:rPr>
          <w:rStyle w:val="Referencingstyle"/>
        </w:rPr>
        <w:t>, paragraph</w:t>
      </w:r>
      <w:r w:rsidR="003A233E">
        <w:rPr>
          <w:rStyle w:val="Referencingstyle"/>
        </w:rPr>
        <w:t>s</w:t>
      </w:r>
      <w:r>
        <w:rPr>
          <w:rStyle w:val="Referencingstyle"/>
        </w:rPr>
        <w:t xml:space="preserve"> 393-40(3)(a)</w:t>
      </w:r>
      <w:r w:rsidR="003A233E">
        <w:rPr>
          <w:rStyle w:val="Referencingstyle"/>
        </w:rPr>
        <w:t xml:space="preserve"> and (b)</w:t>
      </w:r>
      <w:r>
        <w:rPr>
          <w:rStyle w:val="Referencingstyle"/>
        </w:rPr>
        <w:t>]</w:t>
      </w:r>
    </w:p>
    <w:p w:rsidR="005417CA" w:rsidRDefault="005417CA" w:rsidP="006165F9">
      <w:pPr>
        <w:pStyle w:val="base-text-paragraph"/>
      </w:pPr>
      <w:r>
        <w:t>The above</w:t>
      </w:r>
      <w:r w:rsidRPr="005417CA">
        <w:t xml:space="preserve"> types of </w:t>
      </w:r>
      <w:r>
        <w:t xml:space="preserve">primary production </w:t>
      </w:r>
      <w:r w:rsidRPr="005417CA">
        <w:t xml:space="preserve">businesses </w:t>
      </w:r>
      <w:r>
        <w:t xml:space="preserve">are those that </w:t>
      </w:r>
      <w:r w:rsidRPr="005417CA">
        <w:t xml:space="preserve">would be likely to be </w:t>
      </w:r>
      <w:r w:rsidR="007A50D3">
        <w:t xml:space="preserve">directly affected by </w:t>
      </w:r>
      <w:r w:rsidR="008573AE">
        <w:t xml:space="preserve">severe </w:t>
      </w:r>
      <w:r w:rsidRPr="005417CA">
        <w:t xml:space="preserve">drought. </w:t>
      </w:r>
    </w:p>
    <w:p w:rsidR="005417CA" w:rsidRDefault="00EC52BB" w:rsidP="006165F9">
      <w:pPr>
        <w:pStyle w:val="base-text-paragraph"/>
      </w:pPr>
      <w:r>
        <w:t>In contrast, early access to FMDs does not extend to</w:t>
      </w:r>
      <w:r w:rsidR="006708C1">
        <w:t xml:space="preserve"> an FMD owner that only carries on one or more of the following primary production businesses</w:t>
      </w:r>
      <w:r w:rsidR="00CD142E">
        <w:t>:</w:t>
      </w:r>
    </w:p>
    <w:p w:rsidR="005417CA" w:rsidRDefault="00CD142E" w:rsidP="009D28E3">
      <w:pPr>
        <w:pStyle w:val="dotpoint"/>
      </w:pPr>
      <w:r>
        <w:t>c</w:t>
      </w:r>
      <w:r w:rsidR="005417CA">
        <w:t>ommercial fishing</w:t>
      </w:r>
      <w:r w:rsidR="009D28E3">
        <w:t xml:space="preserve">, pearling </w:t>
      </w:r>
      <w:r w:rsidR="005417CA">
        <w:t>and related ac</w:t>
      </w:r>
      <w:r w:rsidR="00581E71">
        <w:t xml:space="preserve">tivities </w:t>
      </w:r>
      <w:r w:rsidR="009D28E3">
        <w:t xml:space="preserve">(other than </w:t>
      </w:r>
      <w:r w:rsidR="009D28E3" w:rsidRPr="009D28E3">
        <w:t>farming of aquatic animals</w:t>
      </w:r>
      <w:r w:rsidR="009D28E3">
        <w:t>)</w:t>
      </w:r>
      <w:r w:rsidR="00581E71">
        <w:t>;</w:t>
      </w:r>
    </w:p>
    <w:p w:rsidR="006708C1" w:rsidRDefault="005417CA" w:rsidP="00606766">
      <w:pPr>
        <w:pStyle w:val="dotpoint"/>
      </w:pPr>
      <w:r>
        <w:t>felling of trees</w:t>
      </w:r>
      <w:r w:rsidR="006708C1">
        <w:t>; or</w:t>
      </w:r>
    </w:p>
    <w:p w:rsidR="00CD142E" w:rsidRDefault="00EC52BB" w:rsidP="00606766">
      <w:pPr>
        <w:pStyle w:val="dotpoint"/>
      </w:pPr>
      <w:r>
        <w:t xml:space="preserve">transporting trees </w:t>
      </w:r>
      <w:r w:rsidR="007424B9">
        <w:t xml:space="preserve">that the transporter </w:t>
      </w:r>
      <w:r>
        <w:t xml:space="preserve">logged for milling </w:t>
      </w:r>
      <w:r w:rsidR="005417CA">
        <w:t xml:space="preserve">or processing </w:t>
      </w:r>
      <w:r>
        <w:t>or to a place for transport to a mill or process</w:t>
      </w:r>
      <w:r w:rsidR="007424B9">
        <w:t>ing plant</w:t>
      </w:r>
      <w:r>
        <w:t xml:space="preserve">. </w:t>
      </w:r>
    </w:p>
    <w:p w:rsidR="007A50D3" w:rsidRDefault="006708C1" w:rsidP="007A50D3">
      <w:pPr>
        <w:pStyle w:val="base-text-paragraph"/>
      </w:pPr>
      <w:r>
        <w:t>Early access does not extend to the above types of primary production businesses</w:t>
      </w:r>
      <w:r w:rsidR="00EC52BB">
        <w:t xml:space="preserve"> because drought conditions do not directly impact on these activities and therefore </w:t>
      </w:r>
      <w:r w:rsidR="00C44D32">
        <w:t>FMD owners</w:t>
      </w:r>
      <w:r w:rsidR="005676CD">
        <w:t xml:space="preserve"> </w:t>
      </w:r>
      <w:r w:rsidR="00CB1673">
        <w:t xml:space="preserve">not </w:t>
      </w:r>
      <w:r w:rsidR="005676CD">
        <w:t xml:space="preserve">involved in </w:t>
      </w:r>
      <w:r w:rsidR="00CB1673">
        <w:t>drought affected</w:t>
      </w:r>
      <w:r w:rsidR="005676CD">
        <w:t xml:space="preserve"> activities</w:t>
      </w:r>
      <w:r w:rsidR="00C44D32">
        <w:t xml:space="preserve"> </w:t>
      </w:r>
      <w:r w:rsidR="00EC52BB">
        <w:t xml:space="preserve">are unlikely </w:t>
      </w:r>
      <w:r w:rsidR="00381F2A">
        <w:t xml:space="preserve">to </w:t>
      </w:r>
      <w:r w:rsidR="00C44D32">
        <w:t>need</w:t>
      </w:r>
      <w:r w:rsidR="00EC52BB">
        <w:t xml:space="preserve"> early access </w:t>
      </w:r>
      <w:r w:rsidR="00CB1673">
        <w:t xml:space="preserve">in </w:t>
      </w:r>
      <w:r w:rsidR="00337776">
        <w:t>times of</w:t>
      </w:r>
      <w:r w:rsidR="005417CA">
        <w:t xml:space="preserve"> severe</w:t>
      </w:r>
      <w:r w:rsidR="00337776">
        <w:t xml:space="preserve"> drought</w:t>
      </w:r>
      <w:r w:rsidR="00EC52BB">
        <w:t>.</w:t>
      </w:r>
      <w:r w:rsidR="007A50D3" w:rsidRPr="007A50D3">
        <w:t xml:space="preserve"> </w:t>
      </w:r>
    </w:p>
    <w:p w:rsidR="007A50D3" w:rsidRDefault="007A50D3" w:rsidP="007A50D3">
      <w:pPr>
        <w:pStyle w:val="base-text-paragraph"/>
      </w:pPr>
      <w:r>
        <w:t xml:space="preserve">If an FMD owner carries on both qualifying and non-qualifying primary production businesses, they can access the early withdrawal </w:t>
      </w:r>
      <w:r w:rsidR="008573AE">
        <w:t xml:space="preserve">concession </w:t>
      </w:r>
      <w:r>
        <w:t xml:space="preserve">for severe drought if they meet the relevant rainfall conditions </w:t>
      </w:r>
      <w:r w:rsidR="00C75978">
        <w:t>for</w:t>
      </w:r>
      <w:r>
        <w:t xml:space="preserve"> their qualifying primary production business.</w:t>
      </w:r>
    </w:p>
    <w:p w:rsidR="003D3FD8" w:rsidRDefault="003D3FD8" w:rsidP="002234E9">
      <w:pPr>
        <w:pStyle w:val="Heading4"/>
      </w:pPr>
      <w:r>
        <w:t xml:space="preserve">Rainfall deficiency </w:t>
      </w:r>
    </w:p>
    <w:p w:rsidR="00357B44" w:rsidRDefault="00357B44" w:rsidP="00357B44">
      <w:pPr>
        <w:pStyle w:val="Heading5"/>
      </w:pPr>
      <w:r>
        <w:t>Rainfall in period prior to withdrawal</w:t>
      </w:r>
    </w:p>
    <w:p w:rsidR="00F3758B" w:rsidRPr="00F3758B" w:rsidRDefault="002234E9" w:rsidP="006165F9">
      <w:pPr>
        <w:pStyle w:val="base-text-paragraph"/>
        <w:rPr>
          <w:rStyle w:val="Referencingstyle"/>
          <w:b w:val="0"/>
          <w:i w:val="0"/>
          <w:sz w:val="22"/>
        </w:rPr>
      </w:pPr>
      <w:r>
        <w:t xml:space="preserve">The rainfall deficiency test that must be met </w:t>
      </w:r>
      <w:r w:rsidR="000A4414">
        <w:t xml:space="preserve">to benefit from the early access concession </w:t>
      </w:r>
      <w:r w:rsidR="00EE23D2">
        <w:t xml:space="preserve">requires that rainfall has not exceeded a </w:t>
      </w:r>
      <w:r w:rsidR="00CF3ACC">
        <w:t>prescribed</w:t>
      </w:r>
      <w:r w:rsidR="00EE23D2">
        <w:t xml:space="preserve"> level in the </w:t>
      </w:r>
      <w:r w:rsidR="00F3758B">
        <w:t xml:space="preserve">prescribed </w:t>
      </w:r>
      <w:r w:rsidR="00EE23D2">
        <w:t xml:space="preserve">period leading up to the </w:t>
      </w:r>
      <w:r w:rsidR="000A4414">
        <w:t xml:space="preserve">FMD </w:t>
      </w:r>
      <w:r w:rsidR="00EE23D2">
        <w:t xml:space="preserve">withdrawal. That is, it </w:t>
      </w:r>
      <w:r w:rsidR="00C44D32">
        <w:t>imposes a prescribed</w:t>
      </w:r>
      <w:r w:rsidR="00573D42">
        <w:t xml:space="preserve"> </w:t>
      </w:r>
      <w:r w:rsidR="00C44D32">
        <w:t>m</w:t>
      </w:r>
      <w:r w:rsidR="00573D42">
        <w:t xml:space="preserve">aximum </w:t>
      </w:r>
      <w:r w:rsidR="00C44D32">
        <w:t>threshold on</w:t>
      </w:r>
      <w:r w:rsidR="00573D42">
        <w:t xml:space="preserve"> rainfall </w:t>
      </w:r>
      <w:r w:rsidR="00C44D32">
        <w:t>tha</w:t>
      </w:r>
      <w:r w:rsidR="00282BC4">
        <w:t>t</w:t>
      </w:r>
      <w:r w:rsidR="00573D42">
        <w:t xml:space="preserve"> ha</w:t>
      </w:r>
      <w:r w:rsidR="00282BC4">
        <w:t>s</w:t>
      </w:r>
      <w:r w:rsidR="00573D42">
        <w:t xml:space="preserve"> been experienced </w:t>
      </w:r>
      <w:r>
        <w:t xml:space="preserve">for a prescribed </w:t>
      </w:r>
      <w:r w:rsidR="00573D42">
        <w:t xml:space="preserve">minimum </w:t>
      </w:r>
      <w:r>
        <w:t>period prior to withdrawal.</w:t>
      </w:r>
      <w:r w:rsidR="00B73723">
        <w:t xml:space="preserve"> </w:t>
      </w:r>
      <w:r w:rsidR="00043032">
        <w:rPr>
          <w:rStyle w:val="Referencingstyle"/>
        </w:rPr>
        <w:t>[Schedule 1, item 11</w:t>
      </w:r>
      <w:r w:rsidR="00B73723">
        <w:rPr>
          <w:rStyle w:val="Referencingstyle"/>
        </w:rPr>
        <w:t>, subparagraph 393</w:t>
      </w:r>
      <w:r w:rsidR="00F3758B">
        <w:rPr>
          <w:rStyle w:val="Referencingstyle"/>
        </w:rPr>
        <w:t xml:space="preserve">-40(3)(b)(i) and </w:t>
      </w:r>
      <w:r w:rsidR="00043032">
        <w:rPr>
          <w:rStyle w:val="Referencingstyle"/>
        </w:rPr>
        <w:t>paragraph</w:t>
      </w:r>
      <w:r w:rsidR="00F3758B">
        <w:rPr>
          <w:rStyle w:val="Referencingstyle"/>
        </w:rPr>
        <w:t xml:space="preserve"> 393</w:t>
      </w:r>
      <w:r w:rsidR="00F3758B">
        <w:rPr>
          <w:rStyle w:val="Referencingstyle"/>
        </w:rPr>
        <w:noBreakHyphen/>
        <w:t>40(3AA)</w:t>
      </w:r>
      <w:r w:rsidR="00043032">
        <w:rPr>
          <w:rStyle w:val="Referencingstyle"/>
        </w:rPr>
        <w:t>(a)</w:t>
      </w:r>
      <w:r w:rsidR="00F3758B">
        <w:rPr>
          <w:rStyle w:val="Referencingstyle"/>
        </w:rPr>
        <w:t>]</w:t>
      </w:r>
    </w:p>
    <w:p w:rsidR="00F3758B" w:rsidRPr="00F3758B" w:rsidRDefault="002234E9" w:rsidP="00F3758B">
      <w:pPr>
        <w:pStyle w:val="base-text-paragraph"/>
      </w:pPr>
      <w:r>
        <w:t xml:space="preserve">If no </w:t>
      </w:r>
      <w:r w:rsidR="00573D42">
        <w:t xml:space="preserve">time </w:t>
      </w:r>
      <w:r>
        <w:t xml:space="preserve">period or rainfall </w:t>
      </w:r>
      <w:r w:rsidR="00C44D32">
        <w:t>threshold</w:t>
      </w:r>
      <w:r>
        <w:t xml:space="preserve"> </w:t>
      </w:r>
      <w:r w:rsidR="00573D42">
        <w:t>is</w:t>
      </w:r>
      <w:r>
        <w:t xml:space="preserve"> prescribed by regulations then the amendments provide </w:t>
      </w:r>
      <w:r w:rsidR="00B24F8E">
        <w:t xml:space="preserve">that the </w:t>
      </w:r>
      <w:r w:rsidR="00F15896">
        <w:t xml:space="preserve">rainfall deficiency condition will be satisfied for a withdrawal if </w:t>
      </w:r>
      <w:r>
        <w:t xml:space="preserve">the </w:t>
      </w:r>
      <w:r w:rsidR="00B2232C">
        <w:t xml:space="preserve">Bureau of </w:t>
      </w:r>
      <w:r w:rsidR="00E16EF9">
        <w:t>Meteorology</w:t>
      </w:r>
      <w:r w:rsidR="00B2232C">
        <w:t xml:space="preserve"> </w:t>
      </w:r>
      <w:r>
        <w:t xml:space="preserve">rainfall </w:t>
      </w:r>
      <w:r w:rsidR="00B2232C">
        <w:t xml:space="preserve">data </w:t>
      </w:r>
      <w:r w:rsidR="008873E6">
        <w:t xml:space="preserve">for </w:t>
      </w:r>
      <w:r w:rsidR="00F15896">
        <w:t xml:space="preserve">the most recent </w:t>
      </w:r>
      <w:r w:rsidR="00282BC4">
        <w:t>six</w:t>
      </w:r>
      <w:r w:rsidR="008873E6">
        <w:t xml:space="preserve"> </w:t>
      </w:r>
      <w:r w:rsidR="00B2232C">
        <w:t xml:space="preserve">consecutive </w:t>
      </w:r>
      <w:r w:rsidR="008873E6">
        <w:t xml:space="preserve">months </w:t>
      </w:r>
      <w:r w:rsidR="00F15896">
        <w:t xml:space="preserve">for which </w:t>
      </w:r>
      <w:r w:rsidR="00B24F8E">
        <w:t>records are publicly</w:t>
      </w:r>
      <w:r w:rsidR="00F15896">
        <w:t xml:space="preserve"> available </w:t>
      </w:r>
      <w:r w:rsidR="00B2232C">
        <w:t xml:space="preserve">preceding withdrawal </w:t>
      </w:r>
      <w:r w:rsidR="00F15896">
        <w:t>is within the lowest</w:t>
      </w:r>
      <w:r w:rsidR="008873E6">
        <w:t xml:space="preserve"> five per cent of </w:t>
      </w:r>
      <w:r w:rsidR="00F15896">
        <w:t xml:space="preserve">recorded </w:t>
      </w:r>
      <w:r w:rsidR="008873E6">
        <w:t xml:space="preserve">rainfall </w:t>
      </w:r>
      <w:r w:rsidR="000A4414">
        <w:t>for that period</w:t>
      </w:r>
      <w:r w:rsidR="00573D42">
        <w:t>.</w:t>
      </w:r>
      <w:r w:rsidR="00F3758B">
        <w:t xml:space="preserve"> </w:t>
      </w:r>
      <w:r w:rsidR="00043032" w:rsidRPr="00043032">
        <w:rPr>
          <w:rStyle w:val="Referencingstyle"/>
        </w:rPr>
        <w:t xml:space="preserve">[Schedule 1, item </w:t>
      </w:r>
      <w:r w:rsidR="00043032">
        <w:rPr>
          <w:rStyle w:val="Referencingstyle"/>
        </w:rPr>
        <w:t>11</w:t>
      </w:r>
      <w:r w:rsidR="00F3758B" w:rsidRPr="005E0C5E">
        <w:rPr>
          <w:rStyle w:val="Referencingstyle"/>
        </w:rPr>
        <w:t>, subparagraph 393</w:t>
      </w:r>
      <w:r w:rsidR="007F3067">
        <w:rPr>
          <w:rStyle w:val="Referencingstyle"/>
        </w:rPr>
        <w:noBreakHyphen/>
      </w:r>
      <w:r w:rsidR="00F3758B" w:rsidRPr="005E0C5E">
        <w:rPr>
          <w:rStyle w:val="Referencingstyle"/>
        </w:rPr>
        <w:t>40(3)(b)(</w:t>
      </w:r>
      <w:r w:rsidR="003A233E">
        <w:rPr>
          <w:rStyle w:val="Referencingstyle"/>
        </w:rPr>
        <w:t>i</w:t>
      </w:r>
      <w:r w:rsidR="003A233E" w:rsidRPr="003A233E">
        <w:rPr>
          <w:rStyle w:val="Referencingstyle"/>
        </w:rPr>
        <w:t>i</w:t>
      </w:r>
      <w:r w:rsidR="003A233E" w:rsidRPr="009464A3">
        <w:rPr>
          <w:rStyle w:val="Referencingstyle"/>
        </w:rPr>
        <w:t xml:space="preserve">) and </w:t>
      </w:r>
      <w:r w:rsidR="003A233E">
        <w:rPr>
          <w:rStyle w:val="Referencingstyle"/>
        </w:rPr>
        <w:t>paragraph</w:t>
      </w:r>
      <w:r w:rsidR="00043032">
        <w:rPr>
          <w:rStyle w:val="Referencingstyle"/>
        </w:rPr>
        <w:t xml:space="preserve"> 393-</w:t>
      </w:r>
      <w:r w:rsidR="003A233E" w:rsidRPr="009464A3">
        <w:rPr>
          <w:rStyle w:val="Referencingstyle"/>
        </w:rPr>
        <w:t>40</w:t>
      </w:r>
      <w:r w:rsidR="003A233E" w:rsidRPr="00043032">
        <w:rPr>
          <w:rStyle w:val="Referencingstyle"/>
        </w:rPr>
        <w:t>(3A</w:t>
      </w:r>
      <w:r w:rsidR="00043032" w:rsidRPr="00043032">
        <w:rPr>
          <w:rStyle w:val="Referencingstyle"/>
        </w:rPr>
        <w:t>A</w:t>
      </w:r>
      <w:r w:rsidR="00F3758B" w:rsidRPr="005E0C5E">
        <w:rPr>
          <w:rStyle w:val="Referencingstyle"/>
        </w:rPr>
        <w:t>)</w:t>
      </w:r>
      <w:r w:rsidR="003A233E" w:rsidRPr="00043032">
        <w:rPr>
          <w:rStyle w:val="Referencingstyle"/>
        </w:rPr>
        <w:t>(</w:t>
      </w:r>
      <w:r w:rsidR="003A233E">
        <w:rPr>
          <w:rStyle w:val="Referencingstyle"/>
        </w:rPr>
        <w:t>b</w:t>
      </w:r>
      <w:r w:rsidR="003A233E" w:rsidRPr="009464A3">
        <w:rPr>
          <w:rStyle w:val="Referencingstyle"/>
        </w:rPr>
        <w:t>)</w:t>
      </w:r>
      <w:r w:rsidR="00F3758B" w:rsidRPr="005E0C5E">
        <w:rPr>
          <w:rStyle w:val="Referencingstyle"/>
        </w:rPr>
        <w:t>]</w:t>
      </w:r>
    </w:p>
    <w:p w:rsidR="005D07E2" w:rsidRDefault="00F15896" w:rsidP="00F949AC">
      <w:pPr>
        <w:pStyle w:val="base-text-paragraph"/>
      </w:pPr>
      <w:r>
        <w:t xml:space="preserve">This test </w:t>
      </w:r>
      <w:r w:rsidR="00D333B6">
        <w:t>considers</w:t>
      </w:r>
      <w:r>
        <w:t xml:space="preserve"> the most recent </w:t>
      </w:r>
      <w:r w:rsidR="00282BC4">
        <w:t>six</w:t>
      </w:r>
      <w:r>
        <w:t xml:space="preserve"> months </w:t>
      </w:r>
      <w:r w:rsidR="00B24F8E">
        <w:t>of rainfall information which is</w:t>
      </w:r>
      <w:r>
        <w:t xml:space="preserve"> publicly available</w:t>
      </w:r>
      <w:r w:rsidR="007A50D3">
        <w:t xml:space="preserve"> from the Bureau of Meteorology </w:t>
      </w:r>
      <w:r w:rsidR="005D07E2">
        <w:t>at the time o</w:t>
      </w:r>
      <w:r w:rsidR="00357B44">
        <w:t xml:space="preserve">f withdrawal of the FMD amount </w:t>
      </w:r>
      <w:r>
        <w:t>to avoid restricting the time withdrawals can be made due to the availability of data</w:t>
      </w:r>
      <w:r w:rsidR="007A50D3">
        <w:t xml:space="preserve">. This Bureau of Meteorology </w:t>
      </w:r>
      <w:r>
        <w:t xml:space="preserve">data </w:t>
      </w:r>
      <w:r w:rsidR="007A50D3">
        <w:t xml:space="preserve">is </w:t>
      </w:r>
      <w:r>
        <w:t xml:space="preserve">collected </w:t>
      </w:r>
      <w:r w:rsidR="003A7EAB">
        <w:t xml:space="preserve">monthly </w:t>
      </w:r>
      <w:r>
        <w:t xml:space="preserve">and published by </w:t>
      </w:r>
      <w:r w:rsidR="003A7EAB">
        <w:t xml:space="preserve">the </w:t>
      </w:r>
      <w:r w:rsidR="00F949AC" w:rsidRPr="00F949AC">
        <w:t>Australian Bureau of Agricultural and Resource Economics</w:t>
      </w:r>
      <w:r w:rsidR="00C75978">
        <w:t xml:space="preserve"> </w:t>
      </w:r>
      <w:r w:rsidR="003A7EAB">
        <w:t xml:space="preserve">and Sciences </w:t>
      </w:r>
      <w:r w:rsidR="00C75978">
        <w:t>on its rainfall monitor tool</w:t>
      </w:r>
      <w:r w:rsidR="005D07E2" w:rsidRPr="00F949AC">
        <w:t>.</w:t>
      </w:r>
      <w:r w:rsidR="005D07E2">
        <w:t xml:space="preserve"> </w:t>
      </w:r>
    </w:p>
    <w:p w:rsidR="008C5040" w:rsidRDefault="008836A0" w:rsidP="008C5040">
      <w:pPr>
        <w:pStyle w:val="Heading4"/>
      </w:pPr>
      <w:r>
        <w:t>L</w:t>
      </w:r>
      <w:r w:rsidR="008C5040">
        <w:t>and subject to withdrawal and deposit rainfall tests</w:t>
      </w:r>
    </w:p>
    <w:p w:rsidR="000916D1" w:rsidRDefault="008C5040" w:rsidP="006165F9">
      <w:pPr>
        <w:pStyle w:val="base-text-paragraph"/>
      </w:pPr>
      <w:r>
        <w:t xml:space="preserve">The final requirement is that the rainfall test for withdrawal must be </w:t>
      </w:r>
      <w:r w:rsidR="00282BC4">
        <w:t>satisfied</w:t>
      </w:r>
      <w:r w:rsidR="00FF4A4A">
        <w:t xml:space="preserve"> in relation to </w:t>
      </w:r>
      <w:r w:rsidR="00F122DE">
        <w:t xml:space="preserve">the </w:t>
      </w:r>
      <w:r w:rsidR="00FF4A4A">
        <w:t>land on which</w:t>
      </w:r>
      <w:r>
        <w:t xml:space="preserve"> the qualifying primary production business is being carried on by the FMD owner. </w:t>
      </w:r>
      <w:r w:rsidR="00F90F92">
        <w:t>T</w:t>
      </w:r>
      <w:r w:rsidR="00F949AC">
        <w:t xml:space="preserve">he </w:t>
      </w:r>
      <w:r w:rsidR="00282BC4">
        <w:t xml:space="preserve">rainfall </w:t>
      </w:r>
      <w:r w:rsidR="00F90F92">
        <w:t>test only needs to be satisfied in relation to a part of the land. I</w:t>
      </w:r>
      <w:r>
        <w:t>t can be just one part of a number of parcels of land from which the business is carried on</w:t>
      </w:r>
      <w:r w:rsidR="00F90F92">
        <w:t>. Alternatively</w:t>
      </w:r>
      <w:r w:rsidR="00E60BE8">
        <w:t xml:space="preserve"> if there </w:t>
      </w:r>
      <w:r w:rsidR="00282BC4">
        <w:t>is</w:t>
      </w:r>
      <w:r w:rsidR="008836A0">
        <w:t xml:space="preserve"> </w:t>
      </w:r>
      <w:r w:rsidR="00E60BE8">
        <w:t>more than one qualifying primary production business, then any part of the land of one of those businesses</w:t>
      </w:r>
      <w:r w:rsidR="00F90F92">
        <w:t xml:space="preserve"> can satisfy the rainfall test</w:t>
      </w:r>
      <w:r w:rsidR="00E60BE8">
        <w:t>.</w:t>
      </w:r>
      <w:r w:rsidR="000916D1">
        <w:t xml:space="preserve"> </w:t>
      </w:r>
    </w:p>
    <w:p w:rsidR="007424B9" w:rsidRDefault="00F122DE" w:rsidP="00E60BE8">
      <w:pPr>
        <w:pStyle w:val="base-text-paragraph"/>
      </w:pPr>
      <w:r>
        <w:t>The l</w:t>
      </w:r>
      <w:r w:rsidR="000916D1">
        <w:t xml:space="preserve">and must have been held </w:t>
      </w:r>
      <w:r w:rsidR="008836A0">
        <w:t xml:space="preserve">(owned, leased or </w:t>
      </w:r>
      <w:r w:rsidR="00315CDF">
        <w:t xml:space="preserve">held </w:t>
      </w:r>
      <w:r>
        <w:t>in</w:t>
      </w:r>
      <w:r w:rsidR="00315CDF">
        <w:t xml:space="preserve"> an</w:t>
      </w:r>
      <w:r>
        <w:t xml:space="preserve">y </w:t>
      </w:r>
      <w:r w:rsidR="00315CDF">
        <w:t xml:space="preserve">other </w:t>
      </w:r>
      <w:r>
        <w:t xml:space="preserve">form of </w:t>
      </w:r>
      <w:r w:rsidR="008836A0">
        <w:t xml:space="preserve">interest) </w:t>
      </w:r>
      <w:r w:rsidR="000916D1">
        <w:t xml:space="preserve">for </w:t>
      </w:r>
      <w:r w:rsidR="006E38A0">
        <w:t>at least</w:t>
      </w:r>
      <w:r w:rsidR="000916D1">
        <w:t xml:space="preserve"> </w:t>
      </w:r>
      <w:r w:rsidR="00075D8C">
        <w:t>six</w:t>
      </w:r>
      <w:r w:rsidR="000916D1">
        <w:t xml:space="preserve"> months</w:t>
      </w:r>
      <w:r w:rsidR="006E38A0">
        <w:t xml:space="preserve"> (</w:t>
      </w:r>
      <w:r w:rsidR="000916D1">
        <w:t xml:space="preserve">or such other period as prescribed) </w:t>
      </w:r>
      <w:r w:rsidR="00DD2731">
        <w:t xml:space="preserve">and still be held at the time of withdrawal </w:t>
      </w:r>
      <w:r w:rsidR="000916D1">
        <w:t xml:space="preserve">for the concession to be available. This reflects that </w:t>
      </w:r>
      <w:r w:rsidR="00075D8C">
        <w:t>the rainfall test must be met for a</w:t>
      </w:r>
      <w:r w:rsidR="00E60BE8">
        <w:t xml:space="preserve"> minimum of </w:t>
      </w:r>
      <w:r w:rsidR="00075D8C">
        <w:t xml:space="preserve">six </w:t>
      </w:r>
      <w:r w:rsidR="00E60BE8">
        <w:t>months (or such other prescribed period)</w:t>
      </w:r>
      <w:r w:rsidR="00075D8C">
        <w:t xml:space="preserve"> that is publicly available</w:t>
      </w:r>
      <w:r w:rsidR="00E60BE8">
        <w:t xml:space="preserve"> immediately preceding the withdrawal of the FMD amount.</w:t>
      </w:r>
      <w:r w:rsidR="00E60BE8">
        <w:rPr>
          <w:rStyle w:val="Referencingstyle"/>
        </w:rPr>
        <w:t xml:space="preserve"> </w:t>
      </w:r>
      <w:r w:rsidR="007424B9">
        <w:rPr>
          <w:rStyle w:val="Referencingstyle"/>
        </w:rPr>
        <w:t xml:space="preserve">[Schedule </w:t>
      </w:r>
      <w:r w:rsidR="00D46E91">
        <w:rPr>
          <w:rStyle w:val="Referencingstyle"/>
        </w:rPr>
        <w:t>1</w:t>
      </w:r>
      <w:r w:rsidR="007424B9">
        <w:rPr>
          <w:rStyle w:val="Referencingstyle"/>
        </w:rPr>
        <w:t>, item</w:t>
      </w:r>
      <w:r w:rsidR="00043032">
        <w:rPr>
          <w:rStyle w:val="Referencingstyle"/>
        </w:rPr>
        <w:t>s</w:t>
      </w:r>
      <w:r w:rsidR="007424B9">
        <w:rPr>
          <w:rStyle w:val="Referencingstyle"/>
        </w:rPr>
        <w:t xml:space="preserve"> </w:t>
      </w:r>
      <w:r w:rsidR="00043032">
        <w:rPr>
          <w:rStyle w:val="Referencingstyle"/>
        </w:rPr>
        <w:t>2</w:t>
      </w:r>
      <w:r w:rsidR="007424B9">
        <w:rPr>
          <w:rStyle w:val="Referencingstyle"/>
        </w:rPr>
        <w:t xml:space="preserve">, </w:t>
      </w:r>
      <w:r w:rsidR="00043032">
        <w:rPr>
          <w:rStyle w:val="Referencingstyle"/>
        </w:rPr>
        <w:t>9 to 12</w:t>
      </w:r>
      <w:r w:rsidR="007424B9" w:rsidRPr="00616C15">
        <w:rPr>
          <w:rStyle w:val="Referencingstyle"/>
        </w:rPr>
        <w:t>,</w:t>
      </w:r>
      <w:r w:rsidR="007424B9">
        <w:rPr>
          <w:rStyle w:val="Referencingstyle"/>
        </w:rPr>
        <w:t xml:space="preserve"> paragraph 393-15(2)(ca), note 1 to subsection 393</w:t>
      </w:r>
      <w:r w:rsidR="007424B9">
        <w:rPr>
          <w:rStyle w:val="Referencingstyle"/>
        </w:rPr>
        <w:noBreakHyphen/>
        <w:t>40(1), note 1 to subsection 393</w:t>
      </w:r>
      <w:r w:rsidR="007424B9">
        <w:rPr>
          <w:rStyle w:val="Referencingstyle"/>
        </w:rPr>
        <w:noBreakHyphen/>
        <w:t>40(2),</w:t>
      </w:r>
      <w:r w:rsidR="007424B9" w:rsidRPr="00616C15">
        <w:rPr>
          <w:rStyle w:val="Referencingstyle"/>
        </w:rPr>
        <w:t xml:space="preserve"> </w:t>
      </w:r>
      <w:r w:rsidR="007424B9">
        <w:rPr>
          <w:rStyle w:val="Referencingstyle"/>
        </w:rPr>
        <w:t>sub</w:t>
      </w:r>
      <w:r w:rsidR="007424B9" w:rsidRPr="00616C15">
        <w:rPr>
          <w:rStyle w:val="Referencingstyle"/>
        </w:rPr>
        <w:t>section 393-</w:t>
      </w:r>
      <w:r w:rsidR="007424B9">
        <w:rPr>
          <w:rStyle w:val="Referencingstyle"/>
        </w:rPr>
        <w:t>40(3), subsection 393</w:t>
      </w:r>
      <w:r w:rsidR="007424B9">
        <w:rPr>
          <w:rStyle w:val="Referencingstyle"/>
        </w:rPr>
        <w:noBreakHyphen/>
        <w:t>40(4)</w:t>
      </w:r>
      <w:r w:rsidR="007424B9" w:rsidRPr="00616C15">
        <w:rPr>
          <w:rStyle w:val="Referencingstyle"/>
        </w:rPr>
        <w:t>]</w:t>
      </w:r>
    </w:p>
    <w:p w:rsidR="00134BEB" w:rsidRDefault="00134BEB" w:rsidP="00134BEB">
      <w:pPr>
        <w:pStyle w:val="base-text-paragraph"/>
      </w:pPr>
      <w:r>
        <w:t>If an amount is deposited in an income year and withdrawn within 12 months because of severe drought in the following income year then:</w:t>
      </w:r>
    </w:p>
    <w:p w:rsidR="00134BEB" w:rsidRDefault="00134BEB" w:rsidP="00134BEB">
      <w:pPr>
        <w:pStyle w:val="dotpoint"/>
      </w:pPr>
      <w:r>
        <w:t>entitlement to any deduction remains;</w:t>
      </w:r>
    </w:p>
    <w:p w:rsidR="008836A0" w:rsidRDefault="00134BEB" w:rsidP="00134BEB">
      <w:pPr>
        <w:pStyle w:val="dotpoint"/>
      </w:pPr>
      <w:r>
        <w:t xml:space="preserve">an amount must generally be included in the assessable income of the FMD holder in the </w:t>
      </w:r>
      <w:r w:rsidR="00DD2731">
        <w:t xml:space="preserve">income </w:t>
      </w:r>
      <w:r>
        <w:t>year when the withdrawal occurs</w:t>
      </w:r>
      <w:r w:rsidR="008836A0">
        <w:t>; and</w:t>
      </w:r>
    </w:p>
    <w:p w:rsidR="00134BEB" w:rsidRDefault="000A4414" w:rsidP="00134BEB">
      <w:pPr>
        <w:pStyle w:val="dotpoint"/>
      </w:pPr>
      <w:r>
        <w:t>a</w:t>
      </w:r>
      <w:r w:rsidR="008836A0">
        <w:t>ny subsequent deposit in the</w:t>
      </w:r>
      <w:r w:rsidR="00315CDF">
        <w:t xml:space="preserve"> income </w:t>
      </w:r>
      <w:r w:rsidR="008836A0">
        <w:t xml:space="preserve">year of the withdrawal cannot be treated as an FMD. </w:t>
      </w:r>
    </w:p>
    <w:p w:rsidR="00134BEB" w:rsidRPr="00D450DE" w:rsidRDefault="00134BEB" w:rsidP="00134BEB">
      <w:pPr>
        <w:pStyle w:val="base-text-paragraph"/>
      </w:pPr>
      <w:r>
        <w:t xml:space="preserve">The only circumstance in which a withdrawal of an FMD amount in a later income year would not result in the amount of the withdrawn FMD being included in assessable income is the extent to which the FMD did not qualify as a </w:t>
      </w:r>
      <w:r w:rsidRPr="00D450DE">
        <w:t xml:space="preserve">deduction in the earlier income year. </w:t>
      </w:r>
      <w:r w:rsidR="008836A0">
        <w:t>This can occur</w:t>
      </w:r>
      <w:r w:rsidRPr="00D450DE">
        <w:t xml:space="preserve"> under the existing operation of subsection 393-5(2) to the extent the amount of the deposit</w:t>
      </w:r>
      <w:r w:rsidR="00DD2731">
        <w:t xml:space="preserve"> to an FMD</w:t>
      </w:r>
      <w:r w:rsidRPr="00D450DE">
        <w:t xml:space="preserve"> exceeds the primary production business income of the taxpayer in the year of the deposit.</w:t>
      </w:r>
    </w:p>
    <w:p w:rsidR="00FF4A4A" w:rsidRPr="00D450DE" w:rsidRDefault="00FF4A4A" w:rsidP="00134BEB">
      <w:pPr>
        <w:pStyle w:val="base-text-paragraph"/>
      </w:pPr>
      <w:r>
        <w:t>The concession provided by these amendments is only relevant to the extent that the deposit and withdrawal occur in different income years. To the extent the deposit and withdrawal occur in the same income year, it does not matter whether the amount is deductible and then included in assessable income</w:t>
      </w:r>
      <w:r w:rsidR="00D376C1">
        <w:t>. This is</w:t>
      </w:r>
      <w:r>
        <w:t xml:space="preserve"> because the rules for making and withdrawing FMDs </w:t>
      </w:r>
      <w:r w:rsidR="00D376C1">
        <w:t xml:space="preserve">give the same </w:t>
      </w:r>
      <w:r w:rsidR="00DD2731">
        <w:t xml:space="preserve">net </w:t>
      </w:r>
      <w:r w:rsidR="00D376C1">
        <w:t>outcome</w:t>
      </w:r>
      <w:r>
        <w:t xml:space="preserve"> </w:t>
      </w:r>
      <w:r w:rsidR="00D333B6">
        <w:t xml:space="preserve">where they occur in the same income year </w:t>
      </w:r>
      <w:r w:rsidR="00D376C1">
        <w:t xml:space="preserve">as </w:t>
      </w:r>
      <w:r w:rsidR="00C75978">
        <w:t xml:space="preserve">a deposit </w:t>
      </w:r>
      <w:r w:rsidR="00D376C1">
        <w:t>being</w:t>
      </w:r>
      <w:r>
        <w:t xml:space="preserve"> treated as never </w:t>
      </w:r>
      <w:r w:rsidR="007F3067">
        <w:t>having been</w:t>
      </w:r>
      <w:r>
        <w:t xml:space="preserve"> a</w:t>
      </w:r>
      <w:r w:rsidR="00F122DE">
        <w:t>n</w:t>
      </w:r>
      <w:r>
        <w:t xml:space="preserve"> FMD.</w:t>
      </w:r>
    </w:p>
    <w:p w:rsidR="00B06A2C" w:rsidRDefault="00B06A2C" w:rsidP="00B06A2C">
      <w:pPr>
        <w:pStyle w:val="ExampleHeading"/>
        <w:tabs>
          <w:tab w:val="clear" w:pos="360"/>
        </w:tabs>
        <w:ind w:left="1134"/>
      </w:pPr>
      <w:r>
        <w:t xml:space="preserve">: </w:t>
      </w:r>
      <w:r w:rsidR="009B51B2">
        <w:t xml:space="preserve">FMD deduction retained for prior year deposit </w:t>
      </w:r>
      <w:r w:rsidR="00671686">
        <w:t xml:space="preserve">when </w:t>
      </w:r>
      <w:r w:rsidR="009B51B2">
        <w:t>withdrawn due to severe d</w:t>
      </w:r>
      <w:r w:rsidR="00313162">
        <w:t>rought</w:t>
      </w:r>
    </w:p>
    <w:p w:rsidR="00B27F06" w:rsidRDefault="009414C1" w:rsidP="00B06A2C">
      <w:pPr>
        <w:pStyle w:val="exampletext"/>
      </w:pPr>
      <w:r>
        <w:t>Jerome owns a 50</w:t>
      </w:r>
      <w:r w:rsidR="00313162">
        <w:t xml:space="preserve"> hectare cattle farm that he </w:t>
      </w:r>
      <w:r w:rsidR="00427F14">
        <w:t xml:space="preserve">has </w:t>
      </w:r>
      <w:r w:rsidR="00313162">
        <w:t xml:space="preserve">operated for a number of years as a sole trader. </w:t>
      </w:r>
      <w:r w:rsidR="00254D5A">
        <w:t xml:space="preserve">He also owns and runs a sheep farm with his brother across the border in another state. </w:t>
      </w:r>
      <w:r w:rsidR="00B27F06">
        <w:t xml:space="preserve">He deposited </w:t>
      </w:r>
      <w:r w:rsidR="003C727A">
        <w:t xml:space="preserve">$200,000 </w:t>
      </w:r>
      <w:r w:rsidR="00B27F06">
        <w:t>to an FMD</w:t>
      </w:r>
      <w:r w:rsidR="009B51B2">
        <w:t xml:space="preserve"> on 20</w:t>
      </w:r>
      <w:r w:rsidR="00D64FC2">
        <w:t xml:space="preserve"> June</w:t>
      </w:r>
      <w:r w:rsidR="00B27F06">
        <w:t xml:space="preserve"> 2017</w:t>
      </w:r>
      <w:r w:rsidR="001C2C53">
        <w:t xml:space="preserve"> and </w:t>
      </w:r>
      <w:r w:rsidR="00E46EE9">
        <w:t>was entitled to</w:t>
      </w:r>
      <w:r w:rsidR="001C2C53">
        <w:t xml:space="preserve"> a deduction</w:t>
      </w:r>
      <w:r w:rsidR="00E46EE9">
        <w:t xml:space="preserve"> for this amount.</w:t>
      </w:r>
      <w:r w:rsidR="00B27F06">
        <w:t xml:space="preserve"> </w:t>
      </w:r>
    </w:p>
    <w:p w:rsidR="009B51B2" w:rsidRDefault="00D64FC2" w:rsidP="00B06A2C">
      <w:pPr>
        <w:pStyle w:val="exampletext"/>
      </w:pPr>
      <w:r>
        <w:t xml:space="preserve">Jerome </w:t>
      </w:r>
      <w:r w:rsidR="003C727A">
        <w:t xml:space="preserve">must demonstrate that </w:t>
      </w:r>
      <w:r w:rsidR="00E46EE9">
        <w:t>some</w:t>
      </w:r>
      <w:r w:rsidR="006E38A0">
        <w:t xml:space="preserve"> </w:t>
      </w:r>
      <w:r w:rsidR="00940DA6">
        <w:t xml:space="preserve">part of </w:t>
      </w:r>
      <w:r w:rsidR="00254D5A">
        <w:t xml:space="preserve">either of </w:t>
      </w:r>
      <w:r w:rsidR="00940DA6">
        <w:t>the propert</w:t>
      </w:r>
      <w:r w:rsidR="00254D5A">
        <w:t>ies</w:t>
      </w:r>
      <w:r w:rsidR="00940DA6">
        <w:t xml:space="preserve"> from which he carries on the cattle </w:t>
      </w:r>
      <w:r w:rsidR="00254D5A">
        <w:t xml:space="preserve">and sheep </w:t>
      </w:r>
      <w:r w:rsidR="00940DA6">
        <w:t>farm</w:t>
      </w:r>
      <w:r w:rsidR="00254D5A">
        <w:t>s</w:t>
      </w:r>
      <w:r w:rsidR="00B27F06">
        <w:t xml:space="preserve"> has been subject to severe drough</w:t>
      </w:r>
      <w:r w:rsidR="00CE07E5">
        <w:t xml:space="preserve">t conditions </w:t>
      </w:r>
      <w:r w:rsidR="001600ED">
        <w:t xml:space="preserve">according to the most recently available </w:t>
      </w:r>
      <w:r w:rsidR="00075D8C">
        <w:t>6</w:t>
      </w:r>
      <w:r w:rsidR="00315CDF">
        <w:noBreakHyphen/>
      </w:r>
      <w:r w:rsidR="001600ED">
        <w:t xml:space="preserve">monthly rainfall </w:t>
      </w:r>
      <w:r w:rsidR="00AC10CC">
        <w:t>data</w:t>
      </w:r>
      <w:r w:rsidR="001A5659">
        <w:t>. If he can demonstrate this it will</w:t>
      </w:r>
      <w:r w:rsidR="00940DA6">
        <w:t xml:space="preserve"> allow him to withdraw the amount after </w:t>
      </w:r>
      <w:r w:rsidR="00D333B6">
        <w:t>30 </w:t>
      </w:r>
      <w:r w:rsidR="00940DA6">
        <w:t xml:space="preserve">June 2017 without affecting the FMD deduction claimed for the 2016-17 income year. </w:t>
      </w:r>
      <w:r w:rsidR="00F73759">
        <w:t>However,</w:t>
      </w:r>
      <w:r w:rsidR="005E0C5E">
        <w:t xml:space="preserve"> </w:t>
      </w:r>
      <w:r w:rsidR="001A5659">
        <w:t>t</w:t>
      </w:r>
      <w:r w:rsidR="009B51B2">
        <w:t xml:space="preserve">he withdrawal </w:t>
      </w:r>
      <w:r w:rsidR="00F73759">
        <w:t>must be</w:t>
      </w:r>
      <w:r w:rsidR="009B51B2">
        <w:t xml:space="preserve"> made prior to </w:t>
      </w:r>
      <w:r w:rsidR="00D333B6" w:rsidRPr="00631337">
        <w:t>20</w:t>
      </w:r>
      <w:r w:rsidR="00D333B6">
        <w:t> </w:t>
      </w:r>
      <w:r w:rsidR="00D333B6" w:rsidRPr="00631337">
        <w:t>June</w:t>
      </w:r>
      <w:r w:rsidR="00D333B6">
        <w:t> </w:t>
      </w:r>
      <w:r w:rsidR="00631337">
        <w:t>2018</w:t>
      </w:r>
      <w:r w:rsidR="00F73759">
        <w:t xml:space="preserve"> for</w:t>
      </w:r>
      <w:r w:rsidR="001A5659">
        <w:t xml:space="preserve"> the early access concession </w:t>
      </w:r>
      <w:r w:rsidR="00F73759">
        <w:t>to</w:t>
      </w:r>
      <w:r w:rsidR="001A5659">
        <w:t xml:space="preserve"> be available to Jerome.</w:t>
      </w:r>
    </w:p>
    <w:p w:rsidR="00D64FC2" w:rsidRDefault="00B27F06" w:rsidP="00B06A2C">
      <w:pPr>
        <w:pStyle w:val="exampletext"/>
      </w:pPr>
      <w:r>
        <w:t xml:space="preserve">Jerome </w:t>
      </w:r>
      <w:r w:rsidR="009B51B2">
        <w:t>obtain</w:t>
      </w:r>
      <w:r w:rsidR="00BC2FF1">
        <w:t>s</w:t>
      </w:r>
      <w:r w:rsidR="009B51B2">
        <w:t xml:space="preserve"> evidence from the</w:t>
      </w:r>
      <w:r w:rsidR="00631337">
        <w:t xml:space="preserve"> </w:t>
      </w:r>
      <w:r w:rsidR="00631337" w:rsidRPr="00631337">
        <w:t>Australian Bureau of Agricultural and Resource Economics</w:t>
      </w:r>
      <w:r w:rsidR="00631337">
        <w:t xml:space="preserve"> </w:t>
      </w:r>
      <w:r w:rsidR="00AC10CC">
        <w:t xml:space="preserve">and Sciences </w:t>
      </w:r>
      <w:r w:rsidR="00631337">
        <w:t>rainfall monitoring tool</w:t>
      </w:r>
      <w:r w:rsidR="00631337" w:rsidRPr="00631337">
        <w:t xml:space="preserve"> </w:t>
      </w:r>
      <w:r w:rsidR="009B51B2">
        <w:t xml:space="preserve">in </w:t>
      </w:r>
      <w:r w:rsidR="00DD2731">
        <w:t xml:space="preserve">late </w:t>
      </w:r>
      <w:r w:rsidR="001A5659">
        <w:t>April</w:t>
      </w:r>
      <w:r w:rsidR="009B51B2">
        <w:t xml:space="preserve"> 2018 that shows </w:t>
      </w:r>
      <w:r w:rsidR="00BF243B">
        <w:t xml:space="preserve">the </w:t>
      </w:r>
      <w:r w:rsidR="00075D8C">
        <w:t>6</w:t>
      </w:r>
      <w:r w:rsidR="00BF243B">
        <w:t>-monthly</w:t>
      </w:r>
      <w:r w:rsidR="009B51B2" w:rsidDel="00C42AD6">
        <w:t xml:space="preserve"> rainfall </w:t>
      </w:r>
      <w:r w:rsidR="00AC10CC">
        <w:t xml:space="preserve">received </w:t>
      </w:r>
      <w:r w:rsidR="009B51B2">
        <w:t xml:space="preserve">on his </w:t>
      </w:r>
      <w:r w:rsidR="00254D5A">
        <w:t xml:space="preserve">sheep </w:t>
      </w:r>
      <w:r w:rsidR="009B51B2">
        <w:t xml:space="preserve">farm </w:t>
      </w:r>
      <w:r w:rsidR="00BF243B">
        <w:t>was in the 0</w:t>
      </w:r>
      <w:r w:rsidR="00C75978">
        <w:noBreakHyphen/>
      </w:r>
      <w:r w:rsidR="00BF243B">
        <w:t>5</w:t>
      </w:r>
      <w:r w:rsidR="007F4D94">
        <w:t xml:space="preserve"> percent</w:t>
      </w:r>
      <w:r w:rsidR="00BF243B">
        <w:t xml:space="preserve"> range for the most recently available </w:t>
      </w:r>
      <w:r w:rsidR="002C571E">
        <w:t xml:space="preserve">period of six </w:t>
      </w:r>
      <w:r w:rsidR="00BF243B">
        <w:t>month</w:t>
      </w:r>
      <w:r w:rsidR="00AC10CC">
        <w:t>s</w:t>
      </w:r>
      <w:r w:rsidR="002C571E">
        <w:t xml:space="preserve">. This is the period of </w:t>
      </w:r>
      <w:r w:rsidR="001A5659">
        <w:t xml:space="preserve">October </w:t>
      </w:r>
      <w:r w:rsidR="00DD2731">
        <w:t>2017</w:t>
      </w:r>
      <w:r w:rsidR="002C571E">
        <w:t xml:space="preserve"> </w:t>
      </w:r>
      <w:r w:rsidR="00DD2731">
        <w:t xml:space="preserve">to </w:t>
      </w:r>
      <w:r w:rsidR="001A5659">
        <w:t xml:space="preserve">March </w:t>
      </w:r>
      <w:r w:rsidR="00DD2731">
        <w:t>2018</w:t>
      </w:r>
      <w:r w:rsidR="002C571E">
        <w:t xml:space="preserve"> inclusive</w:t>
      </w:r>
      <w:r w:rsidR="009B51B2">
        <w:t xml:space="preserve">. </w:t>
      </w:r>
      <w:r w:rsidR="00F73759">
        <w:t>New monthly data is released in the middle of the following month for the previous month.</w:t>
      </w:r>
    </w:p>
    <w:p w:rsidR="009414C1" w:rsidRDefault="009414C1" w:rsidP="00B06A2C">
      <w:pPr>
        <w:pStyle w:val="exampletext"/>
      </w:pPr>
      <w:r>
        <w:t xml:space="preserve">As rainfall for </w:t>
      </w:r>
      <w:r w:rsidR="002C571E">
        <w:t xml:space="preserve">the most recently publicly available </w:t>
      </w:r>
      <w:r w:rsidR="00AC10CC">
        <w:t xml:space="preserve">data </w:t>
      </w:r>
      <w:r w:rsidR="002C571E">
        <w:t xml:space="preserve">period of six months </w:t>
      </w:r>
      <w:r w:rsidR="00134BEB">
        <w:t>is five per cent or</w:t>
      </w:r>
      <w:r>
        <w:t xml:space="preserve"> less of average rainfall for </w:t>
      </w:r>
      <w:r w:rsidR="00E54E33">
        <w:t>th</w:t>
      </w:r>
      <w:r w:rsidR="002C571E">
        <w:t>is period</w:t>
      </w:r>
      <w:r>
        <w:t xml:space="preserve">, Jerome can access the early FMD withdrawal concession. </w:t>
      </w:r>
    </w:p>
    <w:p w:rsidR="001C2C53" w:rsidRPr="00C95775" w:rsidRDefault="001C2C53" w:rsidP="00B06A2C">
      <w:pPr>
        <w:pStyle w:val="exampletext"/>
      </w:pPr>
      <w:r>
        <w:t>As a result</w:t>
      </w:r>
      <w:r w:rsidR="00254D5A">
        <w:t>,</w:t>
      </w:r>
      <w:r>
        <w:t xml:space="preserve"> ther</w:t>
      </w:r>
      <w:r w:rsidR="00FC7D1A">
        <w:t>e is no change in entitlement for</w:t>
      </w:r>
      <w:r>
        <w:t xml:space="preserve"> the $200,000 deduction claimed in the 2016-17 income year. Jerome must include an amount of $200,000 in his assessable income in the 2017-18 income year</w:t>
      </w:r>
      <w:r w:rsidR="008E3BFC">
        <w:t xml:space="preserve"> as </w:t>
      </w:r>
      <w:r w:rsidR="001025C2">
        <w:t>he normally would for</w:t>
      </w:r>
      <w:r w:rsidR="008E3BFC">
        <w:t xml:space="preserve"> the withdrawal of the FMD amount in that income year</w:t>
      </w:r>
      <w:r>
        <w:t>.</w:t>
      </w:r>
    </w:p>
    <w:p w:rsidR="00AF7FDB" w:rsidRDefault="00AF7FDB" w:rsidP="00AF7FDB">
      <w:pPr>
        <w:pStyle w:val="ExampleHeading"/>
      </w:pPr>
      <w:r>
        <w:t>: Early withdrawal of FM</w:t>
      </w:r>
      <w:r w:rsidRPr="00FC7D1A">
        <w:t xml:space="preserve">D </w:t>
      </w:r>
      <w:r w:rsidR="00134BEB" w:rsidRPr="00FC7D1A">
        <w:t>in the same income year</w:t>
      </w:r>
    </w:p>
    <w:p w:rsidR="005B5F32" w:rsidRDefault="009A439E" w:rsidP="00AF7FDB">
      <w:pPr>
        <w:pStyle w:val="exampletext"/>
      </w:pPr>
      <w:r>
        <w:t>Eloise</w:t>
      </w:r>
      <w:r w:rsidR="00AF7FDB">
        <w:t xml:space="preserve"> carries on a primary production business </w:t>
      </w:r>
      <w:r>
        <w:t>of</w:t>
      </w:r>
      <w:r w:rsidRPr="009A439E">
        <w:t xml:space="preserve"> cereal cropping</w:t>
      </w:r>
      <w:r>
        <w:t xml:space="preserve"> </w:t>
      </w:r>
      <w:r w:rsidR="00AF7FDB">
        <w:t>in a marginal</w:t>
      </w:r>
      <w:r w:rsidR="0003470D">
        <w:t xml:space="preserve"> rainfall area in Australia. On 21 </w:t>
      </w:r>
      <w:r w:rsidR="00377726">
        <w:t>July</w:t>
      </w:r>
      <w:r w:rsidR="00AF7FDB">
        <w:t xml:space="preserve"> 2017</w:t>
      </w:r>
      <w:r w:rsidR="00A11C71">
        <w:t>,</w:t>
      </w:r>
      <w:r w:rsidR="00AF7FDB">
        <w:t xml:space="preserve"> </w:t>
      </w:r>
      <w:r>
        <w:t>s</w:t>
      </w:r>
      <w:r w:rsidR="00AF7FDB">
        <w:t xml:space="preserve">he makes a </w:t>
      </w:r>
      <w:r w:rsidR="00C33D4F">
        <w:t>$200,000</w:t>
      </w:r>
      <w:r w:rsidR="00AF7FDB">
        <w:t xml:space="preserve"> deposit to a</w:t>
      </w:r>
      <w:r w:rsidR="000A3217">
        <w:t>n</w:t>
      </w:r>
      <w:r w:rsidR="00AF7FDB">
        <w:t xml:space="preserve"> FMD as a result of a record farm crop that has been harvested in the last season. </w:t>
      </w:r>
      <w:r>
        <w:t>Her</w:t>
      </w:r>
      <w:r w:rsidR="001F2DCF">
        <w:t xml:space="preserve"> primary production income exceeds $200,000 and </w:t>
      </w:r>
      <w:r>
        <w:t>s</w:t>
      </w:r>
      <w:r w:rsidR="001F2DCF">
        <w:t xml:space="preserve">he therefore obtains a deduction for the full amount of the deposit. </w:t>
      </w:r>
      <w:r w:rsidR="00AF7FDB">
        <w:t xml:space="preserve">However, from </w:t>
      </w:r>
      <w:r w:rsidR="00377726">
        <w:t>November</w:t>
      </w:r>
      <w:r w:rsidR="00C05834">
        <w:t xml:space="preserve"> </w:t>
      </w:r>
      <w:r w:rsidR="005B5F32">
        <w:t xml:space="preserve">2017 rainfall conditions </w:t>
      </w:r>
      <w:r w:rsidR="00AF7FDB">
        <w:t>change</w:t>
      </w:r>
      <w:r w:rsidR="001A5659">
        <w:t>d</w:t>
      </w:r>
      <w:r w:rsidR="005B5F32">
        <w:t xml:space="preserve"> significantly and </w:t>
      </w:r>
      <w:r>
        <w:t>s</w:t>
      </w:r>
      <w:r w:rsidR="005B5F32">
        <w:t xml:space="preserve">he </w:t>
      </w:r>
      <w:r w:rsidR="00FC7D1A">
        <w:t xml:space="preserve">only </w:t>
      </w:r>
      <w:r w:rsidR="005B5F32">
        <w:t xml:space="preserve">plants a small cereal crop. Due to the severe drought none of the crop can be harvested. </w:t>
      </w:r>
    </w:p>
    <w:p w:rsidR="005E19A8" w:rsidRDefault="005B5F32" w:rsidP="00377726">
      <w:pPr>
        <w:pStyle w:val="exampletext"/>
      </w:pPr>
      <w:r>
        <w:t xml:space="preserve">As a result of the severe drought, </w:t>
      </w:r>
      <w:r w:rsidR="009A439E">
        <w:t>Eloise</w:t>
      </w:r>
      <w:r>
        <w:t xml:space="preserve"> is forced </w:t>
      </w:r>
      <w:r w:rsidR="002C571E">
        <w:t>in May 2018</w:t>
      </w:r>
      <w:r w:rsidR="00541324">
        <w:t xml:space="preserve"> </w:t>
      </w:r>
      <w:r>
        <w:t>to withdraw</w:t>
      </w:r>
      <w:r w:rsidR="0003470D">
        <w:t xml:space="preserve"> all of the FMD deposit </w:t>
      </w:r>
      <w:r w:rsidR="00541324">
        <w:t xml:space="preserve">that was </w:t>
      </w:r>
      <w:r w:rsidR="0003470D">
        <w:t xml:space="preserve">made in </w:t>
      </w:r>
      <w:r w:rsidR="00377726">
        <w:t>July</w:t>
      </w:r>
      <w:r>
        <w:t xml:space="preserve"> 2017</w:t>
      </w:r>
      <w:r w:rsidR="00C33D4F" w:rsidRPr="00C33D4F">
        <w:t xml:space="preserve"> to provide h</w:t>
      </w:r>
      <w:r w:rsidR="009A439E">
        <w:t>er</w:t>
      </w:r>
      <w:r w:rsidR="00C33D4F" w:rsidRPr="00C33D4F">
        <w:t xml:space="preserve"> with cash flow</w:t>
      </w:r>
      <w:r w:rsidR="009A439E">
        <w:t xml:space="preserve"> for her</w:t>
      </w:r>
      <w:r w:rsidR="000F1FA8">
        <w:t xml:space="preserve"> business</w:t>
      </w:r>
      <w:r w:rsidR="000B7699">
        <w:t xml:space="preserve">. </w:t>
      </w:r>
      <w:r w:rsidR="005E19A8">
        <w:t>Even if Eloise can demonstrate that she meets the rainfall conditions to qualify for the early withdrawal concession for severe drought</w:t>
      </w:r>
      <w:r w:rsidR="00761816">
        <w:t>,</w:t>
      </w:r>
      <w:r w:rsidR="005E19A8">
        <w:t xml:space="preserve"> </w:t>
      </w:r>
      <w:r w:rsidR="00D333B6">
        <w:t xml:space="preserve">there is no benefit from qualifying for the early access concession. This is because the withdrawn amount included in assessable income offsets any FMD deduction for which entitlement is retained for the same income year. </w:t>
      </w:r>
      <w:r w:rsidR="005E19A8">
        <w:t>Accordingly, Eloise does not seek to obtain rainfall data in these circumstances.</w:t>
      </w:r>
    </w:p>
    <w:p w:rsidR="00472449" w:rsidRDefault="00472449" w:rsidP="00FC7D1A">
      <w:pPr>
        <w:pStyle w:val="Heading3"/>
      </w:pPr>
      <w:r>
        <w:t>FMD offset against loans</w:t>
      </w:r>
      <w:r w:rsidDel="00BD2617">
        <w:t xml:space="preserve"> or </w:t>
      </w:r>
      <w:r w:rsidR="00FF4A4A">
        <w:t xml:space="preserve">other </w:t>
      </w:r>
      <w:r>
        <w:t>debt</w:t>
      </w:r>
      <w:r w:rsidR="00FF4A4A">
        <w:t>s</w:t>
      </w:r>
    </w:p>
    <w:p w:rsidR="003F295B" w:rsidRDefault="00472449" w:rsidP="00336AF0">
      <w:pPr>
        <w:pStyle w:val="base-text-paragraph"/>
      </w:pPr>
      <w:r>
        <w:t xml:space="preserve">Schedule </w:t>
      </w:r>
      <w:r w:rsidR="00D46E91">
        <w:t>1</w:t>
      </w:r>
      <w:r>
        <w:t xml:space="preserve"> allows</w:t>
      </w:r>
      <w:r w:rsidRPr="00472449">
        <w:t xml:space="preserve"> </w:t>
      </w:r>
      <w:r w:rsidR="004030F1">
        <w:t>an FMD owner to link their</w:t>
      </w:r>
      <w:r w:rsidRPr="00472449">
        <w:t xml:space="preserve"> FMD to </w:t>
      </w:r>
      <w:r w:rsidR="004030F1">
        <w:t xml:space="preserve">a loan </w:t>
      </w:r>
      <w:r w:rsidR="00DD7C6F">
        <w:t xml:space="preserve">or other debt </w:t>
      </w:r>
      <w:r w:rsidR="004030F1">
        <w:t>account of the FMD owner (or a partnership in which the FMD owner is a partner) under a loan offset arrangement</w:t>
      </w:r>
      <w:r w:rsidR="003F295B">
        <w:t>. Under such an arrangement</w:t>
      </w:r>
      <w:r w:rsidR="00DD7C6F">
        <w:t>, generally</w:t>
      </w:r>
      <w:r w:rsidR="004030F1">
        <w:t xml:space="preserve"> interest payable on the loan </w:t>
      </w:r>
      <w:r w:rsidR="00DD7C6F">
        <w:t xml:space="preserve">or other debt </w:t>
      </w:r>
      <w:r w:rsidR="004030F1">
        <w:t xml:space="preserve">is reduced </w:t>
      </w:r>
      <w:r w:rsidR="00DD7C6F">
        <w:t xml:space="preserve">and interest is not </w:t>
      </w:r>
      <w:r w:rsidR="001A5659">
        <w:t xml:space="preserve">charged </w:t>
      </w:r>
      <w:r w:rsidR="00DD7C6F">
        <w:t>on the FMD.</w:t>
      </w:r>
      <w:r w:rsidR="00562514">
        <w:t xml:space="preserve"> </w:t>
      </w:r>
      <w:r w:rsidR="00897A12">
        <w:rPr>
          <w:rStyle w:val="Referencingstyle"/>
        </w:rPr>
        <w:t>[Schedule 1, item 7</w:t>
      </w:r>
      <w:r w:rsidR="00562514">
        <w:rPr>
          <w:rStyle w:val="Referencingstyle"/>
        </w:rPr>
        <w:t>, section 393-37]</w:t>
      </w:r>
    </w:p>
    <w:p w:rsidR="001A67E7" w:rsidRDefault="00DD7C6F" w:rsidP="005E0C5E">
      <w:pPr>
        <w:pStyle w:val="base-text-paragraph"/>
        <w:numPr>
          <w:ilvl w:val="0"/>
          <w:numId w:val="0"/>
        </w:numPr>
        <w:ind w:left="1134"/>
        <w:rPr>
          <w:rStyle w:val="Referencingstyle"/>
        </w:rPr>
      </w:pPr>
      <w:r>
        <w:t xml:space="preserve">However, to be eligible for an offset arrangement, </w:t>
      </w:r>
      <w:r w:rsidR="0030690A">
        <w:t xml:space="preserve">the loan </w:t>
      </w:r>
      <w:r>
        <w:t xml:space="preserve">or other debt being offset </w:t>
      </w:r>
      <w:r w:rsidR="0030690A">
        <w:t xml:space="preserve">must </w:t>
      </w:r>
      <w:r w:rsidR="001D7A5F">
        <w:t>relate</w:t>
      </w:r>
      <w:r w:rsidR="001A5659">
        <w:t xml:space="preserve"> wholly</w:t>
      </w:r>
      <w:r w:rsidR="001D7A5F">
        <w:t xml:space="preserve"> to a primary production business carried on by the FMD owner directly or through a partnership</w:t>
      </w:r>
      <w:r w:rsidR="00472449">
        <w:t xml:space="preserve">. </w:t>
      </w:r>
      <w:r w:rsidR="00B825B4">
        <w:rPr>
          <w:rStyle w:val="Referencingstyle"/>
        </w:rPr>
        <w:t>[Schedu</w:t>
      </w:r>
      <w:r w:rsidR="00897A12">
        <w:rPr>
          <w:rStyle w:val="Referencingstyle"/>
        </w:rPr>
        <w:t>le 1, item 7</w:t>
      </w:r>
      <w:r w:rsidR="00B825B4">
        <w:rPr>
          <w:rStyle w:val="Referencingstyle"/>
        </w:rPr>
        <w:t>, paragraph 393-37(b)]</w:t>
      </w:r>
      <w:r w:rsidR="00C54D6C">
        <w:rPr>
          <w:rStyle w:val="Referencingstyle"/>
        </w:rPr>
        <w:t xml:space="preserve"> </w:t>
      </w:r>
      <w:r w:rsidR="009A0633">
        <w:rPr>
          <w:rStyle w:val="Referencingstyle"/>
        </w:rPr>
        <w:t xml:space="preserve"> </w:t>
      </w:r>
    </w:p>
    <w:p w:rsidR="009A0633" w:rsidRPr="005E0C5E" w:rsidRDefault="001A67E7" w:rsidP="001A67E7">
      <w:pPr>
        <w:pStyle w:val="base-text-paragraph"/>
      </w:pPr>
      <w:r>
        <w:t>The concession does not extend to loans held by companies, trusts or a person who is not the FMD owner.</w:t>
      </w:r>
      <w:r w:rsidR="009A0633" w:rsidRPr="005E0C5E">
        <w:t xml:space="preserve"> If FMDs  are allowed to offset loans </w:t>
      </w:r>
      <w:r>
        <w:t>to such entities</w:t>
      </w:r>
      <w:r w:rsidR="007F3067">
        <w:t xml:space="preserve"> i</w:t>
      </w:r>
      <w:r w:rsidR="00FF0569" w:rsidRPr="00D11C60">
        <w:t xml:space="preserve">t would be expensive and complex to administer for financial institutions and </w:t>
      </w:r>
      <w:r w:rsidR="00737705">
        <w:t xml:space="preserve">could </w:t>
      </w:r>
      <w:r w:rsidR="00FF0569" w:rsidRPr="00D11C60">
        <w:t xml:space="preserve">pose </w:t>
      </w:r>
      <w:r w:rsidR="00F73759">
        <w:t xml:space="preserve">taxation </w:t>
      </w:r>
      <w:r w:rsidR="00FF0569" w:rsidRPr="00D11C60">
        <w:t>integrity risks.</w:t>
      </w:r>
    </w:p>
    <w:p w:rsidR="00336AF0" w:rsidRDefault="00336AF0" w:rsidP="00336AF0">
      <w:pPr>
        <w:pStyle w:val="base-text-paragraph"/>
      </w:pPr>
      <w:r>
        <w:t>The amendments en</w:t>
      </w:r>
      <w:r w:rsidR="00AC10CC">
        <w:t>able</w:t>
      </w:r>
      <w:r>
        <w:t xml:space="preserve"> financial institutions </w:t>
      </w:r>
      <w:r w:rsidR="00AC10CC">
        <w:t xml:space="preserve">to </w:t>
      </w:r>
      <w:r>
        <w:t xml:space="preserve">offer financial products that allow their primary producer clients to enter into such qualifying loan offset arrangements. This allows capital held in FMDs to be used with more flexibility so that it can also assist primary producers reduce their funding costs. </w:t>
      </w:r>
    </w:p>
    <w:p w:rsidR="00ED2B2A" w:rsidRDefault="00ED2B2A" w:rsidP="00F63712">
      <w:pPr>
        <w:pStyle w:val="Heading4"/>
      </w:pPr>
      <w:r>
        <w:t>Administrative penalty</w:t>
      </w:r>
    </w:p>
    <w:p w:rsidR="003D68E9" w:rsidRDefault="008F12D1" w:rsidP="006F6D3F">
      <w:pPr>
        <w:pStyle w:val="base-text-paragraph"/>
      </w:pPr>
      <w:r>
        <w:t>T</w:t>
      </w:r>
      <w:r w:rsidR="006F6D3F">
        <w:t>o ensure that the FMD tax concession is appropriately targeted</w:t>
      </w:r>
      <w:r w:rsidR="00761816">
        <w:t>,</w:t>
      </w:r>
      <w:r w:rsidR="006F6D3F">
        <w:t xml:space="preserve"> </w:t>
      </w:r>
      <w:r>
        <w:t xml:space="preserve">an administrative </w:t>
      </w:r>
      <w:r w:rsidR="009B3C24">
        <w:t xml:space="preserve">penalty </w:t>
      </w:r>
      <w:r w:rsidR="002C571E">
        <w:t>is imposed</w:t>
      </w:r>
      <w:r w:rsidR="003D68E9">
        <w:t xml:space="preserve"> if an FMD is applied for non</w:t>
      </w:r>
      <w:r w:rsidR="002C571E">
        <w:noBreakHyphen/>
      </w:r>
      <w:r w:rsidR="003D68E9">
        <w:t>qualifying loan purposes, including non-primary production business or private loans of the FMD owner or their partnership.</w:t>
      </w:r>
      <w:r w:rsidR="00D213C0">
        <w:t xml:space="preserve"> </w:t>
      </w:r>
      <w:r w:rsidR="00897A12">
        <w:rPr>
          <w:rStyle w:val="Referencingstyle"/>
        </w:rPr>
        <w:t>[Schedule 1, item 13</w:t>
      </w:r>
      <w:r w:rsidR="0024165D">
        <w:rPr>
          <w:rStyle w:val="Referencingstyle"/>
        </w:rPr>
        <w:t>, section 288-115]</w:t>
      </w:r>
    </w:p>
    <w:p w:rsidR="0042251D" w:rsidRDefault="004966CC" w:rsidP="006F6D3F">
      <w:pPr>
        <w:pStyle w:val="base-text-paragraph"/>
      </w:pPr>
      <w:r>
        <w:t>A</w:t>
      </w:r>
      <w:r w:rsidR="0042251D">
        <w:t xml:space="preserve">n amount is </w:t>
      </w:r>
      <w:r>
        <w:t xml:space="preserve">generally </w:t>
      </w:r>
      <w:r w:rsidR="0042251D">
        <w:t xml:space="preserve">treated as never having been an FMD where it does not meet the requirements </w:t>
      </w:r>
      <w:r w:rsidR="00F51B1C">
        <w:t>to be</w:t>
      </w:r>
      <w:r w:rsidR="0042251D">
        <w:t xml:space="preserve"> an FMD</w:t>
      </w:r>
      <w:r>
        <w:t>. However,</w:t>
      </w:r>
      <w:r w:rsidR="008F45D2">
        <w:t xml:space="preserve"> under Schedule 1</w:t>
      </w:r>
      <w:r w:rsidR="00E7459E">
        <w:t xml:space="preserve"> an</w:t>
      </w:r>
      <w:r w:rsidR="0042251D">
        <w:t xml:space="preserve"> administrative penalty </w:t>
      </w:r>
      <w:r w:rsidR="008F45D2">
        <w:t xml:space="preserve">applies </w:t>
      </w:r>
      <w:r w:rsidR="00E7459E">
        <w:t xml:space="preserve">instead </w:t>
      </w:r>
      <w:r w:rsidR="008F45D2">
        <w:t xml:space="preserve">to simplify </w:t>
      </w:r>
      <w:r w:rsidR="0042251D">
        <w:t xml:space="preserve">compliance where a loan offset by an FMD is partly non-qualifying. </w:t>
      </w:r>
      <w:r w:rsidR="00EB5937">
        <w:t>Treating the whole amount as never having been an FMD would be overly punitive, while keeping track of the amount</w:t>
      </w:r>
      <w:r w:rsidR="00F51B1C">
        <w:t>s</w:t>
      </w:r>
      <w:r w:rsidR="00EB5937">
        <w:t xml:space="preserve"> in an account that qualif</w:t>
      </w:r>
      <w:r w:rsidR="00F51B1C">
        <w:t>ied as</w:t>
      </w:r>
      <w:r w:rsidR="00EB5937">
        <w:t xml:space="preserve"> FMDs and </w:t>
      </w:r>
      <w:r w:rsidR="00F51B1C">
        <w:t xml:space="preserve">the amounts that did </w:t>
      </w:r>
      <w:r w:rsidR="00EB5937">
        <w:t>not would be overly complex. The administrative penalty balances the need for appropriate deterrence</w:t>
      </w:r>
      <w:r w:rsidR="00F51B1C">
        <w:t xml:space="preserve"> whilst</w:t>
      </w:r>
      <w:r w:rsidR="00EB5937">
        <w:t xml:space="preserve"> ensuring minor breaches are not disproportionately penalised.</w:t>
      </w:r>
      <w:r w:rsidR="008F45D2">
        <w:t xml:space="preserve"> </w:t>
      </w:r>
      <w:r w:rsidR="008F45D2">
        <w:rPr>
          <w:rStyle w:val="Referencingstyle"/>
        </w:rPr>
        <w:t>[Schedule 1, item</w:t>
      </w:r>
      <w:r w:rsidR="00037892">
        <w:rPr>
          <w:rStyle w:val="Referencingstyle"/>
        </w:rPr>
        <w:t>s</w:t>
      </w:r>
      <w:r w:rsidR="00D07332">
        <w:rPr>
          <w:rStyle w:val="Referencingstyle"/>
        </w:rPr>
        <w:t xml:space="preserve"> 4</w:t>
      </w:r>
      <w:r w:rsidR="00897A12">
        <w:rPr>
          <w:rStyle w:val="Referencingstyle"/>
        </w:rPr>
        <w:t xml:space="preserve"> and</w:t>
      </w:r>
      <w:r w:rsidR="00D07332">
        <w:rPr>
          <w:rStyle w:val="Referencingstyle"/>
        </w:rPr>
        <w:t xml:space="preserve"> 6</w:t>
      </w:r>
      <w:r w:rsidR="00037892">
        <w:rPr>
          <w:rStyle w:val="Referencingstyle"/>
        </w:rPr>
        <w:t>,</w:t>
      </w:r>
      <w:r w:rsidR="008F45D2">
        <w:rPr>
          <w:rStyle w:val="Referencingstyle"/>
        </w:rPr>
        <w:t xml:space="preserve"> subsection 393-30(2)</w:t>
      </w:r>
      <w:r w:rsidR="00037892">
        <w:rPr>
          <w:rStyle w:val="Referencingstyle"/>
        </w:rPr>
        <w:t>, section 393-35 (table item 8)]</w:t>
      </w:r>
      <w:r w:rsidR="008F45D2">
        <w:rPr>
          <w:rStyle w:val="Referencingstyle"/>
        </w:rPr>
        <w:t>]</w:t>
      </w:r>
    </w:p>
    <w:p w:rsidR="0024165D" w:rsidRDefault="003D68E9" w:rsidP="0024165D">
      <w:pPr>
        <w:pStyle w:val="base-text-paragraph"/>
      </w:pPr>
      <w:r w:rsidRPr="0024165D">
        <w:t xml:space="preserve">An administrative penalty applies equal to </w:t>
      </w:r>
      <w:r w:rsidR="00ED2B2A" w:rsidRPr="0024165D">
        <w:t xml:space="preserve">200 </w:t>
      </w:r>
      <w:r w:rsidRPr="0024165D">
        <w:t>per cent of the</w:t>
      </w:r>
      <w:r w:rsidR="00ED2B2A" w:rsidRPr="0024165D">
        <w:t xml:space="preserve"> </w:t>
      </w:r>
      <w:r w:rsidR="00336AF0" w:rsidRPr="0024165D">
        <w:t xml:space="preserve">amount by which </w:t>
      </w:r>
      <w:r w:rsidR="00B96D3D" w:rsidRPr="0024165D">
        <w:t>interest has been redu</w:t>
      </w:r>
      <w:r w:rsidR="00A94B72" w:rsidRPr="0024165D">
        <w:t>ced on the portion of the loan used for</w:t>
      </w:r>
      <w:r w:rsidR="00B96D3D" w:rsidRPr="0024165D">
        <w:t xml:space="preserve"> the non</w:t>
      </w:r>
      <w:r w:rsidR="00A94B72" w:rsidRPr="0024165D">
        <w:noBreakHyphen/>
      </w:r>
      <w:r w:rsidR="00B96D3D" w:rsidRPr="0024165D">
        <w:t>qualifying purposes</w:t>
      </w:r>
      <w:r w:rsidR="00ED2B2A" w:rsidRPr="0024165D">
        <w:t>.</w:t>
      </w:r>
      <w:r w:rsidR="00A62210" w:rsidRPr="0024165D">
        <w:t xml:space="preserve"> </w:t>
      </w:r>
      <w:r w:rsidR="00B96D3D" w:rsidRPr="0024165D">
        <w:t xml:space="preserve">The effect of the penalty is to remove any benefit from using an FMD loan offset for a non-qualifying purpose and to </w:t>
      </w:r>
      <w:r w:rsidR="004966CC" w:rsidRPr="0024165D">
        <w:t xml:space="preserve">also </w:t>
      </w:r>
      <w:r w:rsidR="00B96D3D" w:rsidRPr="0024165D">
        <w:t xml:space="preserve">impose an additional cost to act as a deterrent </w:t>
      </w:r>
      <w:r w:rsidR="003247D1" w:rsidRPr="0024165D">
        <w:t>to</w:t>
      </w:r>
      <w:r w:rsidR="00B96D3D" w:rsidRPr="0024165D">
        <w:t xml:space="preserve"> taxpayers to enter into such arrangements</w:t>
      </w:r>
      <w:r w:rsidR="00336AF0" w:rsidRPr="0024165D">
        <w:t xml:space="preserve"> and to recover the time value of the benefit the taxpayer may have obtained through non-compliance</w:t>
      </w:r>
      <w:r w:rsidR="00B96D3D" w:rsidRPr="0024165D">
        <w:t>.</w:t>
      </w:r>
      <w:r w:rsidR="0024165D" w:rsidRPr="0024165D">
        <w:t xml:space="preserve"> </w:t>
      </w:r>
      <w:r w:rsidR="0024165D" w:rsidRPr="0024165D">
        <w:rPr>
          <w:rStyle w:val="Referencingstyle"/>
        </w:rPr>
        <w:t>[Schedule 1, item 1</w:t>
      </w:r>
      <w:r w:rsidR="00D2455D">
        <w:rPr>
          <w:rStyle w:val="Referencingstyle"/>
        </w:rPr>
        <w:t>3</w:t>
      </w:r>
      <w:r w:rsidR="0024165D" w:rsidRPr="0024165D">
        <w:rPr>
          <w:rStyle w:val="Referencingstyle"/>
        </w:rPr>
        <w:t>, section 288-115]</w:t>
      </w:r>
    </w:p>
    <w:p w:rsidR="00A62210" w:rsidRDefault="00A62210" w:rsidP="006F6D3F">
      <w:pPr>
        <w:pStyle w:val="base-text-paragraph"/>
      </w:pPr>
      <w:r>
        <w:t xml:space="preserve">The administrative penalty is subject to the provisions in Subdivision 298-B </w:t>
      </w:r>
      <w:r w:rsidR="00336AF0">
        <w:t>in Schedule 1 to</w:t>
      </w:r>
      <w:r>
        <w:t xml:space="preserve"> the </w:t>
      </w:r>
      <w:r w:rsidRPr="00A62210">
        <w:rPr>
          <w:i/>
        </w:rPr>
        <w:t xml:space="preserve">Taxation Administration Act 1953 </w:t>
      </w:r>
      <w:r>
        <w:t>that apply to existing administrative penalties</w:t>
      </w:r>
      <w:r w:rsidR="00336AF0">
        <w:t>. As a result, among other things</w:t>
      </w:r>
      <w:r>
        <w:t>:</w:t>
      </w:r>
    </w:p>
    <w:p w:rsidR="00A62210" w:rsidRDefault="00A62210" w:rsidP="00A62210">
      <w:pPr>
        <w:pStyle w:val="dotpoint"/>
      </w:pPr>
      <w:r>
        <w:t xml:space="preserve">the Commissioner </w:t>
      </w:r>
      <w:r w:rsidR="00336AF0">
        <w:t xml:space="preserve">must </w:t>
      </w:r>
      <w:r>
        <w:t>give written notice of the penalty and the due date for payment;</w:t>
      </w:r>
    </w:p>
    <w:p w:rsidR="006F6D3F" w:rsidRDefault="00A62210" w:rsidP="00A62210">
      <w:pPr>
        <w:pStyle w:val="dotpoint"/>
      </w:pPr>
      <w:r>
        <w:t xml:space="preserve">the Commissioner </w:t>
      </w:r>
      <w:r w:rsidR="00336AF0">
        <w:t xml:space="preserve">may </w:t>
      </w:r>
      <w:r>
        <w:t>remit the penalty in whole or part</w:t>
      </w:r>
      <w:r w:rsidR="00FA38BB">
        <w:t xml:space="preserve"> </w:t>
      </w:r>
      <w:r w:rsidR="00336AF0">
        <w:t>(and the taxpayer may appeal this decision)</w:t>
      </w:r>
      <w:r>
        <w:t>; and</w:t>
      </w:r>
    </w:p>
    <w:p w:rsidR="00A62210" w:rsidRDefault="00A62210" w:rsidP="00A62210">
      <w:pPr>
        <w:pStyle w:val="dotpoint"/>
      </w:pPr>
      <w:r>
        <w:t xml:space="preserve">the general interest charge </w:t>
      </w:r>
      <w:r w:rsidR="00336AF0">
        <w:t xml:space="preserve">applies to </w:t>
      </w:r>
      <w:r>
        <w:t>the p</w:t>
      </w:r>
      <w:r w:rsidR="00FA38BB">
        <w:t>e</w:t>
      </w:r>
      <w:r>
        <w:t>n</w:t>
      </w:r>
      <w:r w:rsidR="00FA38BB">
        <w:t>a</w:t>
      </w:r>
      <w:r>
        <w:t>lty</w:t>
      </w:r>
      <w:r w:rsidR="00FA38BB">
        <w:t>.</w:t>
      </w:r>
    </w:p>
    <w:p w:rsidR="00535C3E" w:rsidRDefault="00535C3E" w:rsidP="00606766">
      <w:pPr>
        <w:pStyle w:val="base-text-paragraph"/>
      </w:pPr>
      <w:r>
        <w:t xml:space="preserve">The Commissioner would be expected to take into account all relevant factors in deciding to remit the administrative penalty in whole or part </w:t>
      </w:r>
      <w:r w:rsidR="00A94B72">
        <w:t>which would include</w:t>
      </w:r>
      <w:r>
        <w:t xml:space="preserve"> factors such as:</w:t>
      </w:r>
    </w:p>
    <w:p w:rsidR="00535C3E" w:rsidRDefault="00535C3E">
      <w:pPr>
        <w:pStyle w:val="dotpoint"/>
      </w:pPr>
      <w:r>
        <w:t>if the taxpayer has acted deliberately or recklessly;</w:t>
      </w:r>
    </w:p>
    <w:p w:rsidR="00535C3E" w:rsidRDefault="00535C3E">
      <w:pPr>
        <w:pStyle w:val="dotpoint"/>
      </w:pPr>
      <w:r>
        <w:t>how quickly the taxpayer addressed the non-compliance once they became aware of it;</w:t>
      </w:r>
    </w:p>
    <w:p w:rsidR="00535C3E" w:rsidRDefault="00535C3E">
      <w:pPr>
        <w:pStyle w:val="dotpoint"/>
      </w:pPr>
      <w:r>
        <w:t>if the breach was minor in nature</w:t>
      </w:r>
      <w:r w:rsidR="00A94B72">
        <w:t xml:space="preserve"> and unintended</w:t>
      </w:r>
      <w:r>
        <w:t>; and</w:t>
      </w:r>
    </w:p>
    <w:p w:rsidR="00535C3E" w:rsidRDefault="00535C3E">
      <w:pPr>
        <w:pStyle w:val="dotpoint"/>
      </w:pPr>
      <w:r>
        <w:t xml:space="preserve">if the taxpayer </w:t>
      </w:r>
      <w:r w:rsidR="0058434A">
        <w:t xml:space="preserve">had </w:t>
      </w:r>
      <w:r w:rsidR="00A94B72">
        <w:t>otherwise</w:t>
      </w:r>
      <w:r w:rsidR="003247D1">
        <w:t xml:space="preserve"> been fully compliant</w:t>
      </w:r>
      <w:r w:rsidR="0058434A">
        <w:t xml:space="preserve"> with the </w:t>
      </w:r>
      <w:r w:rsidR="00336AF0">
        <w:t xml:space="preserve">tax </w:t>
      </w:r>
      <w:r w:rsidR="0058434A">
        <w:t>law</w:t>
      </w:r>
      <w:r>
        <w:t>.</w:t>
      </w:r>
    </w:p>
    <w:p w:rsidR="00493C18" w:rsidRDefault="00493C18" w:rsidP="00493C18">
      <w:pPr>
        <w:pStyle w:val="ExampleHeading"/>
        <w:tabs>
          <w:tab w:val="clear" w:pos="360"/>
        </w:tabs>
        <w:ind w:left="1134"/>
      </w:pPr>
      <w:r>
        <w:t>: Breach of FMD offset arrangement</w:t>
      </w:r>
    </w:p>
    <w:p w:rsidR="00010060" w:rsidRDefault="00010060" w:rsidP="00010060">
      <w:pPr>
        <w:pStyle w:val="exampletext"/>
      </w:pPr>
      <w:r w:rsidRPr="006F3F10">
        <w:t xml:space="preserve">Lydia is a sole trader that carries on a primary production business. </w:t>
      </w:r>
      <w:r>
        <w:t xml:space="preserve">Lydia borrows $100,000 for her primary production business. </w:t>
      </w:r>
      <w:r w:rsidRPr="006F3F10">
        <w:t>While the loan is otherwise used for the purposes of her primary production business operated as a sole trad</w:t>
      </w:r>
      <w:r>
        <w:t xml:space="preserve">er, she also increased the loan </w:t>
      </w:r>
      <w:r w:rsidRPr="006F3F10">
        <w:t>in September 201</w:t>
      </w:r>
      <w:r>
        <w:t>7</w:t>
      </w:r>
      <w:r w:rsidRPr="006F3F10">
        <w:t xml:space="preserve"> by $50,000 to buy shares in a mining company</w:t>
      </w:r>
      <w:r>
        <w:t xml:space="preserve"> (interest is deductible as the shares are held to derive dividends)</w:t>
      </w:r>
      <w:r w:rsidRPr="006F3F10">
        <w:t>.</w:t>
      </w:r>
    </w:p>
    <w:p w:rsidR="00010060" w:rsidRPr="006F3F10" w:rsidRDefault="00010060" w:rsidP="00010060">
      <w:pPr>
        <w:pStyle w:val="exampletext"/>
      </w:pPr>
      <w:r w:rsidRPr="006F3F10">
        <w:t xml:space="preserve">Lydia has $150,000 held in an FMD as at </w:t>
      </w:r>
      <w:r>
        <w:t>3</w:t>
      </w:r>
      <w:r w:rsidRPr="006F3F10">
        <w:t>1 J</w:t>
      </w:r>
      <w:r>
        <w:t>anuary</w:t>
      </w:r>
      <w:r w:rsidRPr="006F3F10">
        <w:t xml:space="preserve"> 2018. On 31 January 2018</w:t>
      </w:r>
      <w:r>
        <w:t>,</w:t>
      </w:r>
      <w:r w:rsidRPr="006F3F10">
        <w:t xml:space="preserve"> she enters into a loan offset product offered by her bank</w:t>
      </w:r>
      <w:r>
        <w:t>.</w:t>
      </w:r>
      <w:r w:rsidRPr="006F3F10">
        <w:t xml:space="preserve"> </w:t>
      </w:r>
      <w:r>
        <w:t xml:space="preserve">The product allows the linking of </w:t>
      </w:r>
      <w:r w:rsidRPr="006F3F10">
        <w:t xml:space="preserve">the FMD </w:t>
      </w:r>
      <w:r>
        <w:t xml:space="preserve">to the loan, such that the balance in the FMD </w:t>
      </w:r>
      <w:r w:rsidRPr="006F3F10">
        <w:t xml:space="preserve">notionally </w:t>
      </w:r>
      <w:r>
        <w:t>reduces</w:t>
      </w:r>
      <w:r w:rsidRPr="006F3F10">
        <w:t xml:space="preserve"> the balance of her loan</w:t>
      </w:r>
      <w:r>
        <w:t>,</w:t>
      </w:r>
      <w:r w:rsidRPr="006F3F10">
        <w:t xml:space="preserve"> </w:t>
      </w:r>
      <w:r>
        <w:t>with</w:t>
      </w:r>
      <w:r w:rsidRPr="006F3F10">
        <w:t xml:space="preserve"> interest </w:t>
      </w:r>
      <w:r>
        <w:t>being charged</w:t>
      </w:r>
      <w:r w:rsidRPr="006F3F10">
        <w:t xml:space="preserve"> on the</w:t>
      </w:r>
      <w:r>
        <w:t xml:space="preserve"> reduced</w:t>
      </w:r>
      <w:r w:rsidRPr="006F3F10">
        <w:t xml:space="preserve"> loan</w:t>
      </w:r>
      <w:r>
        <w:t xml:space="preserve"> amount</w:t>
      </w:r>
      <w:r w:rsidRPr="006F3F10">
        <w:t xml:space="preserve">. </w:t>
      </w:r>
    </w:p>
    <w:p w:rsidR="00010060" w:rsidRPr="006F3F10" w:rsidRDefault="00010060" w:rsidP="00010060">
      <w:pPr>
        <w:pStyle w:val="exampletext"/>
      </w:pPr>
      <w:r w:rsidRPr="006F3F10">
        <w:t>Accordingly</w:t>
      </w:r>
      <w:r>
        <w:t>,</w:t>
      </w:r>
      <w:r w:rsidRPr="006F3F10">
        <w:t xml:space="preserve"> on 31 January 2018</w:t>
      </w:r>
      <w:r>
        <w:t>,</w:t>
      </w:r>
      <w:r w:rsidRPr="006F3F10">
        <w:t xml:space="preserve"> the balance of the loan of $150,000 is offset against the $150,000 FMD under the FMD offset arrangement. </w:t>
      </w:r>
    </w:p>
    <w:p w:rsidR="00010060" w:rsidRPr="006F3F10" w:rsidRDefault="00010060" w:rsidP="00010060">
      <w:pPr>
        <w:pStyle w:val="exampletext"/>
      </w:pPr>
      <w:r w:rsidRPr="006F3F10">
        <w:t xml:space="preserve">The full amount of the loan is repaid on 30 June 2018 by Lydia from the proceeds of the sale of a property. Lydia does not disclose the breach </w:t>
      </w:r>
      <w:r w:rsidR="00FA561D">
        <w:t>to the Commissioner under which the FMD is offset against a loan used only partly for her primary production business</w:t>
      </w:r>
      <w:r w:rsidRPr="006F3F10">
        <w:t>.</w:t>
      </w:r>
    </w:p>
    <w:p w:rsidR="00010060" w:rsidRPr="006F3F10" w:rsidRDefault="00010060" w:rsidP="00010060">
      <w:pPr>
        <w:pStyle w:val="exampletext"/>
      </w:pPr>
      <w:r w:rsidRPr="006F3F10">
        <w:t>Without the FMD offset occurring, interest of $</w:t>
      </w:r>
      <w:r>
        <w:t>9</w:t>
      </w:r>
      <w:r w:rsidRPr="006F3F10">
        <w:t xml:space="preserve">,000 would have otherwise been </w:t>
      </w:r>
      <w:r>
        <w:t>charged</w:t>
      </w:r>
      <w:r w:rsidRPr="006F3F10">
        <w:t xml:space="preserve"> on the $</w:t>
      </w:r>
      <w:r>
        <w:t>1</w:t>
      </w:r>
      <w:r w:rsidRPr="006F3F10">
        <w:t>50,000 loan</w:t>
      </w:r>
      <w:r>
        <w:t>.  Given that a portion of the loan was used for a non-qualifying purpose, interest of $3,000 will be subject to the administrative penalty</w:t>
      </w:r>
      <w:r w:rsidR="00FA561D">
        <w:t xml:space="preserve"> provisions</w:t>
      </w:r>
      <w:r>
        <w:t xml:space="preserve"> ($50,000 / $150,000 x</w:t>
      </w:r>
      <w:r w:rsidR="00FA561D">
        <w:t xml:space="preserve"> </w:t>
      </w:r>
      <w:r>
        <w:t xml:space="preserve">$9,000). </w:t>
      </w:r>
    </w:p>
    <w:p w:rsidR="00010060" w:rsidRPr="006F3F10" w:rsidRDefault="00010060" w:rsidP="00010060">
      <w:pPr>
        <w:pStyle w:val="exampletext"/>
      </w:pPr>
      <w:r w:rsidRPr="006F3F10">
        <w:t>Accordingly, the Commissioner provides a written notice to Lydia that she is subject to an administrative penalty of $6,000 (200 per cent of the $3,000 of interest not required to be paid for applying the FMD offset for a non-qualifying purpose</w:t>
      </w:r>
      <w:r>
        <w:t>)</w:t>
      </w:r>
      <w:r w:rsidRPr="006F3F10">
        <w:t xml:space="preserve">. This penalty is calculated in relation to the period from </w:t>
      </w:r>
      <w:r>
        <w:t xml:space="preserve">31 </w:t>
      </w:r>
      <w:r w:rsidRPr="006F3F10">
        <w:t xml:space="preserve">January 2018 when the breach </w:t>
      </w:r>
      <w:r w:rsidR="00FA561D">
        <w:t xml:space="preserve">first </w:t>
      </w:r>
      <w:r w:rsidRPr="006F3F10">
        <w:t>occurred until the loan was repaid on 30 June 2018. As the Commissioner considers that the breach was intentional</w:t>
      </w:r>
      <w:r>
        <w:t>,</w:t>
      </w:r>
      <w:r w:rsidRPr="006F3F10">
        <w:t xml:space="preserve"> the Commissioner does not remit any of the penalty. </w:t>
      </w:r>
    </w:p>
    <w:p w:rsidR="00010060" w:rsidRPr="006F3F10" w:rsidRDefault="00010060" w:rsidP="00010060">
      <w:pPr>
        <w:pStyle w:val="exampletext"/>
      </w:pPr>
      <w:r w:rsidRPr="006F3F10">
        <w:t>Lydia can object to the Commissioner’s decision not to remit any of the administrative penalty.</w:t>
      </w:r>
    </w:p>
    <w:p w:rsidR="00336AF0" w:rsidRDefault="00336AF0" w:rsidP="00336AF0">
      <w:pPr>
        <w:pStyle w:val="Heading4"/>
      </w:pPr>
      <w:r>
        <w:t>Clarification of tax outcomes</w:t>
      </w:r>
    </w:p>
    <w:p w:rsidR="00336AF0" w:rsidRDefault="00336AF0" w:rsidP="004E0B52">
      <w:pPr>
        <w:pStyle w:val="base-text-paragraph"/>
      </w:pPr>
      <w:r>
        <w:t xml:space="preserve">To avoid any doubt about the outcomes for these products, the amendments provide that the FMD holder or partnership of which the FMD owner is a partner is treated as not deriving income </w:t>
      </w:r>
      <w:r w:rsidR="007A0D0D">
        <w:t xml:space="preserve">that might otherwise be derived </w:t>
      </w:r>
      <w:r>
        <w:t xml:space="preserve">as a </w:t>
      </w:r>
      <w:r w:rsidR="007A0D0D">
        <w:t>direct consequence</w:t>
      </w:r>
      <w:r>
        <w:t xml:space="preserve"> of the operation of </w:t>
      </w:r>
      <w:r w:rsidR="00992AAC">
        <w:t>a</w:t>
      </w:r>
      <w:r>
        <w:t xml:space="preserve"> qualifying loan offset arrangement.</w:t>
      </w:r>
      <w:r w:rsidR="00640C3C">
        <w:t xml:space="preserve"> The amendments also clarify for the avoidance of any doubt that any corresponding deduction is limited to the actual amount charged.</w:t>
      </w:r>
      <w:r w:rsidRPr="00452941">
        <w:rPr>
          <w:rStyle w:val="Referencingstyle"/>
        </w:rPr>
        <w:t xml:space="preserve"> </w:t>
      </w:r>
      <w:r w:rsidRPr="00AB6A49">
        <w:rPr>
          <w:rStyle w:val="Referencingstyle"/>
        </w:rPr>
        <w:t xml:space="preserve">[Schedule </w:t>
      </w:r>
      <w:r w:rsidR="00D46E91">
        <w:rPr>
          <w:rStyle w:val="Referencingstyle"/>
        </w:rPr>
        <w:t>1</w:t>
      </w:r>
      <w:r w:rsidRPr="00AB6A49">
        <w:rPr>
          <w:rStyle w:val="Referencingstyle"/>
        </w:rPr>
        <w:t xml:space="preserve">, item </w:t>
      </w:r>
      <w:r w:rsidR="00010060">
        <w:rPr>
          <w:rStyle w:val="Referencingstyle"/>
        </w:rPr>
        <w:t>7</w:t>
      </w:r>
      <w:r w:rsidRPr="00AB6A49">
        <w:rPr>
          <w:rStyle w:val="Referencingstyle"/>
        </w:rPr>
        <w:t>, section 393-</w:t>
      </w:r>
      <w:r w:rsidR="00010060">
        <w:rPr>
          <w:rStyle w:val="Referencingstyle"/>
        </w:rPr>
        <w:t>37</w:t>
      </w:r>
      <w:r w:rsidRPr="006165F9">
        <w:rPr>
          <w:rStyle w:val="Referencingstyle"/>
        </w:rPr>
        <w:t>]</w:t>
      </w:r>
    </w:p>
    <w:p w:rsidR="00336AF0" w:rsidRDefault="00336AF0" w:rsidP="00336AF0">
      <w:pPr>
        <w:pStyle w:val="base-text-paragraph"/>
      </w:pPr>
      <w:r>
        <w:t xml:space="preserve">The amendments do not affect the potential application by the Commissioner of the general anti-avoidance rules under Part IVA of the </w:t>
      </w:r>
      <w:r w:rsidRPr="00452941">
        <w:rPr>
          <w:i/>
        </w:rPr>
        <w:t>Income Tax Assessment Act 1936</w:t>
      </w:r>
      <w:r>
        <w:t>.</w:t>
      </w:r>
    </w:p>
    <w:p w:rsidR="00336AF0" w:rsidRDefault="00336AF0" w:rsidP="00606766">
      <w:pPr>
        <w:pStyle w:val="base-text-paragraph"/>
      </w:pPr>
      <w:r>
        <w:t>T</w:t>
      </w:r>
      <w:r w:rsidRPr="009B3C24">
        <w:t xml:space="preserve">he general income tax law </w:t>
      </w:r>
      <w:r>
        <w:t xml:space="preserve">continues to </w:t>
      </w:r>
      <w:r w:rsidRPr="009B3C24">
        <w:t>appl</w:t>
      </w:r>
      <w:r>
        <w:t>y to non-qualifying loan offset arrangements, such as a loan offset arrangement where a</w:t>
      </w:r>
      <w:r w:rsidR="00FC5555">
        <w:t>n</w:t>
      </w:r>
      <w:r>
        <w:t xml:space="preserve"> FMD is offset against a loan held by a trust. Depending on the circumstances of such arrangements, they may not be effective for income tax purposes.</w:t>
      </w:r>
    </w:p>
    <w:p w:rsidR="00BB3B82" w:rsidRPr="00BB3B82" w:rsidRDefault="00336AF0" w:rsidP="00BB3B82">
      <w:pPr>
        <w:pStyle w:val="TableHeadingoutsidetable"/>
      </w:pPr>
      <w:r>
        <w:t xml:space="preserve">: </w:t>
      </w:r>
      <w:r w:rsidR="00BB3B82" w:rsidRPr="00BB3B82">
        <w:t>Summary of implication of use of FMD for offsets</w:t>
      </w:r>
    </w:p>
    <w:tbl>
      <w:tblPr>
        <w:tblStyle w:val="TableGrid10"/>
        <w:tblW w:w="7684" w:type="dxa"/>
        <w:tblInd w:w="788" w:type="dxa"/>
        <w:tblLayout w:type="fixed"/>
        <w:tblLook w:val="04A0" w:firstRow="1" w:lastRow="0" w:firstColumn="1" w:lastColumn="0" w:noHBand="0" w:noVBand="1"/>
      </w:tblPr>
      <w:tblGrid>
        <w:gridCol w:w="1305"/>
        <w:gridCol w:w="1559"/>
        <w:gridCol w:w="1701"/>
        <w:gridCol w:w="1559"/>
        <w:gridCol w:w="1560"/>
      </w:tblGrid>
      <w:tr w:rsidR="003F2107" w:rsidRPr="00BB3B82" w:rsidTr="004E0B52">
        <w:trPr>
          <w:tblHeader/>
        </w:trPr>
        <w:tc>
          <w:tcPr>
            <w:tcW w:w="1305" w:type="dxa"/>
          </w:tcPr>
          <w:p w:rsidR="00BB3B82" w:rsidRPr="00BB3B82" w:rsidRDefault="00BB3B82" w:rsidP="00BB3B82">
            <w:pPr>
              <w:pStyle w:val="tableheaderwithintable"/>
            </w:pPr>
            <w:r w:rsidRPr="00BB3B82">
              <w:t>Entities types for offsets</w:t>
            </w:r>
          </w:p>
        </w:tc>
        <w:tc>
          <w:tcPr>
            <w:tcW w:w="3260" w:type="dxa"/>
            <w:gridSpan w:val="2"/>
          </w:tcPr>
          <w:p w:rsidR="00BB3B82" w:rsidRPr="00BB3B82" w:rsidRDefault="00BB3B82" w:rsidP="00CE53A5">
            <w:pPr>
              <w:pStyle w:val="tableheaderwithintable"/>
            </w:pPr>
            <w:r w:rsidRPr="00BB3B82">
              <w:t>Offset of loans against FMD owner (whether solely or in partnership)</w:t>
            </w:r>
          </w:p>
        </w:tc>
        <w:tc>
          <w:tcPr>
            <w:tcW w:w="3119" w:type="dxa"/>
            <w:gridSpan w:val="2"/>
          </w:tcPr>
          <w:p w:rsidR="00BB3B82" w:rsidRPr="00BB3B82" w:rsidRDefault="00BB3B82" w:rsidP="00BB3B82">
            <w:pPr>
              <w:pStyle w:val="tableheaderwithintable"/>
            </w:pPr>
            <w:r w:rsidRPr="00BB3B82">
              <w:t xml:space="preserve">Offset of loans of other entities (trust, company or </w:t>
            </w:r>
            <w:r w:rsidR="0089129D">
              <w:t>*</w:t>
            </w:r>
            <w:r w:rsidRPr="00BB3B82">
              <w:t>third party)</w:t>
            </w:r>
            <w:r w:rsidR="009B3C24">
              <w:t xml:space="preserve"> – non-qualifying loan offsets</w:t>
            </w:r>
          </w:p>
        </w:tc>
      </w:tr>
      <w:tr w:rsidR="003F2107" w:rsidRPr="00BB3B82" w:rsidTr="004E0B52">
        <w:trPr>
          <w:tblHeader/>
        </w:trPr>
        <w:tc>
          <w:tcPr>
            <w:tcW w:w="1305" w:type="dxa"/>
          </w:tcPr>
          <w:p w:rsidR="00BB3B82" w:rsidRPr="00BB3B82" w:rsidRDefault="00BB3B82" w:rsidP="00BB3B82">
            <w:pPr>
              <w:pStyle w:val="tableheaderwithintable"/>
            </w:pPr>
            <w:r w:rsidRPr="00BB3B82">
              <w:t>FMD deduction and interest treatment</w:t>
            </w:r>
          </w:p>
        </w:tc>
        <w:tc>
          <w:tcPr>
            <w:tcW w:w="1559" w:type="dxa"/>
          </w:tcPr>
          <w:p w:rsidR="00BB3B82" w:rsidRPr="00BB3B82" w:rsidRDefault="003F2107" w:rsidP="00606766">
            <w:pPr>
              <w:pStyle w:val="tableheaderwithintable"/>
              <w:spacing w:after="0"/>
            </w:pPr>
            <w:r>
              <w:t xml:space="preserve">Administrative </w:t>
            </w:r>
            <w:r w:rsidR="00541CE9">
              <w:t>penalty</w:t>
            </w:r>
            <w:r w:rsidR="00BB3B82" w:rsidRPr="00BB3B82">
              <w:t xml:space="preserve"> </w:t>
            </w:r>
          </w:p>
        </w:tc>
        <w:tc>
          <w:tcPr>
            <w:tcW w:w="1701" w:type="dxa"/>
          </w:tcPr>
          <w:p w:rsidR="00BB3B82" w:rsidRPr="00BB3B82" w:rsidRDefault="0065423D" w:rsidP="00541CE9">
            <w:pPr>
              <w:pStyle w:val="tableheaderwithintable"/>
            </w:pPr>
            <w:r>
              <w:t>Tax outcome</w:t>
            </w:r>
          </w:p>
        </w:tc>
        <w:tc>
          <w:tcPr>
            <w:tcW w:w="1559" w:type="dxa"/>
          </w:tcPr>
          <w:p w:rsidR="00BB3B82" w:rsidRPr="00BB3B82" w:rsidRDefault="00541CE9" w:rsidP="00606766">
            <w:pPr>
              <w:pStyle w:val="tableheaderwithintable"/>
              <w:spacing w:after="0"/>
            </w:pPr>
            <w:r>
              <w:t>Administrative</w:t>
            </w:r>
            <w:r w:rsidR="003F2107">
              <w:t xml:space="preserve"> </w:t>
            </w:r>
            <w:r>
              <w:t>penalty</w:t>
            </w:r>
          </w:p>
        </w:tc>
        <w:tc>
          <w:tcPr>
            <w:tcW w:w="1560" w:type="dxa"/>
          </w:tcPr>
          <w:p w:rsidR="00BB3B82" w:rsidRPr="00BB3B82" w:rsidRDefault="0065423D" w:rsidP="00541CE9">
            <w:pPr>
              <w:pStyle w:val="tableheaderwithintable"/>
            </w:pPr>
            <w:r>
              <w:t>Tax outcome</w:t>
            </w:r>
          </w:p>
        </w:tc>
      </w:tr>
      <w:tr w:rsidR="003F2107" w:rsidRPr="00BB3B82" w:rsidTr="004E0B52">
        <w:trPr>
          <w:trHeight w:val="1635"/>
        </w:trPr>
        <w:tc>
          <w:tcPr>
            <w:tcW w:w="1305" w:type="dxa"/>
          </w:tcPr>
          <w:p w:rsidR="00BB3B82" w:rsidRPr="00BB3B82" w:rsidRDefault="00CE53A5" w:rsidP="00CE53A5">
            <w:pPr>
              <w:pStyle w:val="tableheaderwithintable"/>
            </w:pPr>
            <w:r>
              <w:t>Solely p</w:t>
            </w:r>
            <w:r w:rsidR="00BB3B82" w:rsidRPr="00BB3B82">
              <w:t>rimary production business use of loan related to FMD owner</w:t>
            </w:r>
          </w:p>
        </w:tc>
        <w:tc>
          <w:tcPr>
            <w:tcW w:w="1559" w:type="dxa"/>
          </w:tcPr>
          <w:p w:rsidR="00BB3B82" w:rsidRPr="00BB3B82" w:rsidRDefault="00BB3B82" w:rsidP="00BB3B82">
            <w:pPr>
              <w:pStyle w:val="tabletext"/>
            </w:pPr>
            <w:r w:rsidRPr="00BB3B82">
              <w:t xml:space="preserve">No penalty applies. </w:t>
            </w:r>
          </w:p>
        </w:tc>
        <w:tc>
          <w:tcPr>
            <w:tcW w:w="1701" w:type="dxa"/>
          </w:tcPr>
          <w:p w:rsidR="00BB3B82" w:rsidRPr="00BB3B82" w:rsidRDefault="0065423D" w:rsidP="00640C3C">
            <w:pPr>
              <w:pStyle w:val="tabletext"/>
            </w:pPr>
            <w:r>
              <w:t xml:space="preserve">Amendments apply </w:t>
            </w:r>
            <w:r w:rsidR="00AA16A1">
              <w:t xml:space="preserve">if required </w:t>
            </w:r>
            <w:r>
              <w:t xml:space="preserve">to </w:t>
            </w:r>
            <w:r w:rsidR="00640C3C">
              <w:t>clarify that the FMD loan offset arrangement is effective for income tax purposes</w:t>
            </w:r>
            <w:r>
              <w:t>.</w:t>
            </w:r>
          </w:p>
        </w:tc>
        <w:tc>
          <w:tcPr>
            <w:tcW w:w="1559" w:type="dxa"/>
          </w:tcPr>
          <w:p w:rsidR="00BB3B82" w:rsidRPr="00BB3B82" w:rsidRDefault="0089129D" w:rsidP="00BB3B82">
            <w:pPr>
              <w:pStyle w:val="tabletext"/>
            </w:pPr>
            <w:r w:rsidRPr="0089129D">
              <w:t>Administrative penalty applies equal to 200 per cent of total FMD interest offset</w:t>
            </w:r>
          </w:p>
        </w:tc>
        <w:tc>
          <w:tcPr>
            <w:tcW w:w="1560" w:type="dxa"/>
          </w:tcPr>
          <w:p w:rsidR="00BB3B82" w:rsidRPr="00BB3B82" w:rsidRDefault="0065423D" w:rsidP="00BB3B82">
            <w:pPr>
              <w:pStyle w:val="tabletext"/>
            </w:pPr>
            <w:r>
              <w:t xml:space="preserve">General </w:t>
            </w:r>
            <w:r w:rsidR="003E6B8D">
              <w:t xml:space="preserve">income tax </w:t>
            </w:r>
            <w:r>
              <w:t>law applies.</w:t>
            </w:r>
          </w:p>
        </w:tc>
      </w:tr>
      <w:tr w:rsidR="003F2107" w:rsidRPr="00BB3B82" w:rsidTr="004E0B52">
        <w:tc>
          <w:tcPr>
            <w:tcW w:w="1305" w:type="dxa"/>
          </w:tcPr>
          <w:p w:rsidR="00BB3B82" w:rsidRPr="00BB3B82" w:rsidRDefault="00BB3B82" w:rsidP="00BB3B82">
            <w:pPr>
              <w:pStyle w:val="tableheaderwithintable"/>
            </w:pPr>
            <w:r w:rsidRPr="00BB3B82">
              <w:t>Private or non-primary production business use related to FMD owner</w:t>
            </w:r>
          </w:p>
        </w:tc>
        <w:tc>
          <w:tcPr>
            <w:tcW w:w="1559" w:type="dxa"/>
          </w:tcPr>
          <w:p w:rsidR="00BB3B82" w:rsidRPr="00BB3B82" w:rsidRDefault="00BB3B82" w:rsidP="00541CE9">
            <w:pPr>
              <w:pStyle w:val="tabletext"/>
            </w:pPr>
            <w:r w:rsidRPr="00BB3B82">
              <w:rPr>
                <w:color w:val="000000"/>
              </w:rPr>
              <w:t>Administrative penalty applie</w:t>
            </w:r>
            <w:r>
              <w:rPr>
                <w:color w:val="000000"/>
              </w:rPr>
              <w:t xml:space="preserve">s equal to </w:t>
            </w:r>
            <w:r w:rsidR="00CE53A5">
              <w:rPr>
                <w:color w:val="000000"/>
              </w:rPr>
              <w:t xml:space="preserve">200 per cent of interest </w:t>
            </w:r>
            <w:r w:rsidR="00541CE9">
              <w:rPr>
                <w:color w:val="000000"/>
              </w:rPr>
              <w:t xml:space="preserve">that has been reduced on the portion of the loan used for </w:t>
            </w:r>
            <w:r w:rsidRPr="00BB3B82">
              <w:rPr>
                <w:color w:val="000000"/>
              </w:rPr>
              <w:t xml:space="preserve">private or </w:t>
            </w:r>
            <w:r>
              <w:rPr>
                <w:color w:val="000000"/>
              </w:rPr>
              <w:t>n</w:t>
            </w:r>
            <w:r w:rsidRPr="00BB3B82">
              <w:rPr>
                <w:color w:val="000000"/>
              </w:rPr>
              <w:t>on</w:t>
            </w:r>
            <w:r w:rsidRPr="00BB3B82">
              <w:rPr>
                <w:color w:val="000000"/>
              </w:rPr>
              <w:noBreakHyphen/>
              <w:t xml:space="preserve">primary production </w:t>
            </w:r>
            <w:r w:rsidR="00541CE9">
              <w:rPr>
                <w:color w:val="000000"/>
              </w:rPr>
              <w:t>purposes</w:t>
            </w:r>
            <w:r w:rsidRPr="00BB3B82">
              <w:rPr>
                <w:color w:val="000000"/>
              </w:rPr>
              <w:t>.</w:t>
            </w:r>
          </w:p>
        </w:tc>
        <w:tc>
          <w:tcPr>
            <w:tcW w:w="1701" w:type="dxa"/>
          </w:tcPr>
          <w:p w:rsidR="00BB3B82" w:rsidRPr="00BB3B82" w:rsidRDefault="0065423D" w:rsidP="00541CE9">
            <w:pPr>
              <w:pStyle w:val="tabletext"/>
            </w:pPr>
            <w:r>
              <w:t xml:space="preserve">General </w:t>
            </w:r>
            <w:r w:rsidR="003E6B8D">
              <w:t xml:space="preserve">income tax </w:t>
            </w:r>
            <w:r>
              <w:t>law applies.</w:t>
            </w:r>
          </w:p>
        </w:tc>
        <w:tc>
          <w:tcPr>
            <w:tcW w:w="1559" w:type="dxa"/>
          </w:tcPr>
          <w:p w:rsidR="00BB3B82" w:rsidRPr="00BB3B82" w:rsidRDefault="00BB3B82" w:rsidP="0089129D">
            <w:pPr>
              <w:pStyle w:val="tabletext"/>
            </w:pPr>
            <w:r w:rsidRPr="00BB3B82">
              <w:t>Administr</w:t>
            </w:r>
            <w:r w:rsidR="0089129D">
              <w:t>ative penalty applies equal to 20</w:t>
            </w:r>
            <w:r w:rsidRPr="00BB3B82">
              <w:t xml:space="preserve">0 per cent of total FMD </w:t>
            </w:r>
            <w:r w:rsidR="0089129D">
              <w:t>interest</w:t>
            </w:r>
            <w:r w:rsidRPr="00BB3B82">
              <w:t xml:space="preserve"> offset.</w:t>
            </w:r>
          </w:p>
        </w:tc>
        <w:tc>
          <w:tcPr>
            <w:tcW w:w="1560" w:type="dxa"/>
          </w:tcPr>
          <w:p w:rsidR="00BB3B82" w:rsidRPr="00BB3B82" w:rsidRDefault="0065423D" w:rsidP="00BB3B82">
            <w:pPr>
              <w:pStyle w:val="tabletext"/>
            </w:pPr>
            <w:r>
              <w:t xml:space="preserve">General </w:t>
            </w:r>
            <w:r w:rsidR="003E6B8D">
              <w:t xml:space="preserve">income tax </w:t>
            </w:r>
            <w:r>
              <w:t>law applies.</w:t>
            </w:r>
          </w:p>
        </w:tc>
      </w:tr>
    </w:tbl>
    <w:p w:rsidR="00BB3B82" w:rsidRPr="00BB3B82" w:rsidRDefault="0089129D" w:rsidP="00BB3B82">
      <w:pPr>
        <w:ind w:left="1140"/>
      </w:pPr>
      <w:r>
        <w:t>* Third party does not include a partnership in which the FMD owner is treated as carrying on a primary production business.</w:t>
      </w:r>
    </w:p>
    <w:p w:rsidR="00E16EF9" w:rsidRDefault="00E16EF9" w:rsidP="00E16EF9">
      <w:pPr>
        <w:pStyle w:val="Heading2"/>
      </w:pPr>
      <w:r>
        <w:t>Consequential amendments</w:t>
      </w:r>
    </w:p>
    <w:p w:rsidR="00E16EF9" w:rsidRDefault="00E16EF9" w:rsidP="005E0C5E">
      <w:pPr>
        <w:pStyle w:val="base-text-paragraph"/>
      </w:pPr>
      <w:r>
        <w:t xml:space="preserve">Schedule 1 also makes a number of consequential amendments to the income tax law, including guide material to reflect the changes made to the tax treatment of FMDs. </w:t>
      </w:r>
      <w:r>
        <w:rPr>
          <w:rStyle w:val="Referencingstyle"/>
        </w:rPr>
        <w:t>[Schedule 1</w:t>
      </w:r>
      <w:r w:rsidR="00FE5166">
        <w:rPr>
          <w:rStyle w:val="Referencingstyle"/>
        </w:rPr>
        <w:t xml:space="preserve">, items </w:t>
      </w:r>
      <w:r w:rsidR="00CA59FE">
        <w:rPr>
          <w:rStyle w:val="Referencingstyle"/>
        </w:rPr>
        <w:t>1</w:t>
      </w:r>
      <w:r w:rsidR="008F45D2">
        <w:rPr>
          <w:rStyle w:val="Referencingstyle"/>
        </w:rPr>
        <w:t xml:space="preserve">, </w:t>
      </w:r>
      <w:r w:rsidR="00CA59FE">
        <w:rPr>
          <w:rStyle w:val="Referencingstyle"/>
        </w:rPr>
        <w:t>2, 9</w:t>
      </w:r>
      <w:r w:rsidR="005E4DCA">
        <w:rPr>
          <w:rStyle w:val="Referencingstyle"/>
        </w:rPr>
        <w:t>,</w:t>
      </w:r>
      <w:r w:rsidR="001D3DAE">
        <w:rPr>
          <w:rStyle w:val="Referencingstyle"/>
        </w:rPr>
        <w:t xml:space="preserve"> </w:t>
      </w:r>
      <w:r w:rsidR="00CA59FE">
        <w:rPr>
          <w:rStyle w:val="Referencingstyle"/>
        </w:rPr>
        <w:t>10 and 12</w:t>
      </w:r>
      <w:r w:rsidR="008F45D2">
        <w:rPr>
          <w:rStyle w:val="Referencingstyle"/>
        </w:rPr>
        <w:t>,</w:t>
      </w:r>
      <w:r w:rsidR="00FE5166">
        <w:rPr>
          <w:rStyle w:val="Referencingstyle"/>
        </w:rPr>
        <w:t xml:space="preserve"> section 393</w:t>
      </w:r>
      <w:r w:rsidR="008F45D2">
        <w:rPr>
          <w:rStyle w:val="Referencingstyle"/>
        </w:rPr>
        <w:noBreakHyphen/>
      </w:r>
      <w:r w:rsidR="00FE5166">
        <w:rPr>
          <w:rStyle w:val="Referencingstyle"/>
        </w:rPr>
        <w:t>1</w:t>
      </w:r>
      <w:r w:rsidR="008F45D2">
        <w:rPr>
          <w:rStyle w:val="Referencingstyle"/>
        </w:rPr>
        <w:t>,</w:t>
      </w:r>
      <w:r w:rsidR="00FE5166">
        <w:rPr>
          <w:rStyle w:val="Referencingstyle"/>
        </w:rPr>
        <w:t xml:space="preserve"> paragraph 393-15(2)(c</w:t>
      </w:r>
      <w:r w:rsidR="00CA59FE">
        <w:rPr>
          <w:rStyle w:val="Referencingstyle"/>
        </w:rPr>
        <w:t>a)</w:t>
      </w:r>
      <w:r w:rsidR="001D3DAE">
        <w:rPr>
          <w:rStyle w:val="Referencingstyle"/>
        </w:rPr>
        <w:t>,</w:t>
      </w:r>
      <w:r w:rsidR="008F45D2">
        <w:rPr>
          <w:rStyle w:val="Referencingstyle"/>
        </w:rPr>
        <w:t xml:space="preserve"> note at the end of section 393-30</w:t>
      </w:r>
      <w:r w:rsidR="001D3DAE">
        <w:rPr>
          <w:rStyle w:val="Referencingstyle"/>
        </w:rPr>
        <w:t>, note 1 at</w:t>
      </w:r>
      <w:r w:rsidR="00CA59FE">
        <w:rPr>
          <w:rStyle w:val="Referencingstyle"/>
        </w:rPr>
        <w:t xml:space="preserve"> the end of subsections 393-40(1)</w:t>
      </w:r>
      <w:r w:rsidR="001D3DAE">
        <w:rPr>
          <w:rStyle w:val="Referencingstyle"/>
        </w:rPr>
        <w:t xml:space="preserve"> and (2)</w:t>
      </w:r>
      <w:r w:rsidR="005E4DCA">
        <w:rPr>
          <w:rStyle w:val="Referencingstyle"/>
        </w:rPr>
        <w:t xml:space="preserve"> and subsection 393-40(4)</w:t>
      </w:r>
      <w:r w:rsidRPr="00E16EF9">
        <w:rPr>
          <w:rStyle w:val="Referencingstyle"/>
        </w:rPr>
        <w:t>]</w:t>
      </w:r>
    </w:p>
    <w:p w:rsidR="003276A9" w:rsidRDefault="003276A9" w:rsidP="00CB49F3">
      <w:pPr>
        <w:pStyle w:val="Heading2"/>
      </w:pPr>
      <w:r>
        <w:t>Application and transitional provisions</w:t>
      </w:r>
    </w:p>
    <w:p w:rsidR="003276A9" w:rsidRPr="008F726E" w:rsidRDefault="00313B68" w:rsidP="00CB49F3">
      <w:pPr>
        <w:pStyle w:val="base-text-paragraph"/>
      </w:pPr>
      <w:r>
        <w:t xml:space="preserve">The amendments in Schedule </w:t>
      </w:r>
      <w:r w:rsidR="00D53664">
        <w:t>1</w:t>
      </w:r>
      <w:r>
        <w:t xml:space="preserve"> apply to </w:t>
      </w:r>
      <w:r w:rsidR="00D53664">
        <w:t>the 2016-17 income year and later</w:t>
      </w:r>
      <w:r>
        <w:t xml:space="preserve"> income years.</w:t>
      </w:r>
      <w:r w:rsidR="00602828">
        <w:t xml:space="preserve"> </w:t>
      </w:r>
      <w:r w:rsidR="00D2455D">
        <w:rPr>
          <w:rStyle w:val="Referencingstyle"/>
        </w:rPr>
        <w:t>[item 14</w:t>
      </w:r>
      <w:r w:rsidR="00602828">
        <w:rPr>
          <w:rStyle w:val="Referencingstyle"/>
        </w:rPr>
        <w:t>]</w:t>
      </w:r>
    </w:p>
    <w:p w:rsidR="003276A9" w:rsidRDefault="003276A9" w:rsidP="00CB49F3">
      <w:pPr>
        <w:pStyle w:val="Hiddentext"/>
      </w:pPr>
      <w:r>
        <w:t>Do not remove section break.</w:t>
      </w:r>
    </w:p>
    <w:p w:rsidR="003276A9" w:rsidRDefault="003276A9" w:rsidP="00CB49F3">
      <w:pPr>
        <w:sectPr w:rsidR="003276A9" w:rsidSect="00CB49F3">
          <w:headerReference w:type="even" r:id="rId29"/>
          <w:headerReference w:type="default" r:id="rId30"/>
          <w:footerReference w:type="even" r:id="rId31"/>
          <w:footerReference w:type="default" r:id="rId32"/>
          <w:footerReference w:type="first" r:id="rId33"/>
          <w:type w:val="oddPage"/>
          <w:pgSz w:w="11906" w:h="16838" w:code="9"/>
          <w:pgMar w:top="2466" w:right="2098" w:bottom="2466" w:left="2098" w:header="1559" w:footer="1899" w:gutter="0"/>
          <w:cols w:space="708"/>
          <w:titlePg/>
          <w:docGrid w:linePitch="360"/>
        </w:sectPr>
      </w:pPr>
    </w:p>
    <w:p w:rsidR="000457CC" w:rsidRPr="00200C32" w:rsidRDefault="000457CC" w:rsidP="00005CFC"/>
    <w:sectPr w:rsidR="000457CC" w:rsidRPr="00200C32" w:rsidSect="00821379">
      <w:headerReference w:type="even" r:id="rId34"/>
      <w:headerReference w:type="default" r:id="rId35"/>
      <w:footerReference w:type="even" r:id="rId36"/>
      <w:footerReference w:type="default" r:id="rId37"/>
      <w:footerReference w:type="first" r:id="rId38"/>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7C" w:rsidRDefault="00BA407C">
      <w:r>
        <w:separator/>
      </w:r>
    </w:p>
  </w:endnote>
  <w:endnote w:type="continuationSeparator" w:id="0">
    <w:p w:rsidR="00BA407C" w:rsidRDefault="00BA407C">
      <w:r>
        <w:continuationSeparator/>
      </w:r>
    </w:p>
  </w:endnote>
  <w:endnote w:type="continuationNotice" w:id="1">
    <w:p w:rsidR="00BA407C" w:rsidRDefault="00BA40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footer"/>
    </w:pPr>
    <w:r>
      <w:fldChar w:fldCharType="begin"/>
    </w:r>
    <w:r>
      <w:instrText xml:space="preserve"> PAGE   \* MERGEFORMAT </w:instrText>
    </w:r>
    <w:r>
      <w:fldChar w:fldCharType="separate"/>
    </w:r>
    <w:r w:rsidR="009157C8">
      <w:rPr>
        <w:noProof/>
      </w:rPr>
      <w:t>19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footer"/>
    </w:pPr>
    <w:r>
      <w:fldChar w:fldCharType="begin"/>
    </w:r>
    <w:r>
      <w:instrText xml:space="preserve"> PAGE  \* Arabic  \* MERGEFORMAT </w:instrText>
    </w:r>
    <w:r>
      <w:fldChar w:fldCharType="separate"/>
    </w:r>
    <w:r w:rsidR="00A136B8">
      <w:rPr>
        <w:noProof/>
      </w:rPr>
      <w:t>6</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5A76CC">
    <w:pPr>
      <w:pStyle w:val="rightfooter"/>
    </w:pPr>
    <w:r>
      <w:fldChar w:fldCharType="begin"/>
    </w:r>
    <w:r>
      <w:instrText xml:space="preserve"> PAGE  \* Arabic  \* MERGEFORMAT </w:instrText>
    </w:r>
    <w:r>
      <w:fldChar w:fldCharType="separate"/>
    </w:r>
    <w:r w:rsidR="009157C8">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Pr="00B2068E" w:rsidRDefault="003B7167" w:rsidP="00CB49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footer"/>
    </w:pPr>
    <w:r>
      <w:fldChar w:fldCharType="begin"/>
    </w:r>
    <w:r>
      <w:instrText xml:space="preserve"> PAGE  \* Arabic  \* MERGEFORMAT </w:instrText>
    </w:r>
    <w:r>
      <w:fldChar w:fldCharType="separate"/>
    </w:r>
    <w:r w:rsidR="00A136B8">
      <w:rPr>
        <w:noProof/>
      </w:rPr>
      <w:t>4</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leftfooter"/>
    </w:pPr>
    <w:r>
      <w:fldChar w:fldCharType="begin"/>
    </w:r>
    <w:r>
      <w:instrText xml:space="preserve"> PAGE   \* MERGEFORMAT </w:instrText>
    </w:r>
    <w:r>
      <w:fldChar w:fldCharType="separate"/>
    </w:r>
    <w:r w:rsidR="009157C8">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7C" w:rsidRDefault="00BA407C">
      <w:r>
        <w:separator/>
      </w:r>
    </w:p>
  </w:footnote>
  <w:footnote w:type="continuationSeparator" w:id="0">
    <w:p w:rsidR="00BA407C" w:rsidRDefault="00BA407C">
      <w:r>
        <w:continuationSeparator/>
      </w:r>
    </w:p>
  </w:footnote>
  <w:footnote w:type="continuationNotice" w:id="1">
    <w:p w:rsidR="00BA407C" w:rsidRDefault="00BA407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5A76CC">
    <w:pPr>
      <w:pStyle w:val="leftheader"/>
    </w:pPr>
    <w:r>
      <w:fldChar w:fldCharType="begin"/>
    </w:r>
    <w:r>
      <w:instrText xml:space="preserve"> macrobutton nomacro [Click here and insert the name of the Bill]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leftheader"/>
    </w:pPr>
    <w:r>
      <w:fldChar w:fldCharType="begin"/>
    </w:r>
    <w:r>
      <w:instrText xml:space="preserve"> macrobutton nomacro [Click here and insert the name of the Bill]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header"/>
    </w:pPr>
    <w:r>
      <w:fldChar w:fldCharType="begin"/>
    </w:r>
    <w:r>
      <w:instrText xml:space="preserve"> macrobutton nomacro [Click here and enter the name of the Chapter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Pr="005F2D72" w:rsidRDefault="003B7167" w:rsidP="005F2D7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rightheader"/>
    </w:pPr>
    <w:r>
      <w:fldChar w:fldCharType="begin"/>
    </w:r>
    <w:r>
      <w:instrText xml:space="preserve"> macrobutton nomacro [Click here and enter the name of the Chapter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CB49F3">
    <w:pPr>
      <w:pStyle w:val="leftheader"/>
    </w:pPr>
    <w:r>
      <w:t>Tax Laws Amendment (Farm Management Deposit Reforms) Bill 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67" w:rsidRDefault="003B7167" w:rsidP="00BF0166">
    <w:pPr>
      <w:pStyle w:val="rightheader"/>
    </w:pPr>
    <w:r>
      <w:t>Farm management deposit reforms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35A1D34"/>
    <w:multiLevelType w:val="multilevel"/>
    <w:tmpl w:val="BB86990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1"/>
  </w:num>
  <w:num w:numId="2">
    <w:abstractNumId w:val="20"/>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8"/>
  </w:num>
  <w:num w:numId="17">
    <w:abstractNumId w:val="29"/>
  </w:num>
  <w:num w:numId="18">
    <w:abstractNumId w:val="10"/>
  </w:num>
  <w:num w:numId="19">
    <w:abstractNumId w:val="19"/>
  </w:num>
  <w:num w:numId="20">
    <w:abstractNumId w:val="23"/>
  </w:num>
  <w:num w:numId="21">
    <w:abstractNumId w:val="24"/>
  </w:num>
  <w:num w:numId="22">
    <w:abstractNumId w:val="14"/>
  </w:num>
  <w:num w:numId="23">
    <w:abstractNumId w:val="16"/>
  </w:num>
  <w:num w:numId="24">
    <w:abstractNumId w:val="27"/>
  </w:num>
  <w:num w:numId="25">
    <w:abstractNumId w:val="30"/>
  </w:num>
  <w:num w:numId="26">
    <w:abstractNumId w:val="25"/>
  </w:num>
  <w:num w:numId="27">
    <w:abstractNumId w:val="11"/>
  </w:num>
  <w:num w:numId="28">
    <w:abstractNumId w:val="22"/>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20"/>
  </w:num>
  <w:num w:numId="40">
    <w:abstractNumId w:val="20"/>
  </w:num>
  <w:num w:numId="41">
    <w:abstractNumId w:val="20"/>
  </w:num>
  <w:num w:numId="42">
    <w:abstractNumId w:val="26"/>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13"/>
  </w:num>
  <w:num w:numId="4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71F"/>
    <w:rsid w:val="00005CFC"/>
    <w:rsid w:val="00010060"/>
    <w:rsid w:val="00010EEF"/>
    <w:rsid w:val="00012F66"/>
    <w:rsid w:val="00022787"/>
    <w:rsid w:val="000275F1"/>
    <w:rsid w:val="000327A2"/>
    <w:rsid w:val="0003305A"/>
    <w:rsid w:val="0003470D"/>
    <w:rsid w:val="00034BE8"/>
    <w:rsid w:val="00037892"/>
    <w:rsid w:val="000423D9"/>
    <w:rsid w:val="00043032"/>
    <w:rsid w:val="000457CC"/>
    <w:rsid w:val="00046AE6"/>
    <w:rsid w:val="0004758A"/>
    <w:rsid w:val="00050170"/>
    <w:rsid w:val="000539F9"/>
    <w:rsid w:val="00054005"/>
    <w:rsid w:val="0005600E"/>
    <w:rsid w:val="00060758"/>
    <w:rsid w:val="00060782"/>
    <w:rsid w:val="0006616D"/>
    <w:rsid w:val="00067E1D"/>
    <w:rsid w:val="000705A5"/>
    <w:rsid w:val="000725C0"/>
    <w:rsid w:val="00075250"/>
    <w:rsid w:val="00075D8C"/>
    <w:rsid w:val="00076543"/>
    <w:rsid w:val="00077E0B"/>
    <w:rsid w:val="000812F1"/>
    <w:rsid w:val="00082449"/>
    <w:rsid w:val="00082F33"/>
    <w:rsid w:val="000835C7"/>
    <w:rsid w:val="00085BBF"/>
    <w:rsid w:val="00085C5D"/>
    <w:rsid w:val="0009055D"/>
    <w:rsid w:val="000916D1"/>
    <w:rsid w:val="000960B7"/>
    <w:rsid w:val="000A0AFD"/>
    <w:rsid w:val="000A2094"/>
    <w:rsid w:val="000A3217"/>
    <w:rsid w:val="000A341E"/>
    <w:rsid w:val="000A3F81"/>
    <w:rsid w:val="000A4414"/>
    <w:rsid w:val="000A5B26"/>
    <w:rsid w:val="000A6DBE"/>
    <w:rsid w:val="000B162F"/>
    <w:rsid w:val="000B5814"/>
    <w:rsid w:val="000B5E93"/>
    <w:rsid w:val="000B67FA"/>
    <w:rsid w:val="000B7057"/>
    <w:rsid w:val="000B7699"/>
    <w:rsid w:val="000B7FBA"/>
    <w:rsid w:val="000C06D9"/>
    <w:rsid w:val="000C1CB8"/>
    <w:rsid w:val="000C5266"/>
    <w:rsid w:val="000C7D94"/>
    <w:rsid w:val="000D54A6"/>
    <w:rsid w:val="000E089D"/>
    <w:rsid w:val="000E5B9A"/>
    <w:rsid w:val="000E7B60"/>
    <w:rsid w:val="000F1C03"/>
    <w:rsid w:val="000F1FA8"/>
    <w:rsid w:val="000F4EA8"/>
    <w:rsid w:val="000F5B15"/>
    <w:rsid w:val="001025C2"/>
    <w:rsid w:val="00110B98"/>
    <w:rsid w:val="001114E6"/>
    <w:rsid w:val="00111844"/>
    <w:rsid w:val="00113E19"/>
    <w:rsid w:val="0012130B"/>
    <w:rsid w:val="00121EB0"/>
    <w:rsid w:val="00123D96"/>
    <w:rsid w:val="0012405D"/>
    <w:rsid w:val="00124E15"/>
    <w:rsid w:val="00131CBC"/>
    <w:rsid w:val="00131E0C"/>
    <w:rsid w:val="00134BEB"/>
    <w:rsid w:val="0014197C"/>
    <w:rsid w:val="00147843"/>
    <w:rsid w:val="00151717"/>
    <w:rsid w:val="00153075"/>
    <w:rsid w:val="00155C7C"/>
    <w:rsid w:val="001600ED"/>
    <w:rsid w:val="0016360D"/>
    <w:rsid w:val="00174A29"/>
    <w:rsid w:val="001757E2"/>
    <w:rsid w:val="001918D0"/>
    <w:rsid w:val="00196764"/>
    <w:rsid w:val="001A5659"/>
    <w:rsid w:val="001A67E7"/>
    <w:rsid w:val="001A7A18"/>
    <w:rsid w:val="001B1141"/>
    <w:rsid w:val="001B1919"/>
    <w:rsid w:val="001B2964"/>
    <w:rsid w:val="001B36BD"/>
    <w:rsid w:val="001C2C53"/>
    <w:rsid w:val="001D3DAE"/>
    <w:rsid w:val="001D5436"/>
    <w:rsid w:val="001D7A5F"/>
    <w:rsid w:val="001E0402"/>
    <w:rsid w:val="001E6545"/>
    <w:rsid w:val="001E6BCA"/>
    <w:rsid w:val="001F2DCF"/>
    <w:rsid w:val="00200C32"/>
    <w:rsid w:val="00200E96"/>
    <w:rsid w:val="002018D5"/>
    <w:rsid w:val="00201B36"/>
    <w:rsid w:val="002037BC"/>
    <w:rsid w:val="002060AB"/>
    <w:rsid w:val="00212403"/>
    <w:rsid w:val="00213580"/>
    <w:rsid w:val="00220D6C"/>
    <w:rsid w:val="00222D57"/>
    <w:rsid w:val="002234E9"/>
    <w:rsid w:val="00231CBA"/>
    <w:rsid w:val="00236A1C"/>
    <w:rsid w:val="00240244"/>
    <w:rsid w:val="002409A0"/>
    <w:rsid w:val="00241405"/>
    <w:rsid w:val="0024165D"/>
    <w:rsid w:val="00245CFB"/>
    <w:rsid w:val="00247F95"/>
    <w:rsid w:val="00250154"/>
    <w:rsid w:val="002509FD"/>
    <w:rsid w:val="00251361"/>
    <w:rsid w:val="002530B7"/>
    <w:rsid w:val="00253E01"/>
    <w:rsid w:val="00254D5A"/>
    <w:rsid w:val="002551B0"/>
    <w:rsid w:val="00266048"/>
    <w:rsid w:val="00266F13"/>
    <w:rsid w:val="0026799F"/>
    <w:rsid w:val="00272FD3"/>
    <w:rsid w:val="002748EB"/>
    <w:rsid w:val="00275484"/>
    <w:rsid w:val="00281254"/>
    <w:rsid w:val="002828A3"/>
    <w:rsid w:val="00282BC4"/>
    <w:rsid w:val="00284CBD"/>
    <w:rsid w:val="002851AB"/>
    <w:rsid w:val="002857E2"/>
    <w:rsid w:val="002947F4"/>
    <w:rsid w:val="002A065F"/>
    <w:rsid w:val="002A07B9"/>
    <w:rsid w:val="002A0CFC"/>
    <w:rsid w:val="002A17A5"/>
    <w:rsid w:val="002A1C42"/>
    <w:rsid w:val="002A2710"/>
    <w:rsid w:val="002A3B76"/>
    <w:rsid w:val="002A4F1C"/>
    <w:rsid w:val="002A64A2"/>
    <w:rsid w:val="002A6B71"/>
    <w:rsid w:val="002A7C0E"/>
    <w:rsid w:val="002B228D"/>
    <w:rsid w:val="002B3EB7"/>
    <w:rsid w:val="002C43E8"/>
    <w:rsid w:val="002C571E"/>
    <w:rsid w:val="002C7C99"/>
    <w:rsid w:val="002D2436"/>
    <w:rsid w:val="002D5341"/>
    <w:rsid w:val="002D6555"/>
    <w:rsid w:val="002E3A4D"/>
    <w:rsid w:val="002E5FD3"/>
    <w:rsid w:val="002F0931"/>
    <w:rsid w:val="002F0E0C"/>
    <w:rsid w:val="002F2244"/>
    <w:rsid w:val="002F246F"/>
    <w:rsid w:val="002F3991"/>
    <w:rsid w:val="002F6346"/>
    <w:rsid w:val="002F75B0"/>
    <w:rsid w:val="0030256C"/>
    <w:rsid w:val="00303961"/>
    <w:rsid w:val="003051AD"/>
    <w:rsid w:val="0030690A"/>
    <w:rsid w:val="00313162"/>
    <w:rsid w:val="00313B68"/>
    <w:rsid w:val="00314B2B"/>
    <w:rsid w:val="00315CDF"/>
    <w:rsid w:val="00320374"/>
    <w:rsid w:val="003210A1"/>
    <w:rsid w:val="003212C1"/>
    <w:rsid w:val="003247D1"/>
    <w:rsid w:val="00325BF0"/>
    <w:rsid w:val="003276A9"/>
    <w:rsid w:val="00331C21"/>
    <w:rsid w:val="00336AF0"/>
    <w:rsid w:val="00337776"/>
    <w:rsid w:val="00345CCB"/>
    <w:rsid w:val="00346BEB"/>
    <w:rsid w:val="003501C2"/>
    <w:rsid w:val="003505E3"/>
    <w:rsid w:val="00355BAF"/>
    <w:rsid w:val="00357B44"/>
    <w:rsid w:val="003618DA"/>
    <w:rsid w:val="00363299"/>
    <w:rsid w:val="0036787F"/>
    <w:rsid w:val="00370AE1"/>
    <w:rsid w:val="00370CF4"/>
    <w:rsid w:val="003719A4"/>
    <w:rsid w:val="00371EA7"/>
    <w:rsid w:val="00376FAF"/>
    <w:rsid w:val="00377726"/>
    <w:rsid w:val="00377CA9"/>
    <w:rsid w:val="00377CD4"/>
    <w:rsid w:val="00381F2A"/>
    <w:rsid w:val="00385114"/>
    <w:rsid w:val="00386A6F"/>
    <w:rsid w:val="00387BAB"/>
    <w:rsid w:val="00390E94"/>
    <w:rsid w:val="00392A09"/>
    <w:rsid w:val="0039400F"/>
    <w:rsid w:val="00397D3E"/>
    <w:rsid w:val="003A233E"/>
    <w:rsid w:val="003A311E"/>
    <w:rsid w:val="003A3937"/>
    <w:rsid w:val="003A5A84"/>
    <w:rsid w:val="003A5D7E"/>
    <w:rsid w:val="003A5FFD"/>
    <w:rsid w:val="003A6BC6"/>
    <w:rsid w:val="003A6E97"/>
    <w:rsid w:val="003A7EAB"/>
    <w:rsid w:val="003B2BC5"/>
    <w:rsid w:val="003B2C77"/>
    <w:rsid w:val="003B2F0A"/>
    <w:rsid w:val="003B2F75"/>
    <w:rsid w:val="003B550D"/>
    <w:rsid w:val="003B7167"/>
    <w:rsid w:val="003B7ED7"/>
    <w:rsid w:val="003C1301"/>
    <w:rsid w:val="003C2171"/>
    <w:rsid w:val="003C4087"/>
    <w:rsid w:val="003C5BA3"/>
    <w:rsid w:val="003C5F62"/>
    <w:rsid w:val="003C5FB2"/>
    <w:rsid w:val="003C727A"/>
    <w:rsid w:val="003C79B4"/>
    <w:rsid w:val="003D3FD8"/>
    <w:rsid w:val="003D68E9"/>
    <w:rsid w:val="003D6FD9"/>
    <w:rsid w:val="003D734D"/>
    <w:rsid w:val="003D7F02"/>
    <w:rsid w:val="003E0794"/>
    <w:rsid w:val="003E29E2"/>
    <w:rsid w:val="003E5DF3"/>
    <w:rsid w:val="003E5EE9"/>
    <w:rsid w:val="003E68F7"/>
    <w:rsid w:val="003E6B8D"/>
    <w:rsid w:val="003E7EAF"/>
    <w:rsid w:val="003F0056"/>
    <w:rsid w:val="003F096C"/>
    <w:rsid w:val="003F2107"/>
    <w:rsid w:val="003F295B"/>
    <w:rsid w:val="003F4BD0"/>
    <w:rsid w:val="003F56DD"/>
    <w:rsid w:val="003F7E96"/>
    <w:rsid w:val="004030F1"/>
    <w:rsid w:val="0040745E"/>
    <w:rsid w:val="00411C02"/>
    <w:rsid w:val="00412B34"/>
    <w:rsid w:val="00420383"/>
    <w:rsid w:val="0042251D"/>
    <w:rsid w:val="0042591E"/>
    <w:rsid w:val="00425D23"/>
    <w:rsid w:val="00427F14"/>
    <w:rsid w:val="0043366C"/>
    <w:rsid w:val="004337C9"/>
    <w:rsid w:val="00433B1D"/>
    <w:rsid w:val="00433FD9"/>
    <w:rsid w:val="00436054"/>
    <w:rsid w:val="00441D38"/>
    <w:rsid w:val="00442FB9"/>
    <w:rsid w:val="00443376"/>
    <w:rsid w:val="0044391B"/>
    <w:rsid w:val="00450635"/>
    <w:rsid w:val="00451BB3"/>
    <w:rsid w:val="00451C6F"/>
    <w:rsid w:val="00457BC3"/>
    <w:rsid w:val="00460019"/>
    <w:rsid w:val="0046004E"/>
    <w:rsid w:val="00465A34"/>
    <w:rsid w:val="00470181"/>
    <w:rsid w:val="004710EB"/>
    <w:rsid w:val="00472449"/>
    <w:rsid w:val="00475D9F"/>
    <w:rsid w:val="00476A04"/>
    <w:rsid w:val="00480C91"/>
    <w:rsid w:val="00482336"/>
    <w:rsid w:val="004836D2"/>
    <w:rsid w:val="00483A94"/>
    <w:rsid w:val="00484559"/>
    <w:rsid w:val="00486872"/>
    <w:rsid w:val="00493C18"/>
    <w:rsid w:val="004964B6"/>
    <w:rsid w:val="004966CC"/>
    <w:rsid w:val="004972CF"/>
    <w:rsid w:val="004A1BF3"/>
    <w:rsid w:val="004A202F"/>
    <w:rsid w:val="004A37EC"/>
    <w:rsid w:val="004A3A86"/>
    <w:rsid w:val="004A3BF7"/>
    <w:rsid w:val="004A7BB2"/>
    <w:rsid w:val="004B755A"/>
    <w:rsid w:val="004C1468"/>
    <w:rsid w:val="004C4FA4"/>
    <w:rsid w:val="004C69C2"/>
    <w:rsid w:val="004D2F27"/>
    <w:rsid w:val="004D6B85"/>
    <w:rsid w:val="004E0B52"/>
    <w:rsid w:val="004E0F4B"/>
    <w:rsid w:val="004E161F"/>
    <w:rsid w:val="004E6082"/>
    <w:rsid w:val="004E6D83"/>
    <w:rsid w:val="004F3118"/>
    <w:rsid w:val="004F78F9"/>
    <w:rsid w:val="00502551"/>
    <w:rsid w:val="00504D4A"/>
    <w:rsid w:val="005052B0"/>
    <w:rsid w:val="0050652E"/>
    <w:rsid w:val="005116A9"/>
    <w:rsid w:val="005149CC"/>
    <w:rsid w:val="00515E69"/>
    <w:rsid w:val="005177DF"/>
    <w:rsid w:val="00517A04"/>
    <w:rsid w:val="00517B68"/>
    <w:rsid w:val="00523617"/>
    <w:rsid w:val="005255EA"/>
    <w:rsid w:val="005267AE"/>
    <w:rsid w:val="00526B96"/>
    <w:rsid w:val="0052795B"/>
    <w:rsid w:val="005309B3"/>
    <w:rsid w:val="00531F28"/>
    <w:rsid w:val="00535C3E"/>
    <w:rsid w:val="005408E6"/>
    <w:rsid w:val="00541324"/>
    <w:rsid w:val="005417CA"/>
    <w:rsid w:val="00541CE9"/>
    <w:rsid w:val="0054284D"/>
    <w:rsid w:val="00543A8D"/>
    <w:rsid w:val="005442E3"/>
    <w:rsid w:val="00554339"/>
    <w:rsid w:val="0055513E"/>
    <w:rsid w:val="00555D38"/>
    <w:rsid w:val="00560C14"/>
    <w:rsid w:val="00562514"/>
    <w:rsid w:val="005663E4"/>
    <w:rsid w:val="005676CD"/>
    <w:rsid w:val="005731C6"/>
    <w:rsid w:val="00573D42"/>
    <w:rsid w:val="00576510"/>
    <w:rsid w:val="00580C19"/>
    <w:rsid w:val="00581E71"/>
    <w:rsid w:val="005834E7"/>
    <w:rsid w:val="0058434A"/>
    <w:rsid w:val="00585AFF"/>
    <w:rsid w:val="0059180A"/>
    <w:rsid w:val="00592321"/>
    <w:rsid w:val="005972DA"/>
    <w:rsid w:val="005A1D4C"/>
    <w:rsid w:val="005A346C"/>
    <w:rsid w:val="005A3541"/>
    <w:rsid w:val="005A5300"/>
    <w:rsid w:val="005A5348"/>
    <w:rsid w:val="005A576D"/>
    <w:rsid w:val="005A5BB3"/>
    <w:rsid w:val="005A76CC"/>
    <w:rsid w:val="005B22C7"/>
    <w:rsid w:val="005B2DDE"/>
    <w:rsid w:val="005B3B41"/>
    <w:rsid w:val="005B546F"/>
    <w:rsid w:val="005B5F32"/>
    <w:rsid w:val="005B6F6C"/>
    <w:rsid w:val="005C0475"/>
    <w:rsid w:val="005C2226"/>
    <w:rsid w:val="005C2B1A"/>
    <w:rsid w:val="005C6FB4"/>
    <w:rsid w:val="005C75DD"/>
    <w:rsid w:val="005D07E2"/>
    <w:rsid w:val="005D0F90"/>
    <w:rsid w:val="005D1A67"/>
    <w:rsid w:val="005E0C5E"/>
    <w:rsid w:val="005E19A8"/>
    <w:rsid w:val="005E4DCA"/>
    <w:rsid w:val="005E741D"/>
    <w:rsid w:val="005E77E1"/>
    <w:rsid w:val="005F0900"/>
    <w:rsid w:val="005F2D72"/>
    <w:rsid w:val="005F35FD"/>
    <w:rsid w:val="005F7875"/>
    <w:rsid w:val="006013F6"/>
    <w:rsid w:val="0060211C"/>
    <w:rsid w:val="00602828"/>
    <w:rsid w:val="00606766"/>
    <w:rsid w:val="006071CA"/>
    <w:rsid w:val="006071E9"/>
    <w:rsid w:val="0060771F"/>
    <w:rsid w:val="00607CFC"/>
    <w:rsid w:val="00612F2B"/>
    <w:rsid w:val="00613A7B"/>
    <w:rsid w:val="00614182"/>
    <w:rsid w:val="006165F9"/>
    <w:rsid w:val="00616C15"/>
    <w:rsid w:val="00621923"/>
    <w:rsid w:val="00621D9E"/>
    <w:rsid w:val="0062463F"/>
    <w:rsid w:val="0062562F"/>
    <w:rsid w:val="00631337"/>
    <w:rsid w:val="00636B63"/>
    <w:rsid w:val="00640C3C"/>
    <w:rsid w:val="006412C3"/>
    <w:rsid w:val="00642428"/>
    <w:rsid w:val="00651464"/>
    <w:rsid w:val="00651815"/>
    <w:rsid w:val="00653DA2"/>
    <w:rsid w:val="0065423D"/>
    <w:rsid w:val="006544F8"/>
    <w:rsid w:val="006544FF"/>
    <w:rsid w:val="006545E3"/>
    <w:rsid w:val="00654B6B"/>
    <w:rsid w:val="006655F9"/>
    <w:rsid w:val="006708C1"/>
    <w:rsid w:val="006712FD"/>
    <w:rsid w:val="00671686"/>
    <w:rsid w:val="00674535"/>
    <w:rsid w:val="00676AC8"/>
    <w:rsid w:val="006857AE"/>
    <w:rsid w:val="00690B59"/>
    <w:rsid w:val="00690ED4"/>
    <w:rsid w:val="006916A8"/>
    <w:rsid w:val="00695819"/>
    <w:rsid w:val="006A4718"/>
    <w:rsid w:val="006B637B"/>
    <w:rsid w:val="006C3CEB"/>
    <w:rsid w:val="006D1279"/>
    <w:rsid w:val="006D4184"/>
    <w:rsid w:val="006D4CA4"/>
    <w:rsid w:val="006D737B"/>
    <w:rsid w:val="006E01A2"/>
    <w:rsid w:val="006E08FB"/>
    <w:rsid w:val="006E1E1E"/>
    <w:rsid w:val="006E3458"/>
    <w:rsid w:val="006E38A0"/>
    <w:rsid w:val="006E549F"/>
    <w:rsid w:val="006E60FD"/>
    <w:rsid w:val="006F0FEC"/>
    <w:rsid w:val="006F6D3F"/>
    <w:rsid w:val="006F713E"/>
    <w:rsid w:val="006F7AFB"/>
    <w:rsid w:val="007001D0"/>
    <w:rsid w:val="00703C25"/>
    <w:rsid w:val="00704364"/>
    <w:rsid w:val="00707D39"/>
    <w:rsid w:val="00710171"/>
    <w:rsid w:val="00712FE8"/>
    <w:rsid w:val="007155B4"/>
    <w:rsid w:val="007157AA"/>
    <w:rsid w:val="00716180"/>
    <w:rsid w:val="00720347"/>
    <w:rsid w:val="00722B90"/>
    <w:rsid w:val="00725B4F"/>
    <w:rsid w:val="00727409"/>
    <w:rsid w:val="00731D8B"/>
    <w:rsid w:val="007329C5"/>
    <w:rsid w:val="00736240"/>
    <w:rsid w:val="00737705"/>
    <w:rsid w:val="007424B9"/>
    <w:rsid w:val="007439D0"/>
    <w:rsid w:val="00743FCB"/>
    <w:rsid w:val="007454F8"/>
    <w:rsid w:val="00750206"/>
    <w:rsid w:val="00752AAC"/>
    <w:rsid w:val="00753239"/>
    <w:rsid w:val="0075706C"/>
    <w:rsid w:val="00757479"/>
    <w:rsid w:val="00757689"/>
    <w:rsid w:val="00761816"/>
    <w:rsid w:val="00761B5F"/>
    <w:rsid w:val="00762AAE"/>
    <w:rsid w:val="00762D28"/>
    <w:rsid w:val="007645AE"/>
    <w:rsid w:val="00764BAD"/>
    <w:rsid w:val="007652BC"/>
    <w:rsid w:val="00766B32"/>
    <w:rsid w:val="00774214"/>
    <w:rsid w:val="00780341"/>
    <w:rsid w:val="00781798"/>
    <w:rsid w:val="00782CEC"/>
    <w:rsid w:val="007833BE"/>
    <w:rsid w:val="00784D06"/>
    <w:rsid w:val="007871CD"/>
    <w:rsid w:val="00790795"/>
    <w:rsid w:val="00792ECD"/>
    <w:rsid w:val="00793F75"/>
    <w:rsid w:val="007941D9"/>
    <w:rsid w:val="007966EF"/>
    <w:rsid w:val="007A0D0D"/>
    <w:rsid w:val="007A1BCB"/>
    <w:rsid w:val="007A4B4F"/>
    <w:rsid w:val="007A4C99"/>
    <w:rsid w:val="007A50D3"/>
    <w:rsid w:val="007A6106"/>
    <w:rsid w:val="007A7631"/>
    <w:rsid w:val="007A7C0F"/>
    <w:rsid w:val="007B188B"/>
    <w:rsid w:val="007B1AA6"/>
    <w:rsid w:val="007B23EE"/>
    <w:rsid w:val="007B3174"/>
    <w:rsid w:val="007B73E0"/>
    <w:rsid w:val="007C292B"/>
    <w:rsid w:val="007C3F17"/>
    <w:rsid w:val="007D1821"/>
    <w:rsid w:val="007E25E0"/>
    <w:rsid w:val="007E3C31"/>
    <w:rsid w:val="007E487C"/>
    <w:rsid w:val="007F1992"/>
    <w:rsid w:val="007F1F67"/>
    <w:rsid w:val="007F3067"/>
    <w:rsid w:val="007F4D94"/>
    <w:rsid w:val="007F5B1F"/>
    <w:rsid w:val="00804583"/>
    <w:rsid w:val="00807EAC"/>
    <w:rsid w:val="00813210"/>
    <w:rsid w:val="008147F1"/>
    <w:rsid w:val="008212B5"/>
    <w:rsid w:val="00821379"/>
    <w:rsid w:val="00823864"/>
    <w:rsid w:val="008238D7"/>
    <w:rsid w:val="00827930"/>
    <w:rsid w:val="00830A28"/>
    <w:rsid w:val="00832743"/>
    <w:rsid w:val="00835001"/>
    <w:rsid w:val="008371B4"/>
    <w:rsid w:val="00840602"/>
    <w:rsid w:val="00844687"/>
    <w:rsid w:val="00844F7E"/>
    <w:rsid w:val="008501FA"/>
    <w:rsid w:val="00855D57"/>
    <w:rsid w:val="008573AE"/>
    <w:rsid w:val="0086226C"/>
    <w:rsid w:val="008650C6"/>
    <w:rsid w:val="00867F0F"/>
    <w:rsid w:val="0087114D"/>
    <w:rsid w:val="00871338"/>
    <w:rsid w:val="008727D4"/>
    <w:rsid w:val="008752F1"/>
    <w:rsid w:val="008836A0"/>
    <w:rsid w:val="00885BE8"/>
    <w:rsid w:val="008865F1"/>
    <w:rsid w:val="008873E6"/>
    <w:rsid w:val="00890245"/>
    <w:rsid w:val="0089129D"/>
    <w:rsid w:val="008923A4"/>
    <w:rsid w:val="00897A12"/>
    <w:rsid w:val="008A2FD2"/>
    <w:rsid w:val="008A366E"/>
    <w:rsid w:val="008B0747"/>
    <w:rsid w:val="008B095D"/>
    <w:rsid w:val="008B31CE"/>
    <w:rsid w:val="008B3449"/>
    <w:rsid w:val="008B56B5"/>
    <w:rsid w:val="008C18F3"/>
    <w:rsid w:val="008C359D"/>
    <w:rsid w:val="008C5040"/>
    <w:rsid w:val="008C51F4"/>
    <w:rsid w:val="008C68A9"/>
    <w:rsid w:val="008D0AE4"/>
    <w:rsid w:val="008D130F"/>
    <w:rsid w:val="008D1ECE"/>
    <w:rsid w:val="008D3EE9"/>
    <w:rsid w:val="008D4C40"/>
    <w:rsid w:val="008D5108"/>
    <w:rsid w:val="008D75E9"/>
    <w:rsid w:val="008E1028"/>
    <w:rsid w:val="008E2943"/>
    <w:rsid w:val="008E37D7"/>
    <w:rsid w:val="008E3BFC"/>
    <w:rsid w:val="008F12D1"/>
    <w:rsid w:val="008F1A67"/>
    <w:rsid w:val="008F45D2"/>
    <w:rsid w:val="008F726E"/>
    <w:rsid w:val="00901ED2"/>
    <w:rsid w:val="00906B49"/>
    <w:rsid w:val="0090715A"/>
    <w:rsid w:val="00907FD0"/>
    <w:rsid w:val="00910E4D"/>
    <w:rsid w:val="009125BB"/>
    <w:rsid w:val="00914231"/>
    <w:rsid w:val="009157C8"/>
    <w:rsid w:val="00915FA5"/>
    <w:rsid w:val="00917DED"/>
    <w:rsid w:val="00922787"/>
    <w:rsid w:val="00926E36"/>
    <w:rsid w:val="00932BA4"/>
    <w:rsid w:val="00935C6B"/>
    <w:rsid w:val="00937B71"/>
    <w:rsid w:val="00940BFD"/>
    <w:rsid w:val="00940DA6"/>
    <w:rsid w:val="00941162"/>
    <w:rsid w:val="009414C1"/>
    <w:rsid w:val="0094397F"/>
    <w:rsid w:val="00945F62"/>
    <w:rsid w:val="0094620E"/>
    <w:rsid w:val="009464A3"/>
    <w:rsid w:val="0095290C"/>
    <w:rsid w:val="00952C92"/>
    <w:rsid w:val="009530DE"/>
    <w:rsid w:val="00953F17"/>
    <w:rsid w:val="00954077"/>
    <w:rsid w:val="009615B2"/>
    <w:rsid w:val="0096411E"/>
    <w:rsid w:val="009642C3"/>
    <w:rsid w:val="009673FC"/>
    <w:rsid w:val="00973550"/>
    <w:rsid w:val="009735B1"/>
    <w:rsid w:val="009759C8"/>
    <w:rsid w:val="00982CF3"/>
    <w:rsid w:val="00987E6F"/>
    <w:rsid w:val="00990ED2"/>
    <w:rsid w:val="00992AAC"/>
    <w:rsid w:val="00992AFB"/>
    <w:rsid w:val="009973BE"/>
    <w:rsid w:val="009977B4"/>
    <w:rsid w:val="00997812"/>
    <w:rsid w:val="00997D50"/>
    <w:rsid w:val="009A0633"/>
    <w:rsid w:val="009A2B11"/>
    <w:rsid w:val="009A4092"/>
    <w:rsid w:val="009A439E"/>
    <w:rsid w:val="009A44F5"/>
    <w:rsid w:val="009A4908"/>
    <w:rsid w:val="009A75BC"/>
    <w:rsid w:val="009B0AB7"/>
    <w:rsid w:val="009B1DE4"/>
    <w:rsid w:val="009B2AD6"/>
    <w:rsid w:val="009B3657"/>
    <w:rsid w:val="009B3C24"/>
    <w:rsid w:val="009B51B2"/>
    <w:rsid w:val="009B7C0E"/>
    <w:rsid w:val="009C066B"/>
    <w:rsid w:val="009C22BB"/>
    <w:rsid w:val="009C25BD"/>
    <w:rsid w:val="009C380E"/>
    <w:rsid w:val="009D021F"/>
    <w:rsid w:val="009D03F9"/>
    <w:rsid w:val="009D2042"/>
    <w:rsid w:val="009D20E4"/>
    <w:rsid w:val="009D28E3"/>
    <w:rsid w:val="009E4215"/>
    <w:rsid w:val="009E5ACA"/>
    <w:rsid w:val="009E6C76"/>
    <w:rsid w:val="00A01492"/>
    <w:rsid w:val="00A03683"/>
    <w:rsid w:val="00A03E30"/>
    <w:rsid w:val="00A03EF7"/>
    <w:rsid w:val="00A046D1"/>
    <w:rsid w:val="00A04A9F"/>
    <w:rsid w:val="00A07DDF"/>
    <w:rsid w:val="00A1128B"/>
    <w:rsid w:val="00A11C71"/>
    <w:rsid w:val="00A136B8"/>
    <w:rsid w:val="00A22C72"/>
    <w:rsid w:val="00A253CA"/>
    <w:rsid w:val="00A27B13"/>
    <w:rsid w:val="00A27B94"/>
    <w:rsid w:val="00A32143"/>
    <w:rsid w:val="00A32E4B"/>
    <w:rsid w:val="00A33053"/>
    <w:rsid w:val="00A332EA"/>
    <w:rsid w:val="00A34C9A"/>
    <w:rsid w:val="00A35831"/>
    <w:rsid w:val="00A37AFA"/>
    <w:rsid w:val="00A37C06"/>
    <w:rsid w:val="00A37F77"/>
    <w:rsid w:val="00A407CE"/>
    <w:rsid w:val="00A40A19"/>
    <w:rsid w:val="00A43C90"/>
    <w:rsid w:val="00A44E9C"/>
    <w:rsid w:val="00A516CB"/>
    <w:rsid w:val="00A53EB2"/>
    <w:rsid w:val="00A54049"/>
    <w:rsid w:val="00A54CD3"/>
    <w:rsid w:val="00A55D23"/>
    <w:rsid w:val="00A575AE"/>
    <w:rsid w:val="00A61078"/>
    <w:rsid w:val="00A61AC2"/>
    <w:rsid w:val="00A620A6"/>
    <w:rsid w:val="00A62210"/>
    <w:rsid w:val="00A6226E"/>
    <w:rsid w:val="00A65AF9"/>
    <w:rsid w:val="00A65D09"/>
    <w:rsid w:val="00A70364"/>
    <w:rsid w:val="00A722B0"/>
    <w:rsid w:val="00A8088C"/>
    <w:rsid w:val="00A834B8"/>
    <w:rsid w:val="00A83DE5"/>
    <w:rsid w:val="00A866B6"/>
    <w:rsid w:val="00A86F1A"/>
    <w:rsid w:val="00A9159F"/>
    <w:rsid w:val="00A9275F"/>
    <w:rsid w:val="00A930C5"/>
    <w:rsid w:val="00A93921"/>
    <w:rsid w:val="00A94B72"/>
    <w:rsid w:val="00A96322"/>
    <w:rsid w:val="00AA16A1"/>
    <w:rsid w:val="00AA20C9"/>
    <w:rsid w:val="00AA2141"/>
    <w:rsid w:val="00AA50D8"/>
    <w:rsid w:val="00AA5524"/>
    <w:rsid w:val="00AA5E0F"/>
    <w:rsid w:val="00AA79B8"/>
    <w:rsid w:val="00AB39DD"/>
    <w:rsid w:val="00AB6A49"/>
    <w:rsid w:val="00AB7ACD"/>
    <w:rsid w:val="00AC06B2"/>
    <w:rsid w:val="00AC10CC"/>
    <w:rsid w:val="00AD0259"/>
    <w:rsid w:val="00AD1782"/>
    <w:rsid w:val="00AD1AAD"/>
    <w:rsid w:val="00AD4ABE"/>
    <w:rsid w:val="00AD6257"/>
    <w:rsid w:val="00AD687A"/>
    <w:rsid w:val="00AD6DC4"/>
    <w:rsid w:val="00AD6E17"/>
    <w:rsid w:val="00AD7D0F"/>
    <w:rsid w:val="00AE23F9"/>
    <w:rsid w:val="00AE2914"/>
    <w:rsid w:val="00AE74C7"/>
    <w:rsid w:val="00AF0A9F"/>
    <w:rsid w:val="00AF0EB2"/>
    <w:rsid w:val="00AF3340"/>
    <w:rsid w:val="00AF38CB"/>
    <w:rsid w:val="00AF7595"/>
    <w:rsid w:val="00AF7FDB"/>
    <w:rsid w:val="00B00C37"/>
    <w:rsid w:val="00B06A2C"/>
    <w:rsid w:val="00B06C47"/>
    <w:rsid w:val="00B07898"/>
    <w:rsid w:val="00B16254"/>
    <w:rsid w:val="00B206C1"/>
    <w:rsid w:val="00B2232C"/>
    <w:rsid w:val="00B24F8E"/>
    <w:rsid w:val="00B27F06"/>
    <w:rsid w:val="00B30198"/>
    <w:rsid w:val="00B31641"/>
    <w:rsid w:val="00B321BE"/>
    <w:rsid w:val="00B3403E"/>
    <w:rsid w:val="00B44DB2"/>
    <w:rsid w:val="00B555DC"/>
    <w:rsid w:val="00B6273D"/>
    <w:rsid w:val="00B64794"/>
    <w:rsid w:val="00B654ED"/>
    <w:rsid w:val="00B65ABA"/>
    <w:rsid w:val="00B65C4A"/>
    <w:rsid w:val="00B67600"/>
    <w:rsid w:val="00B708A3"/>
    <w:rsid w:val="00B717A0"/>
    <w:rsid w:val="00B725B1"/>
    <w:rsid w:val="00B73723"/>
    <w:rsid w:val="00B7388C"/>
    <w:rsid w:val="00B7408F"/>
    <w:rsid w:val="00B75DB6"/>
    <w:rsid w:val="00B825B4"/>
    <w:rsid w:val="00B82BE9"/>
    <w:rsid w:val="00B83616"/>
    <w:rsid w:val="00B90D9E"/>
    <w:rsid w:val="00B91FB8"/>
    <w:rsid w:val="00B93631"/>
    <w:rsid w:val="00B94871"/>
    <w:rsid w:val="00B94FB4"/>
    <w:rsid w:val="00B96D3D"/>
    <w:rsid w:val="00BA0CB7"/>
    <w:rsid w:val="00BA2235"/>
    <w:rsid w:val="00BA2903"/>
    <w:rsid w:val="00BA3278"/>
    <w:rsid w:val="00BA407C"/>
    <w:rsid w:val="00BA49C1"/>
    <w:rsid w:val="00BA53A5"/>
    <w:rsid w:val="00BA5958"/>
    <w:rsid w:val="00BA728F"/>
    <w:rsid w:val="00BA7A2B"/>
    <w:rsid w:val="00BB0EA1"/>
    <w:rsid w:val="00BB19EA"/>
    <w:rsid w:val="00BB3B82"/>
    <w:rsid w:val="00BC2FF1"/>
    <w:rsid w:val="00BC33C9"/>
    <w:rsid w:val="00BC3DB1"/>
    <w:rsid w:val="00BC5F77"/>
    <w:rsid w:val="00BC65BF"/>
    <w:rsid w:val="00BD2617"/>
    <w:rsid w:val="00BD2DCF"/>
    <w:rsid w:val="00BD4513"/>
    <w:rsid w:val="00BD6A4A"/>
    <w:rsid w:val="00BD7898"/>
    <w:rsid w:val="00BE3A46"/>
    <w:rsid w:val="00BE681A"/>
    <w:rsid w:val="00BF0166"/>
    <w:rsid w:val="00BF04CB"/>
    <w:rsid w:val="00BF1C59"/>
    <w:rsid w:val="00BF243B"/>
    <w:rsid w:val="00C01488"/>
    <w:rsid w:val="00C03AF3"/>
    <w:rsid w:val="00C05595"/>
    <w:rsid w:val="00C056F2"/>
    <w:rsid w:val="00C05834"/>
    <w:rsid w:val="00C07CBE"/>
    <w:rsid w:val="00C07F01"/>
    <w:rsid w:val="00C15054"/>
    <w:rsid w:val="00C1738A"/>
    <w:rsid w:val="00C205BC"/>
    <w:rsid w:val="00C26283"/>
    <w:rsid w:val="00C26CB0"/>
    <w:rsid w:val="00C27414"/>
    <w:rsid w:val="00C32240"/>
    <w:rsid w:val="00C33D4F"/>
    <w:rsid w:val="00C35531"/>
    <w:rsid w:val="00C42A7B"/>
    <w:rsid w:val="00C42AD6"/>
    <w:rsid w:val="00C44D32"/>
    <w:rsid w:val="00C44D85"/>
    <w:rsid w:val="00C54D6C"/>
    <w:rsid w:val="00C55D39"/>
    <w:rsid w:val="00C611E4"/>
    <w:rsid w:val="00C631B6"/>
    <w:rsid w:val="00C643DF"/>
    <w:rsid w:val="00C744BC"/>
    <w:rsid w:val="00C75978"/>
    <w:rsid w:val="00C8648B"/>
    <w:rsid w:val="00C900CB"/>
    <w:rsid w:val="00C947E7"/>
    <w:rsid w:val="00C95775"/>
    <w:rsid w:val="00C978EF"/>
    <w:rsid w:val="00CA59FE"/>
    <w:rsid w:val="00CA5F63"/>
    <w:rsid w:val="00CA7CDA"/>
    <w:rsid w:val="00CB007F"/>
    <w:rsid w:val="00CB1673"/>
    <w:rsid w:val="00CB23C2"/>
    <w:rsid w:val="00CB2B85"/>
    <w:rsid w:val="00CB49F3"/>
    <w:rsid w:val="00CB6473"/>
    <w:rsid w:val="00CC09C5"/>
    <w:rsid w:val="00CC555C"/>
    <w:rsid w:val="00CC5A10"/>
    <w:rsid w:val="00CC6FD3"/>
    <w:rsid w:val="00CD142E"/>
    <w:rsid w:val="00CD1CC6"/>
    <w:rsid w:val="00CD1FA8"/>
    <w:rsid w:val="00CD6025"/>
    <w:rsid w:val="00CE07E5"/>
    <w:rsid w:val="00CE1CB4"/>
    <w:rsid w:val="00CE4136"/>
    <w:rsid w:val="00CE53A5"/>
    <w:rsid w:val="00CE5590"/>
    <w:rsid w:val="00CE56E8"/>
    <w:rsid w:val="00CF3913"/>
    <w:rsid w:val="00CF3ACC"/>
    <w:rsid w:val="00CF4204"/>
    <w:rsid w:val="00CF5226"/>
    <w:rsid w:val="00CF58A8"/>
    <w:rsid w:val="00CF5A9B"/>
    <w:rsid w:val="00CF5EE9"/>
    <w:rsid w:val="00CF670E"/>
    <w:rsid w:val="00CF7FF2"/>
    <w:rsid w:val="00D01826"/>
    <w:rsid w:val="00D01E95"/>
    <w:rsid w:val="00D0283D"/>
    <w:rsid w:val="00D04910"/>
    <w:rsid w:val="00D07332"/>
    <w:rsid w:val="00D075CC"/>
    <w:rsid w:val="00D11D73"/>
    <w:rsid w:val="00D15430"/>
    <w:rsid w:val="00D213C0"/>
    <w:rsid w:val="00D22699"/>
    <w:rsid w:val="00D228B8"/>
    <w:rsid w:val="00D23C0F"/>
    <w:rsid w:val="00D2455D"/>
    <w:rsid w:val="00D25F46"/>
    <w:rsid w:val="00D310FC"/>
    <w:rsid w:val="00D333B6"/>
    <w:rsid w:val="00D363E1"/>
    <w:rsid w:val="00D372B4"/>
    <w:rsid w:val="00D376C1"/>
    <w:rsid w:val="00D4029F"/>
    <w:rsid w:val="00D431B1"/>
    <w:rsid w:val="00D450DE"/>
    <w:rsid w:val="00D46E91"/>
    <w:rsid w:val="00D479DB"/>
    <w:rsid w:val="00D47F4E"/>
    <w:rsid w:val="00D514E1"/>
    <w:rsid w:val="00D522E9"/>
    <w:rsid w:val="00D53664"/>
    <w:rsid w:val="00D60E2B"/>
    <w:rsid w:val="00D64FC2"/>
    <w:rsid w:val="00D66F0C"/>
    <w:rsid w:val="00D67ADC"/>
    <w:rsid w:val="00D75FB3"/>
    <w:rsid w:val="00D80390"/>
    <w:rsid w:val="00D8099B"/>
    <w:rsid w:val="00D83BEB"/>
    <w:rsid w:val="00D85B38"/>
    <w:rsid w:val="00D85BEA"/>
    <w:rsid w:val="00D8655C"/>
    <w:rsid w:val="00D90D9C"/>
    <w:rsid w:val="00D922D4"/>
    <w:rsid w:val="00D93210"/>
    <w:rsid w:val="00D93657"/>
    <w:rsid w:val="00D96329"/>
    <w:rsid w:val="00D963F2"/>
    <w:rsid w:val="00D97E96"/>
    <w:rsid w:val="00DA263B"/>
    <w:rsid w:val="00DA2D26"/>
    <w:rsid w:val="00DA72C6"/>
    <w:rsid w:val="00DB1189"/>
    <w:rsid w:val="00DB1F26"/>
    <w:rsid w:val="00DB34A5"/>
    <w:rsid w:val="00DB36FF"/>
    <w:rsid w:val="00DB372C"/>
    <w:rsid w:val="00DB4106"/>
    <w:rsid w:val="00DC3B14"/>
    <w:rsid w:val="00DD08FD"/>
    <w:rsid w:val="00DD1B64"/>
    <w:rsid w:val="00DD2731"/>
    <w:rsid w:val="00DD2EC4"/>
    <w:rsid w:val="00DD6306"/>
    <w:rsid w:val="00DD74D0"/>
    <w:rsid w:val="00DD7C6F"/>
    <w:rsid w:val="00DE0F18"/>
    <w:rsid w:val="00DE1ED1"/>
    <w:rsid w:val="00DE2E40"/>
    <w:rsid w:val="00DE7F39"/>
    <w:rsid w:val="00E009C6"/>
    <w:rsid w:val="00E01A29"/>
    <w:rsid w:val="00E0767E"/>
    <w:rsid w:val="00E07CD2"/>
    <w:rsid w:val="00E1073C"/>
    <w:rsid w:val="00E110EE"/>
    <w:rsid w:val="00E111A7"/>
    <w:rsid w:val="00E13AE9"/>
    <w:rsid w:val="00E16EF9"/>
    <w:rsid w:val="00E2061C"/>
    <w:rsid w:val="00E20727"/>
    <w:rsid w:val="00E20A55"/>
    <w:rsid w:val="00E20EF3"/>
    <w:rsid w:val="00E31B34"/>
    <w:rsid w:val="00E33716"/>
    <w:rsid w:val="00E3675D"/>
    <w:rsid w:val="00E45F96"/>
    <w:rsid w:val="00E46EE9"/>
    <w:rsid w:val="00E47DF5"/>
    <w:rsid w:val="00E509B6"/>
    <w:rsid w:val="00E54185"/>
    <w:rsid w:val="00E54E33"/>
    <w:rsid w:val="00E60BE8"/>
    <w:rsid w:val="00E62E8C"/>
    <w:rsid w:val="00E63412"/>
    <w:rsid w:val="00E64484"/>
    <w:rsid w:val="00E66DC5"/>
    <w:rsid w:val="00E72F4A"/>
    <w:rsid w:val="00E7365D"/>
    <w:rsid w:val="00E7385F"/>
    <w:rsid w:val="00E7459E"/>
    <w:rsid w:val="00E74BDE"/>
    <w:rsid w:val="00E80C57"/>
    <w:rsid w:val="00E85785"/>
    <w:rsid w:val="00E87729"/>
    <w:rsid w:val="00E87FCB"/>
    <w:rsid w:val="00E906C4"/>
    <w:rsid w:val="00E91A7C"/>
    <w:rsid w:val="00E92112"/>
    <w:rsid w:val="00E95200"/>
    <w:rsid w:val="00E965C9"/>
    <w:rsid w:val="00E97C76"/>
    <w:rsid w:val="00EA0FD0"/>
    <w:rsid w:val="00EA4CDC"/>
    <w:rsid w:val="00EA523A"/>
    <w:rsid w:val="00EB36AA"/>
    <w:rsid w:val="00EB5937"/>
    <w:rsid w:val="00EB60F8"/>
    <w:rsid w:val="00EB6E4B"/>
    <w:rsid w:val="00EC27F4"/>
    <w:rsid w:val="00EC3B7F"/>
    <w:rsid w:val="00EC52BB"/>
    <w:rsid w:val="00EC597B"/>
    <w:rsid w:val="00EC7064"/>
    <w:rsid w:val="00ED2B2A"/>
    <w:rsid w:val="00ED50A3"/>
    <w:rsid w:val="00EE11D0"/>
    <w:rsid w:val="00EE23D2"/>
    <w:rsid w:val="00EE2AE2"/>
    <w:rsid w:val="00EE7884"/>
    <w:rsid w:val="00EF21F8"/>
    <w:rsid w:val="00EF521D"/>
    <w:rsid w:val="00EF789C"/>
    <w:rsid w:val="00F00D4F"/>
    <w:rsid w:val="00F022E5"/>
    <w:rsid w:val="00F04EA2"/>
    <w:rsid w:val="00F053A1"/>
    <w:rsid w:val="00F05754"/>
    <w:rsid w:val="00F061B2"/>
    <w:rsid w:val="00F122DE"/>
    <w:rsid w:val="00F14001"/>
    <w:rsid w:val="00F14312"/>
    <w:rsid w:val="00F153E7"/>
    <w:rsid w:val="00F15896"/>
    <w:rsid w:val="00F15C5F"/>
    <w:rsid w:val="00F1601D"/>
    <w:rsid w:val="00F22B08"/>
    <w:rsid w:val="00F33DC7"/>
    <w:rsid w:val="00F3758B"/>
    <w:rsid w:val="00F37995"/>
    <w:rsid w:val="00F40C60"/>
    <w:rsid w:val="00F43D39"/>
    <w:rsid w:val="00F47D94"/>
    <w:rsid w:val="00F50523"/>
    <w:rsid w:val="00F51A71"/>
    <w:rsid w:val="00F51B1C"/>
    <w:rsid w:val="00F52158"/>
    <w:rsid w:val="00F56061"/>
    <w:rsid w:val="00F605D2"/>
    <w:rsid w:val="00F6336A"/>
    <w:rsid w:val="00F63712"/>
    <w:rsid w:val="00F73759"/>
    <w:rsid w:val="00F744DF"/>
    <w:rsid w:val="00F7597B"/>
    <w:rsid w:val="00F81FE6"/>
    <w:rsid w:val="00F853D1"/>
    <w:rsid w:val="00F86732"/>
    <w:rsid w:val="00F867E8"/>
    <w:rsid w:val="00F87253"/>
    <w:rsid w:val="00F87F97"/>
    <w:rsid w:val="00F90F92"/>
    <w:rsid w:val="00F91347"/>
    <w:rsid w:val="00F918CE"/>
    <w:rsid w:val="00F92FE2"/>
    <w:rsid w:val="00F949AC"/>
    <w:rsid w:val="00F95B90"/>
    <w:rsid w:val="00F95DA5"/>
    <w:rsid w:val="00FA129E"/>
    <w:rsid w:val="00FA3792"/>
    <w:rsid w:val="00FA38BB"/>
    <w:rsid w:val="00FA561D"/>
    <w:rsid w:val="00FA6897"/>
    <w:rsid w:val="00FB1491"/>
    <w:rsid w:val="00FB4957"/>
    <w:rsid w:val="00FB53AE"/>
    <w:rsid w:val="00FC0710"/>
    <w:rsid w:val="00FC1516"/>
    <w:rsid w:val="00FC487D"/>
    <w:rsid w:val="00FC5555"/>
    <w:rsid w:val="00FC604E"/>
    <w:rsid w:val="00FC7D1A"/>
    <w:rsid w:val="00FD4B5C"/>
    <w:rsid w:val="00FD4F40"/>
    <w:rsid w:val="00FD69D5"/>
    <w:rsid w:val="00FD6D28"/>
    <w:rsid w:val="00FE0A92"/>
    <w:rsid w:val="00FE1338"/>
    <w:rsid w:val="00FE2ED4"/>
    <w:rsid w:val="00FE4340"/>
    <w:rsid w:val="00FE5166"/>
    <w:rsid w:val="00FE67CF"/>
    <w:rsid w:val="00FF0569"/>
    <w:rsid w:val="00FF0747"/>
    <w:rsid w:val="00FF0BD0"/>
    <w:rsid w:val="00FF4A4A"/>
    <w:rsid w:val="00FF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A6BC6"/>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7E487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E487C"/>
    <w:rPr>
      <w:rFonts w:ascii="Tahoma" w:hAnsi="Tahoma" w:cs="Tahoma"/>
      <w:sz w:val="16"/>
      <w:szCs w:val="16"/>
    </w:rPr>
  </w:style>
  <w:style w:type="paragraph" w:customStyle="1" w:styleId="Bullet">
    <w:name w:val="Bullet"/>
    <w:basedOn w:val="Normal"/>
    <w:link w:val="BulletChar"/>
    <w:rsid w:val="00CB49F3"/>
    <w:pPr>
      <w:numPr>
        <w:numId w:val="32"/>
      </w:numPr>
    </w:pPr>
  </w:style>
  <w:style w:type="character" w:customStyle="1" w:styleId="base-text-paragraphnonumbersChar">
    <w:name w:val="base-text-paragraph no numbers Char"/>
    <w:basedOn w:val="DefaultParagraphFont"/>
    <w:link w:val="base-text-paragraphnonumbers"/>
    <w:rsid w:val="00CB49F3"/>
    <w:rPr>
      <w:sz w:val="22"/>
    </w:rPr>
  </w:style>
  <w:style w:type="character" w:customStyle="1" w:styleId="BulletChar">
    <w:name w:val="Bullet Char"/>
    <w:basedOn w:val="base-text-paragraphnonumbersChar"/>
    <w:link w:val="Bullet"/>
    <w:rsid w:val="00CB49F3"/>
    <w:rPr>
      <w:sz w:val="22"/>
    </w:rPr>
  </w:style>
  <w:style w:type="paragraph" w:customStyle="1" w:styleId="Dash">
    <w:name w:val="Dash"/>
    <w:basedOn w:val="Normal"/>
    <w:link w:val="DashChar"/>
    <w:rsid w:val="00CB49F3"/>
    <w:pPr>
      <w:numPr>
        <w:ilvl w:val="1"/>
        <w:numId w:val="32"/>
      </w:numPr>
    </w:pPr>
  </w:style>
  <w:style w:type="character" w:customStyle="1" w:styleId="DashChar">
    <w:name w:val="Dash Char"/>
    <w:basedOn w:val="base-text-paragraphnonumbersChar"/>
    <w:link w:val="Dash"/>
    <w:rsid w:val="00CB49F3"/>
    <w:rPr>
      <w:sz w:val="22"/>
    </w:rPr>
  </w:style>
  <w:style w:type="paragraph" w:customStyle="1" w:styleId="DoubleDot">
    <w:name w:val="Double Dot"/>
    <w:basedOn w:val="Normal"/>
    <w:link w:val="DoubleDotChar"/>
    <w:rsid w:val="00CB49F3"/>
    <w:pPr>
      <w:numPr>
        <w:ilvl w:val="2"/>
        <w:numId w:val="32"/>
      </w:numPr>
    </w:pPr>
  </w:style>
  <w:style w:type="character" w:customStyle="1" w:styleId="DoubleDotChar">
    <w:name w:val="Double Dot Char"/>
    <w:basedOn w:val="base-text-paragraphnonumbersChar"/>
    <w:link w:val="DoubleDot"/>
    <w:rsid w:val="00CB49F3"/>
    <w:rPr>
      <w:sz w:val="22"/>
    </w:rPr>
  </w:style>
  <w:style w:type="character" w:styleId="CommentReference">
    <w:name w:val="annotation reference"/>
    <w:basedOn w:val="DefaultParagraphFont"/>
    <w:rsid w:val="00621D9E"/>
    <w:rPr>
      <w:sz w:val="16"/>
      <w:szCs w:val="16"/>
    </w:rPr>
  </w:style>
  <w:style w:type="paragraph" w:styleId="CommentText">
    <w:name w:val="annotation text"/>
    <w:basedOn w:val="Normal"/>
    <w:link w:val="CommentTextChar"/>
    <w:rsid w:val="00621D9E"/>
    <w:rPr>
      <w:sz w:val="20"/>
    </w:rPr>
  </w:style>
  <w:style w:type="character" w:customStyle="1" w:styleId="CommentTextChar">
    <w:name w:val="Comment Text Char"/>
    <w:basedOn w:val="DefaultParagraphFont"/>
    <w:link w:val="CommentText"/>
    <w:rsid w:val="00621D9E"/>
  </w:style>
  <w:style w:type="paragraph" w:styleId="CommentSubject">
    <w:name w:val="annotation subject"/>
    <w:basedOn w:val="CommentText"/>
    <w:next w:val="CommentText"/>
    <w:link w:val="CommentSubjectChar"/>
    <w:rsid w:val="00621D9E"/>
    <w:rPr>
      <w:b/>
      <w:bCs/>
    </w:rPr>
  </w:style>
  <w:style w:type="character" w:customStyle="1" w:styleId="CommentSubjectChar">
    <w:name w:val="Comment Subject Char"/>
    <w:basedOn w:val="CommentTextChar"/>
    <w:link w:val="CommentSubject"/>
    <w:rsid w:val="00621D9E"/>
    <w:rPr>
      <w:b/>
      <w:bCs/>
    </w:rPr>
  </w:style>
  <w:style w:type="numbering" w:customStyle="1" w:styleId="ChapterList1">
    <w:name w:val="ChapterList1"/>
    <w:uiPriority w:val="99"/>
    <w:rsid w:val="003A6BC6"/>
  </w:style>
  <w:style w:type="table" w:customStyle="1" w:styleId="TableGrid10">
    <w:name w:val="Table Grid1"/>
    <w:basedOn w:val="TableNormal"/>
    <w:next w:val="TableGrid"/>
    <w:rsid w:val="00BB3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1184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A6BC6"/>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7E487C"/>
    <w:pPr>
      <w:spacing w:before="0" w:after="0"/>
    </w:pPr>
    <w:rPr>
      <w:rFonts w:ascii="Tahoma" w:hAnsi="Tahoma" w:cs="Tahoma"/>
      <w:sz w:val="16"/>
      <w:szCs w:val="16"/>
    </w:rPr>
  </w:style>
  <w:style w:type="character" w:customStyle="1" w:styleId="BalloonTextChar">
    <w:name w:val="Balloon Text Char"/>
    <w:basedOn w:val="DefaultParagraphFont"/>
    <w:link w:val="BalloonText"/>
    <w:rsid w:val="007E487C"/>
    <w:rPr>
      <w:rFonts w:ascii="Tahoma" w:hAnsi="Tahoma" w:cs="Tahoma"/>
      <w:sz w:val="16"/>
      <w:szCs w:val="16"/>
    </w:rPr>
  </w:style>
  <w:style w:type="paragraph" w:customStyle="1" w:styleId="Bullet">
    <w:name w:val="Bullet"/>
    <w:basedOn w:val="Normal"/>
    <w:link w:val="BulletChar"/>
    <w:rsid w:val="00CB49F3"/>
    <w:pPr>
      <w:numPr>
        <w:numId w:val="32"/>
      </w:numPr>
    </w:pPr>
  </w:style>
  <w:style w:type="character" w:customStyle="1" w:styleId="base-text-paragraphnonumbersChar">
    <w:name w:val="base-text-paragraph no numbers Char"/>
    <w:basedOn w:val="DefaultParagraphFont"/>
    <w:link w:val="base-text-paragraphnonumbers"/>
    <w:rsid w:val="00CB49F3"/>
    <w:rPr>
      <w:sz w:val="22"/>
    </w:rPr>
  </w:style>
  <w:style w:type="character" w:customStyle="1" w:styleId="BulletChar">
    <w:name w:val="Bullet Char"/>
    <w:basedOn w:val="base-text-paragraphnonumbersChar"/>
    <w:link w:val="Bullet"/>
    <w:rsid w:val="00CB49F3"/>
    <w:rPr>
      <w:sz w:val="22"/>
    </w:rPr>
  </w:style>
  <w:style w:type="paragraph" w:customStyle="1" w:styleId="Dash">
    <w:name w:val="Dash"/>
    <w:basedOn w:val="Normal"/>
    <w:link w:val="DashChar"/>
    <w:rsid w:val="00CB49F3"/>
    <w:pPr>
      <w:numPr>
        <w:ilvl w:val="1"/>
        <w:numId w:val="32"/>
      </w:numPr>
    </w:pPr>
  </w:style>
  <w:style w:type="character" w:customStyle="1" w:styleId="DashChar">
    <w:name w:val="Dash Char"/>
    <w:basedOn w:val="base-text-paragraphnonumbersChar"/>
    <w:link w:val="Dash"/>
    <w:rsid w:val="00CB49F3"/>
    <w:rPr>
      <w:sz w:val="22"/>
    </w:rPr>
  </w:style>
  <w:style w:type="paragraph" w:customStyle="1" w:styleId="DoubleDot">
    <w:name w:val="Double Dot"/>
    <w:basedOn w:val="Normal"/>
    <w:link w:val="DoubleDotChar"/>
    <w:rsid w:val="00CB49F3"/>
    <w:pPr>
      <w:numPr>
        <w:ilvl w:val="2"/>
        <w:numId w:val="32"/>
      </w:numPr>
    </w:pPr>
  </w:style>
  <w:style w:type="character" w:customStyle="1" w:styleId="DoubleDotChar">
    <w:name w:val="Double Dot Char"/>
    <w:basedOn w:val="base-text-paragraphnonumbersChar"/>
    <w:link w:val="DoubleDot"/>
    <w:rsid w:val="00CB49F3"/>
    <w:rPr>
      <w:sz w:val="22"/>
    </w:rPr>
  </w:style>
  <w:style w:type="character" w:styleId="CommentReference">
    <w:name w:val="annotation reference"/>
    <w:basedOn w:val="DefaultParagraphFont"/>
    <w:rsid w:val="00621D9E"/>
    <w:rPr>
      <w:sz w:val="16"/>
      <w:szCs w:val="16"/>
    </w:rPr>
  </w:style>
  <w:style w:type="paragraph" w:styleId="CommentText">
    <w:name w:val="annotation text"/>
    <w:basedOn w:val="Normal"/>
    <w:link w:val="CommentTextChar"/>
    <w:rsid w:val="00621D9E"/>
    <w:rPr>
      <w:sz w:val="20"/>
    </w:rPr>
  </w:style>
  <w:style w:type="character" w:customStyle="1" w:styleId="CommentTextChar">
    <w:name w:val="Comment Text Char"/>
    <w:basedOn w:val="DefaultParagraphFont"/>
    <w:link w:val="CommentText"/>
    <w:rsid w:val="00621D9E"/>
  </w:style>
  <w:style w:type="paragraph" w:styleId="CommentSubject">
    <w:name w:val="annotation subject"/>
    <w:basedOn w:val="CommentText"/>
    <w:next w:val="CommentText"/>
    <w:link w:val="CommentSubjectChar"/>
    <w:rsid w:val="00621D9E"/>
    <w:rPr>
      <w:b/>
      <w:bCs/>
    </w:rPr>
  </w:style>
  <w:style w:type="character" w:customStyle="1" w:styleId="CommentSubjectChar">
    <w:name w:val="Comment Subject Char"/>
    <w:basedOn w:val="CommentTextChar"/>
    <w:link w:val="CommentSubject"/>
    <w:rsid w:val="00621D9E"/>
    <w:rPr>
      <w:b/>
      <w:bCs/>
    </w:rPr>
  </w:style>
  <w:style w:type="numbering" w:customStyle="1" w:styleId="ChapterList1">
    <w:name w:val="ChapterList1"/>
    <w:uiPriority w:val="99"/>
    <w:rsid w:val="003A6BC6"/>
  </w:style>
  <w:style w:type="table" w:customStyle="1" w:styleId="TableGrid10">
    <w:name w:val="Table Grid1"/>
    <w:basedOn w:val="TableNormal"/>
    <w:next w:val="TableGrid"/>
    <w:rsid w:val="00BB3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1184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3477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Bill-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6" ma:contentTypeDescription="" ma:contentTypeScope="" ma:versionID="081a623aa094a7be4eac4473e1bd271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5319e108a71e4615c79f816d8dbf5a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2015RG-136-21933</_dlc_DocId>
    <_dlc_DocIdUrl xmlns="9f7bc583-7cbe-45b9-a2bd-8bbb6543b37e">
      <Url>http://tweb13/sites/rg/ldp/_layouts/15/DocIdRedir.aspx?ID=2015RG-136-21933</Url>
      <Description>2015RG-136-21933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FD32E-58E8-44B1-A55E-1EAAE05B66AB}">
  <ds:schemaRefs>
    <ds:schemaRef ds:uri="http://schemas.microsoft.com/sharepoint/v3/contenttype/forms"/>
  </ds:schemaRefs>
</ds:datastoreItem>
</file>

<file path=customXml/itemProps2.xml><?xml version="1.0" encoding="utf-8"?>
<ds:datastoreItem xmlns:ds="http://schemas.openxmlformats.org/officeDocument/2006/customXml" ds:itemID="{E1E9781F-CD5A-4860-B271-5049C27306E8}">
  <ds:schemaRefs>
    <ds:schemaRef ds:uri="http://schemas.microsoft.com/sharepoint/events"/>
  </ds:schemaRefs>
</ds:datastoreItem>
</file>

<file path=customXml/itemProps3.xml><?xml version="1.0" encoding="utf-8"?>
<ds:datastoreItem xmlns:ds="http://schemas.openxmlformats.org/officeDocument/2006/customXml" ds:itemID="{F615519A-2AAB-4BBA-BE9A-762C876D1C0A}">
  <ds:schemaRefs>
    <ds:schemaRef ds:uri="office.server.policy"/>
  </ds:schemaRefs>
</ds:datastoreItem>
</file>

<file path=customXml/itemProps4.xml><?xml version="1.0" encoding="utf-8"?>
<ds:datastoreItem xmlns:ds="http://schemas.openxmlformats.org/officeDocument/2006/customXml" ds:itemID="{55E62139-CBA9-49E6-94EF-7D9848E80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107F21-A6C8-436C-883F-643C526F89BC}">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customXml/itemProps6.xml><?xml version="1.0" encoding="utf-8"?>
<ds:datastoreItem xmlns:ds="http://schemas.openxmlformats.org/officeDocument/2006/customXml" ds:itemID="{C380D555-DC23-4FA3-99D9-8E064396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Bill-Explanatory Memorandum.dotm</Template>
  <TotalTime>0</TotalTime>
  <Pages>7</Pages>
  <Words>4479</Words>
  <Characters>22644</Characters>
  <Application>Microsoft Office Word</Application>
  <DocSecurity>0</DocSecurity>
  <Lines>596</Lines>
  <Paragraphs>167</Paragraphs>
  <ScaleCrop>false</ScaleCrop>
  <Company/>
  <LinksUpToDate>false</LinksUpToDate>
  <CharactersWithSpaces>27023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 Agricultural Competitiveness White Paper changes to Farm Management Deposits</dc:title>
  <dc:creator/>
  <cp:lastModifiedBy/>
  <cp:revision>1</cp:revision>
  <dcterms:created xsi:type="dcterms:W3CDTF">2015-11-22T22:30:00Z</dcterms:created>
  <dcterms:modified xsi:type="dcterms:W3CDTF">2015-11-22T22:30:00Z</dcterms:modified>
  <dc:language>English</dc:language>
</cp:coreProperties>
</file>