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C0DA30E" w14:textId="77777777" w:rsidR="000B390C" w:rsidRDefault="000B390C" w:rsidP="00525991">
      <w:bookmarkStart w:id="0" w:name="_GoBack"/>
      <w:bookmarkEnd w:id="0"/>
    </w:p>
    <w:p w14:paraId="7726DAAF" w14:textId="46CA8248" w:rsidR="00703697" w:rsidRDefault="00703697" w:rsidP="00703697">
      <w:pPr>
        <w:pStyle w:val="FirstHeading"/>
        <w:jc w:val="center"/>
        <w:rPr>
          <w:lang w:val="en-US"/>
        </w:rPr>
      </w:pPr>
      <w:r>
        <w:rPr>
          <w:lang w:val="en-US"/>
        </w:rPr>
        <w:t xml:space="preserve">SUBMISSION IN RESPONSE TO </w:t>
      </w:r>
      <w:r w:rsidR="0081364D">
        <w:rPr>
          <w:lang w:val="en-US"/>
        </w:rPr>
        <w:t>THE DISCUSSION PAPER CONCERNING</w:t>
      </w:r>
      <w:r w:rsidR="0081364D" w:rsidRPr="0081364D">
        <w:rPr>
          <w:lang w:val="en-US"/>
        </w:rPr>
        <w:t xml:space="preserve"> OPTIONS TO STRENGTHEN THE MISUSE OF MARKET POWER LAW</w:t>
      </w:r>
    </w:p>
    <w:p w14:paraId="28A05E97" w14:textId="77777777" w:rsidR="00703697" w:rsidRDefault="00703697" w:rsidP="003129A6">
      <w:pPr>
        <w:pStyle w:val="FirstHeading"/>
        <w:rPr>
          <w:lang w:val="en-US"/>
        </w:rPr>
      </w:pPr>
    </w:p>
    <w:p w14:paraId="7C2D832F" w14:textId="228B3C2D" w:rsidR="008C3A5C" w:rsidRDefault="004A2B66" w:rsidP="003129A6">
      <w:pPr>
        <w:pStyle w:val="FirstHeading"/>
        <w:rPr>
          <w:lang w:val="en-US"/>
        </w:rPr>
      </w:pPr>
      <w:r>
        <w:rPr>
          <w:lang w:val="en-US"/>
        </w:rPr>
        <w:t xml:space="preserve">GENERAL </w:t>
      </w:r>
      <w:r w:rsidR="00895CCC">
        <w:rPr>
          <w:lang w:val="en-US"/>
        </w:rPr>
        <w:t>SUBMISSION</w:t>
      </w:r>
    </w:p>
    <w:p w14:paraId="5335F406" w14:textId="40A1742E" w:rsidR="00913C24" w:rsidRDefault="007B3DF7" w:rsidP="006B5C8B">
      <w:pPr>
        <w:pStyle w:val="NumberedParagraph"/>
      </w:pPr>
      <w:r w:rsidRPr="007B3DF7">
        <w:t xml:space="preserve">Thank you for the opportunity to make a submission in response to the Discussion Paper concerning “Options to strengthen the misuse of market power law”. </w:t>
      </w:r>
      <w:r w:rsidR="005D6E33">
        <w:t xml:space="preserve">This submission supports the </w:t>
      </w:r>
      <w:r w:rsidR="00412942">
        <w:t>adopt</w:t>
      </w:r>
      <w:r w:rsidR="005D6E33">
        <w:t>ion of</w:t>
      </w:r>
      <w:r w:rsidR="00412942">
        <w:t xml:space="preserve"> the form </w:t>
      </w:r>
      <w:r w:rsidR="003129A6">
        <w:t>of section 46 of the CCA proposed by the Harper Panel</w:t>
      </w:r>
      <w:r w:rsidR="00180DCA">
        <w:t xml:space="preserve"> with some qualifications</w:t>
      </w:r>
      <w:r w:rsidR="00913C24">
        <w:t>.</w:t>
      </w:r>
    </w:p>
    <w:p w14:paraId="790EA665" w14:textId="57DF5BB3" w:rsidR="003129A6" w:rsidRDefault="003129A6" w:rsidP="006B5C8B">
      <w:pPr>
        <w:pStyle w:val="NumberedParagraph"/>
      </w:pPr>
      <w:r>
        <w:t xml:space="preserve">There are two principal reasons </w:t>
      </w:r>
      <w:r w:rsidR="005D6E33">
        <w:t xml:space="preserve">why the Government </w:t>
      </w:r>
      <w:r w:rsidR="00913C24">
        <w:t xml:space="preserve">should </w:t>
      </w:r>
      <w:r w:rsidR="005D6E33">
        <w:t>accept the Harper Panel’s recommendation</w:t>
      </w:r>
      <w:r w:rsidR="008D6837">
        <w:t>.</w:t>
      </w:r>
    </w:p>
    <w:p w14:paraId="7AD8CB55" w14:textId="134CBE46" w:rsidR="00B13C17" w:rsidRDefault="00B13C17" w:rsidP="00B13C17">
      <w:pPr>
        <w:pStyle w:val="SecondHeading"/>
      </w:pPr>
      <w:r>
        <w:t>Principle</w:t>
      </w:r>
    </w:p>
    <w:p w14:paraId="373DCC99" w14:textId="6799E0EF" w:rsidR="00810867" w:rsidRDefault="008D6837" w:rsidP="006B5C8B">
      <w:pPr>
        <w:pStyle w:val="NumberedParagraph"/>
      </w:pPr>
      <w:r w:rsidRPr="008D6837">
        <w:rPr>
          <w:i/>
        </w:rPr>
        <w:t>First</w:t>
      </w:r>
      <w:r>
        <w:t xml:space="preserve">, </w:t>
      </w:r>
      <w:r w:rsidR="00CD15EF">
        <w:t>as a matter of principle. T</w:t>
      </w:r>
      <w:r w:rsidRPr="008D6837">
        <w:t>he</w:t>
      </w:r>
      <w:r>
        <w:t xml:space="preserve"> objective of section 46 should be to prohibit a corporation with a substantial degree of power in </w:t>
      </w:r>
      <w:r w:rsidR="00F82607">
        <w:t>a</w:t>
      </w:r>
      <w:r>
        <w:t xml:space="preserve"> market from undertaking conduct that</w:t>
      </w:r>
      <w:r w:rsidR="00F82607">
        <w:t xml:space="preserve"> damages the competitive process so as to maintain its power, or expand</w:t>
      </w:r>
      <w:r>
        <w:t xml:space="preserve"> its power in the same or a related market. </w:t>
      </w:r>
      <w:r w:rsidR="00810867">
        <w:t>Substantial market power enables a corporation to charge supra-competitive prices. If the competitive process is damaged then that will ordinarily have the effect of cementing the ability of the corporation with market power</w:t>
      </w:r>
      <w:r w:rsidR="006D229C">
        <w:t xml:space="preserve"> </w:t>
      </w:r>
      <w:r w:rsidR="00810867">
        <w:t>to charge higher prices</w:t>
      </w:r>
      <w:r w:rsidR="00DE3AB8">
        <w:t xml:space="preserve"> to consumers, </w:t>
      </w:r>
      <w:r w:rsidR="00F2614C">
        <w:t>or enable</w:t>
      </w:r>
      <w:r w:rsidR="006D229C">
        <w:t xml:space="preserve"> </w:t>
      </w:r>
      <w:r w:rsidR="00D47971">
        <w:t xml:space="preserve">another </w:t>
      </w:r>
      <w:r w:rsidR="006D229C">
        <w:t>entity to charge higher prices</w:t>
      </w:r>
      <w:r w:rsidR="00810867">
        <w:t>.</w:t>
      </w:r>
    </w:p>
    <w:p w14:paraId="715E8726" w14:textId="01EDFCE9" w:rsidR="00B13C17" w:rsidRDefault="008D6837" w:rsidP="006B5C8B">
      <w:pPr>
        <w:pStyle w:val="NumberedParagraph"/>
      </w:pPr>
      <w:r>
        <w:t xml:space="preserve">The revised version of section 46 proposed by the Harper Panel will directly achieve </w:t>
      </w:r>
      <w:r w:rsidR="004214EB">
        <w:t>the objective identified above</w:t>
      </w:r>
      <w:r>
        <w:t xml:space="preserve">. </w:t>
      </w:r>
      <w:r w:rsidR="004214EB">
        <w:t xml:space="preserve">The Harper Panel’s proposal </w:t>
      </w:r>
      <w:r w:rsidR="00F82607">
        <w:t xml:space="preserve">is </w:t>
      </w:r>
      <w:r w:rsidR="004214EB">
        <w:t xml:space="preserve">reasonably </w:t>
      </w:r>
      <w:r w:rsidR="00F82607">
        <w:t>consistent with prohibitions in the United</w:t>
      </w:r>
      <w:r w:rsidR="004214EB">
        <w:t xml:space="preserve"> States and the European Union.</w:t>
      </w:r>
    </w:p>
    <w:p w14:paraId="279FA1CB" w14:textId="1BAE240B" w:rsidR="00B13C17" w:rsidRDefault="00B13C17" w:rsidP="006B5C8B">
      <w:pPr>
        <w:pStyle w:val="NumberedParagraph"/>
      </w:pPr>
      <w:r>
        <w:t>T</w:t>
      </w:r>
      <w:r w:rsidR="008D6837">
        <w:t xml:space="preserve">he current form of section 46 </w:t>
      </w:r>
      <w:r w:rsidR="00F82607">
        <w:t>does not directly</w:t>
      </w:r>
      <w:r w:rsidR="008D6837">
        <w:t xml:space="preserve"> </w:t>
      </w:r>
      <w:r w:rsidR="00F82607">
        <w:t xml:space="preserve">achieve </w:t>
      </w:r>
      <w:r w:rsidR="00611A3E">
        <w:t xml:space="preserve">the </w:t>
      </w:r>
      <w:r w:rsidR="008D6837">
        <w:t>objective</w:t>
      </w:r>
      <w:r w:rsidR="004214EB">
        <w:t xml:space="preserve"> identified above</w:t>
      </w:r>
      <w:r w:rsidR="008D6837">
        <w:t xml:space="preserve">. </w:t>
      </w:r>
      <w:r w:rsidR="00483667">
        <w:t xml:space="preserve">Rather, </w:t>
      </w:r>
      <w:r w:rsidR="00D7206B">
        <w:t xml:space="preserve">the current section uses the </w:t>
      </w:r>
      <w:r w:rsidR="00D7206B" w:rsidRPr="00D7206B">
        <w:t>“take advantage” elemen</w:t>
      </w:r>
      <w:r w:rsidR="00590C96">
        <w:t xml:space="preserve">t </w:t>
      </w:r>
      <w:r w:rsidR="00D7206B">
        <w:t>to attemp</w:t>
      </w:r>
      <w:r w:rsidR="006D229C">
        <w:t xml:space="preserve">t to </w:t>
      </w:r>
      <w:r w:rsidR="004214EB">
        <w:t xml:space="preserve">define </w:t>
      </w:r>
      <w:r w:rsidR="006D229C">
        <w:t xml:space="preserve">the conduct of a monopolist that should be prohibited. However, the </w:t>
      </w:r>
      <w:r w:rsidR="00CD15EF">
        <w:t xml:space="preserve">“take advantage” element </w:t>
      </w:r>
      <w:r w:rsidR="00F82607">
        <w:t>tests whether</w:t>
      </w:r>
      <w:r w:rsidR="006D229C">
        <w:t xml:space="preserve"> (or to what extent)</w:t>
      </w:r>
      <w:r w:rsidR="00F82607">
        <w:t xml:space="preserve"> it would</w:t>
      </w:r>
      <w:r w:rsidR="00CD15EF">
        <w:t xml:space="preserve"> be commercially possible for a corporation without substantial market power to undertake the same conduct. </w:t>
      </w:r>
    </w:p>
    <w:p w14:paraId="573FE16C" w14:textId="634EE674" w:rsidR="003129A6" w:rsidRDefault="00CA0FD2" w:rsidP="006B5C8B">
      <w:pPr>
        <w:pStyle w:val="NumberedParagraph"/>
      </w:pPr>
      <w:r>
        <w:t>U</w:t>
      </w:r>
      <w:r w:rsidR="00CD15EF">
        <w:t>nder the current law,</w:t>
      </w:r>
      <w:r w:rsidR="006851DD">
        <w:t xml:space="preserve"> </w:t>
      </w:r>
      <w:r w:rsidR="00CD15EF">
        <w:t>even if</w:t>
      </w:r>
      <w:r w:rsidR="003129A6" w:rsidRPr="003129A6">
        <w:t xml:space="preserve"> a corporation has a monopoly, has an intent to maintain its monopoly, engages in conduct that maintains its monopoly </w:t>
      </w:r>
      <w:r w:rsidR="00CD15EF">
        <w:t xml:space="preserve">by damaging the competitive process </w:t>
      </w:r>
      <w:r w:rsidR="003129A6" w:rsidRPr="003129A6">
        <w:t xml:space="preserve">and </w:t>
      </w:r>
      <w:r w:rsidR="006851DD">
        <w:t xml:space="preserve">cannot show that its conduct is efficient or would have a public </w:t>
      </w:r>
      <w:r w:rsidR="003129A6" w:rsidRPr="003129A6">
        <w:t>benefit</w:t>
      </w:r>
      <w:r w:rsidR="00CD15EF">
        <w:t xml:space="preserve">, that </w:t>
      </w:r>
      <w:r w:rsidR="003129A6" w:rsidRPr="003129A6">
        <w:t xml:space="preserve">will </w:t>
      </w:r>
      <w:r w:rsidR="00CD15EF">
        <w:t xml:space="preserve">still </w:t>
      </w:r>
      <w:r w:rsidR="003129A6" w:rsidRPr="003129A6">
        <w:t xml:space="preserve">not be enough to </w:t>
      </w:r>
      <w:r w:rsidR="00CD15EF">
        <w:t>make out</w:t>
      </w:r>
      <w:r w:rsidR="003129A6" w:rsidRPr="003129A6">
        <w:t xml:space="preserve"> a contravention of the existing section 46. </w:t>
      </w:r>
      <w:r w:rsidR="00CD15EF">
        <w:t xml:space="preserve">There will be no contravention unless </w:t>
      </w:r>
      <w:r w:rsidR="003129A6" w:rsidRPr="003129A6">
        <w:t xml:space="preserve">the </w:t>
      </w:r>
      <w:r w:rsidR="00CD15EF">
        <w:t>ACCC</w:t>
      </w:r>
      <w:r w:rsidR="003129A6" w:rsidRPr="003129A6">
        <w:t xml:space="preserve"> (or an</w:t>
      </w:r>
      <w:r w:rsidR="00CD15EF">
        <w:t>other</w:t>
      </w:r>
      <w:r w:rsidR="003129A6" w:rsidRPr="003129A6">
        <w:t xml:space="preserve"> applicant alleging a contravention) </w:t>
      </w:r>
      <w:r w:rsidR="00CD15EF">
        <w:t>satisfies the</w:t>
      </w:r>
      <w:r w:rsidR="003129A6" w:rsidRPr="003129A6">
        <w:t xml:space="preserve"> </w:t>
      </w:r>
      <w:r w:rsidR="003129A6" w:rsidRPr="003129A6">
        <w:lastRenderedPageBreak/>
        <w:t xml:space="preserve">Court that </w:t>
      </w:r>
      <w:r w:rsidR="006851DD">
        <w:t xml:space="preserve">a corporation without substantial market power </w:t>
      </w:r>
      <w:r w:rsidR="003129A6" w:rsidRPr="003129A6">
        <w:t xml:space="preserve">could </w:t>
      </w:r>
      <w:r w:rsidR="006851DD">
        <w:t xml:space="preserve">not </w:t>
      </w:r>
      <w:r w:rsidR="003129A6" w:rsidRPr="003129A6">
        <w:t xml:space="preserve">rationally </w:t>
      </w:r>
      <w:r w:rsidR="006851DD">
        <w:t>engage in the conduct</w:t>
      </w:r>
      <w:r w:rsidR="00CD15EF">
        <w:t xml:space="preserve"> or that the substantial market power “materially facilitated” the conduct</w:t>
      </w:r>
      <w:r w:rsidR="003129A6" w:rsidRPr="003129A6">
        <w:t>.</w:t>
      </w:r>
    </w:p>
    <w:p w14:paraId="022C3782" w14:textId="755A32EA" w:rsidR="00B13C17" w:rsidRDefault="00B13C17" w:rsidP="00B13C17">
      <w:pPr>
        <w:pStyle w:val="SecondHeading"/>
      </w:pPr>
      <w:r>
        <w:t>Practicality</w:t>
      </w:r>
    </w:p>
    <w:p w14:paraId="162F492A" w14:textId="77777777" w:rsidR="00B433F7" w:rsidRDefault="00CD15EF" w:rsidP="006B5C8B">
      <w:pPr>
        <w:pStyle w:val="NumberedParagraph"/>
      </w:pPr>
      <w:r>
        <w:rPr>
          <w:i/>
        </w:rPr>
        <w:t>Second</w:t>
      </w:r>
      <w:r>
        <w:t xml:space="preserve">, </w:t>
      </w:r>
      <w:r w:rsidR="00B433F7">
        <w:t xml:space="preserve">the Harper Panel’s proposal should be preferred </w:t>
      </w:r>
      <w:r>
        <w:t xml:space="preserve">as a matter of </w:t>
      </w:r>
      <w:r w:rsidR="00B433F7">
        <w:t>practicality</w:t>
      </w:r>
      <w:r w:rsidR="00B9156A">
        <w:t xml:space="preserve">. </w:t>
      </w:r>
      <w:r w:rsidR="00B433F7">
        <w:t>It will impose a standard that can be more consistently applied and understood.</w:t>
      </w:r>
    </w:p>
    <w:p w14:paraId="351625F9" w14:textId="0692E158" w:rsidR="00663180" w:rsidRPr="00663180" w:rsidRDefault="00174826" w:rsidP="006B5C8B">
      <w:pPr>
        <w:pStyle w:val="NumberedParagraph"/>
      </w:pPr>
      <w:r>
        <w:t xml:space="preserve">The “take advantage” test is difficult to apply because it </w:t>
      </w:r>
      <w:r w:rsidR="00B433F7">
        <w:t xml:space="preserve">necessitates </w:t>
      </w:r>
      <w:r>
        <w:t xml:space="preserve">a broad hypothetical inquiry </w:t>
      </w:r>
      <w:r w:rsidR="00B433F7">
        <w:t xml:space="preserve">which is then evaluated </w:t>
      </w:r>
      <w:r>
        <w:t xml:space="preserve">against </w:t>
      </w:r>
      <w:r w:rsidR="00FC13F0">
        <w:t xml:space="preserve">an indefinite standard. As the jurisprudence over the last twenty-five years has demonstrated, articulating the standard to be applied for “take advantage” is difficult. But even </w:t>
      </w:r>
      <w:r w:rsidR="00B433F7">
        <w:t>the best articulations of the standard are</w:t>
      </w:r>
      <w:r w:rsidR="00613822">
        <w:t xml:space="preserve"> necessarily</w:t>
      </w:r>
      <w:r w:rsidR="00B433F7">
        <w:t xml:space="preserve"> imprecise. </w:t>
      </w:r>
      <w:r w:rsidR="00663180">
        <w:t>What does it mean to say that conduct has been “materially facilitated” by something? At what point is conduct profitable in a commercial sense? Does that require an accountant to identify hypothetical income and expenses or does it require an intuitive judgment about whether a hypothetical reasonable businessperson (or an unreasonable businessperson) might think that the conduct was a good idea?</w:t>
      </w:r>
    </w:p>
    <w:p w14:paraId="5669B1BE" w14:textId="1204FB7D" w:rsidR="00174826" w:rsidRDefault="00174826" w:rsidP="006B5C8B">
      <w:pPr>
        <w:pStyle w:val="NumberedParagraph"/>
      </w:pPr>
      <w:r>
        <w:t xml:space="preserve">Courts should, quite properly, err against guessing that a corporation has engaged in a contravention that exposes </w:t>
      </w:r>
      <w:r w:rsidR="00A728B6">
        <w:t>the corporation</w:t>
      </w:r>
      <w:r>
        <w:t xml:space="preserve"> to a civil penalty.</w:t>
      </w:r>
    </w:p>
    <w:p w14:paraId="0D4B3C80" w14:textId="0978A983" w:rsidR="007923F8" w:rsidRDefault="00663180" w:rsidP="006B5C8B">
      <w:pPr>
        <w:pStyle w:val="NumberedParagraph"/>
      </w:pPr>
      <w:r>
        <w:t>Of course, m</w:t>
      </w:r>
      <w:r w:rsidR="007923F8">
        <w:t>any aspects of the law, both civil and criminal, call for a hypothetical inquiry as part of testing whether one thing has caused another thing</w:t>
      </w:r>
      <w:r>
        <w:t xml:space="preserve">. This is sometimes </w:t>
      </w:r>
      <w:r w:rsidR="00C22C19">
        <w:t>referred</w:t>
      </w:r>
      <w:r>
        <w:t xml:space="preserve"> to as using a “counterfactual”</w:t>
      </w:r>
      <w:r w:rsidR="007923F8">
        <w:t>. For example:</w:t>
      </w:r>
    </w:p>
    <w:p w14:paraId="273E7702" w14:textId="48FC2F07" w:rsidR="007923F8" w:rsidRDefault="00C22C19" w:rsidP="006B5C8B">
      <w:pPr>
        <w:pStyle w:val="NumberedParagraph"/>
        <w:numPr>
          <w:ilvl w:val="0"/>
          <w:numId w:val="8"/>
        </w:numPr>
      </w:pPr>
      <w:r>
        <w:t>Would the accident have occurred</w:t>
      </w:r>
      <w:r w:rsidR="007923F8">
        <w:t xml:space="preserve"> </w:t>
      </w:r>
      <w:r>
        <w:t xml:space="preserve">even if </w:t>
      </w:r>
      <w:r w:rsidR="007923F8">
        <w:t>the defendant</w:t>
      </w:r>
      <w:r>
        <w:t xml:space="preserve"> had not driven</w:t>
      </w:r>
      <w:r w:rsidR="007923F8">
        <w:t xml:space="preserve"> through </w:t>
      </w:r>
      <w:r w:rsidR="006B5C8B">
        <w:t>the</w:t>
      </w:r>
      <w:r w:rsidR="007923F8">
        <w:t xml:space="preserve"> red light?</w:t>
      </w:r>
    </w:p>
    <w:p w14:paraId="3516358C" w14:textId="4C5A4FA3" w:rsidR="00C22C19" w:rsidRDefault="00C22C19" w:rsidP="006B5C8B">
      <w:pPr>
        <w:pStyle w:val="NumberedParagraph"/>
        <w:numPr>
          <w:ilvl w:val="0"/>
          <w:numId w:val="8"/>
        </w:numPr>
      </w:pPr>
      <w:r>
        <w:t>Would</w:t>
      </w:r>
      <w:r w:rsidR="007923F8">
        <w:t xml:space="preserve"> the deceased </w:t>
      </w:r>
      <w:r>
        <w:t>still be alive even if the accused had not fired the gun?</w:t>
      </w:r>
    </w:p>
    <w:p w14:paraId="36D01E92" w14:textId="6FDFD6EC" w:rsidR="00CD15EF" w:rsidRDefault="00C22C19" w:rsidP="006B5C8B">
      <w:pPr>
        <w:pStyle w:val="NumberedParagraph"/>
      </w:pPr>
      <w:r>
        <w:t>T</w:t>
      </w:r>
      <w:r w:rsidR="00B9156A">
        <w:t xml:space="preserve">he </w:t>
      </w:r>
      <w:r w:rsidR="00174826">
        <w:t xml:space="preserve">“substantially lessening competition” test </w:t>
      </w:r>
      <w:r>
        <w:t xml:space="preserve">employs this type of hypothetical inquiry. In the case of section 45, it asks whether </w:t>
      </w:r>
      <w:r w:rsidR="00DE3AB8">
        <w:t xml:space="preserve">the </w:t>
      </w:r>
      <w:r w:rsidR="00712525">
        <w:t xml:space="preserve">state of the </w:t>
      </w:r>
      <w:r w:rsidR="00DE3AB8">
        <w:t xml:space="preserve">competitive process would have been the same </w:t>
      </w:r>
      <w:r>
        <w:t xml:space="preserve">even if the respondent corporation had not made or arrived at the contract, arrangement or understanding. The </w:t>
      </w:r>
      <w:r w:rsidR="00663180">
        <w:t>form of</w:t>
      </w:r>
      <w:r>
        <w:t xml:space="preserve"> section 46</w:t>
      </w:r>
      <w:r w:rsidR="00663180">
        <w:t xml:space="preserve"> </w:t>
      </w:r>
      <w:r>
        <w:t xml:space="preserve">proposed by the Harper Panel would ask whether </w:t>
      </w:r>
      <w:r w:rsidR="00DE3AB8">
        <w:t>the</w:t>
      </w:r>
      <w:r w:rsidR="00712525">
        <w:t xml:space="preserve"> state of the</w:t>
      </w:r>
      <w:r w:rsidR="00DE3AB8">
        <w:t xml:space="preserve"> competitive process </w:t>
      </w:r>
      <w:r>
        <w:t>would have been</w:t>
      </w:r>
      <w:r w:rsidR="00DE3AB8">
        <w:t xml:space="preserve"> the same</w:t>
      </w:r>
      <w:r>
        <w:t xml:space="preserve"> even if the </w:t>
      </w:r>
      <w:r w:rsidR="00020671">
        <w:t>respondent corporation had not engaged in the conduct.</w:t>
      </w:r>
    </w:p>
    <w:p w14:paraId="1BB02D9E" w14:textId="352DEC24" w:rsidR="00F31E03" w:rsidRDefault="00D858DB" w:rsidP="006B5C8B">
      <w:pPr>
        <w:pStyle w:val="NumberedParagraph"/>
      </w:pPr>
      <w:r>
        <w:t xml:space="preserve">The </w:t>
      </w:r>
      <w:r w:rsidR="00A66618">
        <w:t xml:space="preserve">“take advantage” test employs a different type of hypothetical inquiry. It asks whether </w:t>
      </w:r>
      <w:r w:rsidR="00A728B6">
        <w:t xml:space="preserve">the corporation would have engaged in the conduct </w:t>
      </w:r>
      <w:r w:rsidR="002D4667">
        <w:t xml:space="preserve">if the commercial world in which the </w:t>
      </w:r>
      <w:r w:rsidR="002D4667">
        <w:lastRenderedPageBreak/>
        <w:t xml:space="preserve">corporation operated was different. </w:t>
      </w:r>
      <w:r w:rsidR="00EC0BFA">
        <w:t>It does not look at the effect of conduct on the world. It looks at the</w:t>
      </w:r>
      <w:r w:rsidR="000861BC">
        <w:t xml:space="preserve"> effect of the world on conduct. It </w:t>
      </w:r>
      <w:r w:rsidR="00EC0BFA">
        <w:t xml:space="preserve">asks, if the world was different </w:t>
      </w:r>
      <w:r w:rsidR="000861BC">
        <w:t xml:space="preserve">(so that </w:t>
      </w:r>
      <w:r w:rsidR="00EC0BFA">
        <w:t>the corporation lacked substantial market power</w:t>
      </w:r>
      <w:r w:rsidR="000861BC">
        <w:t>)</w:t>
      </w:r>
      <w:r w:rsidR="00EC0BFA">
        <w:t xml:space="preserve">, </w:t>
      </w:r>
      <w:r w:rsidR="00CE061E">
        <w:t>would (or could)</w:t>
      </w:r>
      <w:r w:rsidR="00EC0BFA">
        <w:t xml:space="preserve"> the corporation nevertheless have engaged in the conduct (or would</w:t>
      </w:r>
      <w:r w:rsidR="00CE061E">
        <w:t xml:space="preserve"> it</w:t>
      </w:r>
      <w:r w:rsidR="00EC0BFA">
        <w:t xml:space="preserve"> have been as</w:t>
      </w:r>
      <w:r w:rsidR="004D10CD">
        <w:t xml:space="preserve"> easy to engage in the conduct)?</w:t>
      </w:r>
      <w:r w:rsidR="00EC0BFA">
        <w:t xml:space="preserve"> </w:t>
      </w:r>
    </w:p>
    <w:p w14:paraId="7B8A96E7" w14:textId="472FC8C1" w:rsidR="002D4667" w:rsidRDefault="00EC0BFA" w:rsidP="006B5C8B">
      <w:pPr>
        <w:pStyle w:val="NumberedParagraph"/>
      </w:pPr>
      <w:r>
        <w:t xml:space="preserve">The “take advantage” test </w:t>
      </w:r>
      <w:r w:rsidR="002D4667">
        <w:t xml:space="preserve">reverses the question posed by the “substantially lessening competition” test. The “substantially lessening competition” test compares the effect of </w:t>
      </w:r>
      <w:r w:rsidR="002D4667" w:rsidRPr="002D4667">
        <w:t xml:space="preserve">changes in the </w:t>
      </w:r>
      <w:r w:rsidR="002D4667">
        <w:t>conduct</w:t>
      </w:r>
      <w:r w:rsidR="002D4667" w:rsidRPr="002D4667">
        <w:t xml:space="preserve"> </w:t>
      </w:r>
      <w:r w:rsidR="002D4667">
        <w:t>on the market</w:t>
      </w:r>
      <w:r w:rsidR="002D4667" w:rsidRPr="002D4667">
        <w:t xml:space="preserve">. The </w:t>
      </w:r>
      <w:r w:rsidR="002D4667">
        <w:t>“take advantage” test</w:t>
      </w:r>
      <w:r w:rsidR="002D4667" w:rsidRPr="002D4667">
        <w:t xml:space="preserve"> compares the effect of changes in the </w:t>
      </w:r>
      <w:r w:rsidR="002D4667">
        <w:t>market</w:t>
      </w:r>
      <w:r w:rsidR="002D4667" w:rsidRPr="002D4667">
        <w:t xml:space="preserve"> on the </w:t>
      </w:r>
      <w:r w:rsidR="002D4667">
        <w:t>conduct</w:t>
      </w:r>
      <w:r w:rsidR="002D4667" w:rsidRPr="002D4667">
        <w:t>.</w:t>
      </w:r>
      <w:r w:rsidR="002D4667">
        <w:t xml:space="preserve"> Posing a change in conduct and then asking how that </w:t>
      </w:r>
      <w:r w:rsidR="004D10CD">
        <w:t>is likely to</w:t>
      </w:r>
      <w:r w:rsidR="002D4667">
        <w:t xml:space="preserve"> affect </w:t>
      </w:r>
      <w:r w:rsidR="00F31E03">
        <w:t xml:space="preserve">an outcome in </w:t>
      </w:r>
      <w:r w:rsidR="002D4667">
        <w:t xml:space="preserve">the world in the </w:t>
      </w:r>
      <w:r>
        <w:t xml:space="preserve">future is a more practical task </w:t>
      </w:r>
      <w:r w:rsidR="002D4667">
        <w:t xml:space="preserve">than posing a change in the world </w:t>
      </w:r>
      <w:r w:rsidR="004D10CD">
        <w:t xml:space="preserve">in the past </w:t>
      </w:r>
      <w:r w:rsidR="002D4667">
        <w:t xml:space="preserve">and then asking how that </w:t>
      </w:r>
      <w:r w:rsidR="00DE3AB8">
        <w:t>might have</w:t>
      </w:r>
      <w:r w:rsidR="002D4667">
        <w:t xml:space="preserve"> affect</w:t>
      </w:r>
      <w:r w:rsidR="00DE3AB8">
        <w:t>ed</w:t>
      </w:r>
      <w:r w:rsidR="002D4667">
        <w:t xml:space="preserve"> conduct.</w:t>
      </w:r>
      <w:r w:rsidR="00A15C30">
        <w:t xml:space="preserve"> </w:t>
      </w:r>
      <w:r w:rsidR="00A15C30" w:rsidRPr="00A15C30">
        <w:t xml:space="preserve">The difficulty of </w:t>
      </w:r>
      <w:r w:rsidR="00A15C30">
        <w:t xml:space="preserve">applying </w:t>
      </w:r>
      <w:r w:rsidR="00A15C30" w:rsidRPr="00A15C30">
        <w:t>the “take advantage” test is further</w:t>
      </w:r>
      <w:r w:rsidR="00A15C30">
        <w:t xml:space="preserve"> exacerbated by the </w:t>
      </w:r>
      <w:r w:rsidR="006B5C8B">
        <w:t>imprecision in identifying what change in the world is sufficient to convert “substantial market power” to merely “market power”. The “substantially lessening competition” test is binary: with or without the conduct.</w:t>
      </w:r>
    </w:p>
    <w:p w14:paraId="3E3B14EA" w14:textId="21D05AF3" w:rsidR="006B5C8B" w:rsidRDefault="006B5C8B" w:rsidP="006B5C8B">
      <w:pPr>
        <w:pStyle w:val="NumberedParagraph"/>
      </w:pPr>
      <w:r>
        <w:t>T</w:t>
      </w:r>
      <w:r w:rsidR="002D4667">
        <w:t xml:space="preserve">he practical difficulty of </w:t>
      </w:r>
      <w:r>
        <w:t>applying the type of hypothetical inquiry required by the “take advantage” test can be illustrated by adapting the two examples given above</w:t>
      </w:r>
      <w:r w:rsidR="00EC0BFA">
        <w:t xml:space="preserve"> and </w:t>
      </w:r>
      <w:r w:rsidR="00132596">
        <w:t xml:space="preserve">considering the inherent difficulty with </w:t>
      </w:r>
      <w:r w:rsidR="00EC0BFA">
        <w:t>answer</w:t>
      </w:r>
      <w:r w:rsidR="00132596">
        <w:t>ing</w:t>
      </w:r>
      <w:r w:rsidR="00EC0BFA">
        <w:t xml:space="preserve"> these questions</w:t>
      </w:r>
      <w:r>
        <w:t>:</w:t>
      </w:r>
    </w:p>
    <w:p w14:paraId="08195EBF" w14:textId="709EDD68" w:rsidR="006B5C8B" w:rsidRDefault="006B5C8B" w:rsidP="006B5C8B">
      <w:pPr>
        <w:pStyle w:val="NumberedParagraph"/>
        <w:numPr>
          <w:ilvl w:val="0"/>
          <w:numId w:val="9"/>
        </w:numPr>
      </w:pPr>
      <w:r>
        <w:t xml:space="preserve"> Would the defendant have driven through the red light if traffic design had been </w:t>
      </w:r>
      <w:r w:rsidR="0065262C">
        <w:t>better</w:t>
      </w:r>
      <w:r w:rsidR="00EC0BFA">
        <w:t xml:space="preserve"> </w:t>
      </w:r>
      <w:r>
        <w:t>in the area?</w:t>
      </w:r>
    </w:p>
    <w:p w14:paraId="505477E3" w14:textId="473BED79" w:rsidR="006B5C8B" w:rsidRDefault="006B5C8B" w:rsidP="006B5C8B">
      <w:pPr>
        <w:pStyle w:val="NumberedParagraph"/>
        <w:numPr>
          <w:ilvl w:val="0"/>
          <w:numId w:val="9"/>
        </w:numPr>
      </w:pPr>
      <w:r>
        <w:t xml:space="preserve">Would the accused have fired the gun if there was </w:t>
      </w:r>
      <w:r w:rsidR="0065262C">
        <w:t>stronger</w:t>
      </w:r>
      <w:r>
        <w:t xml:space="preserve"> firearm regulation?</w:t>
      </w:r>
    </w:p>
    <w:p w14:paraId="7795E48A" w14:textId="6BE65657" w:rsidR="006B5C8B" w:rsidRDefault="00AE6B67" w:rsidP="006B5C8B">
      <w:pPr>
        <w:pStyle w:val="NumberedParagraph"/>
      </w:pPr>
      <w:r>
        <w:t xml:space="preserve">It is immensely difficult </w:t>
      </w:r>
      <w:r w:rsidR="006B5C8B">
        <w:t>to evaluate whether specific conduct</w:t>
      </w:r>
      <w:r w:rsidR="00487328">
        <w:t xml:space="preserve"> that occurred in the actual world</w:t>
      </w:r>
      <w:r w:rsidR="006B5C8B">
        <w:t xml:space="preserve"> would </w:t>
      </w:r>
      <w:r w:rsidR="004D10CD">
        <w:t xml:space="preserve">have </w:t>
      </w:r>
      <w:r w:rsidR="006B5C8B">
        <w:t>occur</w:t>
      </w:r>
      <w:r w:rsidR="004D10CD">
        <w:t>red</w:t>
      </w:r>
      <w:r w:rsidR="006B5C8B">
        <w:t>, or be</w:t>
      </w:r>
      <w:r w:rsidR="004D10CD">
        <w:t>en</w:t>
      </w:r>
      <w:r w:rsidR="006B5C8B">
        <w:t xml:space="preserve"> likely to occur, </w:t>
      </w:r>
      <w:r w:rsidR="00487328">
        <w:t>if</w:t>
      </w:r>
      <w:r w:rsidR="006B5C8B">
        <w:t xml:space="preserve"> broad hypothetical changes </w:t>
      </w:r>
      <w:r w:rsidR="004D10CD">
        <w:t>had been</w:t>
      </w:r>
      <w:r w:rsidR="00487328">
        <w:t xml:space="preserve"> made to </w:t>
      </w:r>
      <w:r w:rsidR="006B5C8B">
        <w:t>the</w:t>
      </w:r>
      <w:r w:rsidR="00487328">
        <w:t xml:space="preserve"> </w:t>
      </w:r>
      <w:r w:rsidR="006B5C8B">
        <w:t xml:space="preserve">world. </w:t>
      </w:r>
      <w:r w:rsidR="0065262C">
        <w:t xml:space="preserve">It </w:t>
      </w:r>
      <w:r w:rsidR="001F56F0">
        <w:t>invites intuitive judgm</w:t>
      </w:r>
      <w:r w:rsidR="00D663BF">
        <w:t xml:space="preserve">ents that may be idiosyncratic and dependent upon the perceptions of the particular person making the evaluation. </w:t>
      </w:r>
      <w:r w:rsidR="00367D85">
        <w:t>For these reasons, i</w:t>
      </w:r>
      <w:r w:rsidR="00972520">
        <w:t xml:space="preserve">t is very difficult to understand </w:t>
      </w:r>
      <w:r w:rsidR="00D663BF">
        <w:t>how it could be claimed</w:t>
      </w:r>
      <w:r w:rsidR="00972520">
        <w:t xml:space="preserve"> that </w:t>
      </w:r>
      <w:r w:rsidR="00D663BF">
        <w:t xml:space="preserve">there is </w:t>
      </w:r>
      <w:r w:rsidR="00487328">
        <w:t>certainty</w:t>
      </w:r>
      <w:r w:rsidR="00D663BF">
        <w:t xml:space="preserve"> or predictability</w:t>
      </w:r>
      <w:r w:rsidR="00487328">
        <w:t xml:space="preserve"> as to how</w:t>
      </w:r>
      <w:r w:rsidR="00D663BF">
        <w:t xml:space="preserve"> the “take advantage” test</w:t>
      </w:r>
      <w:r w:rsidR="00487328">
        <w:t xml:space="preserve"> (and therefore </w:t>
      </w:r>
      <w:r w:rsidR="00D663BF">
        <w:t xml:space="preserve">the current </w:t>
      </w:r>
      <w:r w:rsidR="00487328">
        <w:t>sec</w:t>
      </w:r>
      <w:r w:rsidR="00D663BF">
        <w:t>tion 46) will be applied</w:t>
      </w:r>
      <w:r w:rsidR="00DE3AB8">
        <w:t xml:space="preserve"> in particular cases</w:t>
      </w:r>
      <w:r w:rsidR="00D663BF">
        <w:t>.</w:t>
      </w:r>
    </w:p>
    <w:p w14:paraId="0FFFC60D" w14:textId="77777777" w:rsidR="00DE3AB8" w:rsidRDefault="00DE3AB8" w:rsidP="00CB268E">
      <w:pPr>
        <w:pStyle w:val="FirstHeading"/>
      </w:pPr>
    </w:p>
    <w:p w14:paraId="625D8B94" w14:textId="77777777" w:rsidR="00DE3AB8" w:rsidRDefault="00DE3AB8" w:rsidP="00CB268E">
      <w:pPr>
        <w:pStyle w:val="FirstHeading"/>
      </w:pPr>
    </w:p>
    <w:p w14:paraId="39C0A913" w14:textId="77777777" w:rsidR="00DE3AB8" w:rsidRDefault="00DE3AB8" w:rsidP="00CB268E">
      <w:pPr>
        <w:pStyle w:val="FirstHeading"/>
      </w:pPr>
    </w:p>
    <w:p w14:paraId="3EA6BD52" w14:textId="0EC8FFB7" w:rsidR="00872F32" w:rsidRDefault="00CB268E" w:rsidP="00CB268E">
      <w:pPr>
        <w:pStyle w:val="FirstHeading"/>
      </w:pPr>
      <w:r>
        <w:lastRenderedPageBreak/>
        <w:t xml:space="preserve">RESPONSE TO ISSUES RAISED </w:t>
      </w:r>
      <w:r w:rsidR="00895CCC">
        <w:t>FOR DISCUSSION</w:t>
      </w:r>
    </w:p>
    <w:p w14:paraId="519D86C2" w14:textId="00A57F81" w:rsidR="00D663BF" w:rsidRDefault="00D663BF" w:rsidP="00D663BF">
      <w:pPr>
        <w:pStyle w:val="NumberedParagraph"/>
      </w:pPr>
      <w:r>
        <w:t>This section addresses some of the specific issues for discussion raised by the Discussion Paper.</w:t>
      </w:r>
    </w:p>
    <w:p w14:paraId="5AB938E8" w14:textId="0DCF7D67" w:rsidR="00895CCC" w:rsidRDefault="00D663BF" w:rsidP="006C3C0E">
      <w:pPr>
        <w:pStyle w:val="FirstHeading"/>
      </w:pPr>
      <w:r>
        <w:t>1.</w:t>
      </w:r>
      <w:r>
        <w:tab/>
      </w:r>
      <w:r w:rsidR="006C3C0E" w:rsidRPr="006C3C0E">
        <w:t>What are examples of business conduct that are detrimental and economically damaging to competition (as opposed to competitors) that would be difficult to bring action against under the current provision?</w:t>
      </w:r>
    </w:p>
    <w:p w14:paraId="4D620702" w14:textId="142D7CA9" w:rsidR="006C3C0E" w:rsidRDefault="006C3C0E" w:rsidP="006C3C0E">
      <w:pPr>
        <w:pStyle w:val="NumberedParagraph"/>
      </w:pPr>
      <w:r>
        <w:t xml:space="preserve">As noted above, it will not be a contravention of the current section 46 for a </w:t>
      </w:r>
      <w:r w:rsidRPr="006C3C0E">
        <w:t>corporation</w:t>
      </w:r>
      <w:r>
        <w:t xml:space="preserve"> with substantial market power to engage in conduct that substantially damages the competitive process, and thereby protects the corporation’s substantial </w:t>
      </w:r>
      <w:r w:rsidR="00D663BF">
        <w:t xml:space="preserve">market </w:t>
      </w:r>
      <w:r>
        <w:t xml:space="preserve">power, if it cannot be established that the conduct was commercially possible, or likely to be commercially possible, because of </w:t>
      </w:r>
      <w:r w:rsidR="00D663BF">
        <w:t xml:space="preserve">the </w:t>
      </w:r>
      <w:r w:rsidR="001772BB">
        <w:t>substantial market power.</w:t>
      </w:r>
    </w:p>
    <w:p w14:paraId="6E5464F0" w14:textId="33A056D4" w:rsidR="006C3C0E" w:rsidRDefault="006C3C0E" w:rsidP="006C3C0E">
      <w:pPr>
        <w:pStyle w:val="FirstHeading"/>
      </w:pPr>
      <w:r>
        <w:t>2</w:t>
      </w:r>
      <w:r>
        <w:tab/>
      </w:r>
      <w:r w:rsidRPr="006C3C0E">
        <w:t>What are examples of conduct that may be pro‑competitive that could be captured under the Harper Panel’s proposed provision?</w:t>
      </w:r>
    </w:p>
    <w:p w14:paraId="75474633" w14:textId="77777777" w:rsidR="00C536B1" w:rsidRDefault="006C3C0E" w:rsidP="006C3C0E">
      <w:pPr>
        <w:pStyle w:val="NumberedParagraph"/>
      </w:pPr>
      <w:r>
        <w:t xml:space="preserve">Pro-competitive conduct will not be captured by the Harper Panel’s proposed provision because </w:t>
      </w:r>
      <w:r w:rsidR="00274F0F">
        <w:t xml:space="preserve">by definition </w:t>
      </w:r>
      <w:r>
        <w:t xml:space="preserve">pro-competitive conduct will not substantially lessen competition. Pro-competitive </w:t>
      </w:r>
      <w:r w:rsidR="001114A9">
        <w:t>conduct</w:t>
      </w:r>
      <w:r>
        <w:t xml:space="preserve"> may damage competitors but it should not damage the competitive process. </w:t>
      </w:r>
    </w:p>
    <w:p w14:paraId="7A5CB8FD" w14:textId="58CE7B6F" w:rsidR="00C536B1" w:rsidRDefault="001114A9" w:rsidP="006C3C0E">
      <w:pPr>
        <w:pStyle w:val="NumberedParagraph"/>
      </w:pPr>
      <w:r>
        <w:t xml:space="preserve">For example, undercutting a competitor’s price is the essence of competition. It may damage </w:t>
      </w:r>
      <w:r w:rsidR="000B7B32">
        <w:t>a</w:t>
      </w:r>
      <w:r>
        <w:t xml:space="preserve"> competitor. Indeed, it is </w:t>
      </w:r>
      <w:r w:rsidR="00E77B08">
        <w:t xml:space="preserve">usually </w:t>
      </w:r>
      <w:r>
        <w:t>intended to damage</w:t>
      </w:r>
      <w:r w:rsidR="00E77B08">
        <w:t xml:space="preserve"> a</w:t>
      </w:r>
      <w:r>
        <w:t xml:space="preserve"> competitor. But it will not damage the competitive process unless it transforms into predatory pricing and erects barriers to entry that will allow the corporation engaging in the conduct to later charge monopoly prices after driving competitors from the market and preventing re-entry by the same or different competitors.</w:t>
      </w:r>
      <w:r w:rsidR="00E77B08">
        <w:t xml:space="preserve"> If the corporation is able to charge a lower price because it has a more efficient means of production, and in charging a lower price it drives all of its competitors from the market, that will not </w:t>
      </w:r>
      <w:r w:rsidR="00C536B1">
        <w:t>not damage the competitive process. The corporation has not prevented equally-efficient competitors from entering the market. The corporation will be restrained from raising its prices by the threat that competitors will enter or re-enter the market with less efficient means of production.</w:t>
      </w:r>
    </w:p>
    <w:p w14:paraId="612BE242" w14:textId="0BA4AA80" w:rsidR="001114A9" w:rsidRPr="00854C83" w:rsidRDefault="00C536B1" w:rsidP="006C3C0E">
      <w:pPr>
        <w:pStyle w:val="NumberedParagraph"/>
      </w:pPr>
      <w:r>
        <w:t xml:space="preserve"> </w:t>
      </w:r>
      <w:r w:rsidR="00AD59FC">
        <w:t xml:space="preserve">The </w:t>
      </w:r>
      <w:proofErr w:type="spellStart"/>
      <w:r w:rsidR="00AD59FC">
        <w:rPr>
          <w:i/>
        </w:rPr>
        <w:t>Melway</w:t>
      </w:r>
      <w:proofErr w:type="spellEnd"/>
      <w:r w:rsidR="00AD59FC">
        <w:t xml:space="preserve"> decision is an important litmus test. In </w:t>
      </w:r>
      <w:proofErr w:type="spellStart"/>
      <w:r w:rsidR="00AD59FC" w:rsidRPr="00AD59FC">
        <w:rPr>
          <w:i/>
        </w:rPr>
        <w:t>Melway</w:t>
      </w:r>
      <w:proofErr w:type="spellEnd"/>
      <w:r w:rsidR="00AD59FC">
        <w:t xml:space="preserve">, the High Court found that the refusal of a publisher to supply to a former distributor did not contravene section 46 because the conduct did not take advantage of the publisher’s substantial market power. The refusal to supply was part of maintaining a distributorship system that had existed before and after the </w:t>
      </w:r>
      <w:r w:rsidR="00854C83">
        <w:t xml:space="preserve">publisher had substantial market power. </w:t>
      </w:r>
      <w:r w:rsidR="00AD59FC" w:rsidRPr="00AD59FC">
        <w:t>If</w:t>
      </w:r>
      <w:r w:rsidR="00AD59FC">
        <w:t xml:space="preserve"> it was thought that the </w:t>
      </w:r>
      <w:r w:rsidR="00A44940">
        <w:t>Ha</w:t>
      </w:r>
      <w:r w:rsidR="00A77234">
        <w:t>r</w:t>
      </w:r>
      <w:r w:rsidR="00A44940">
        <w:t xml:space="preserve">per Panel’s proposal </w:t>
      </w:r>
      <w:r w:rsidR="00AD59FC">
        <w:t xml:space="preserve">would alter the outcome of </w:t>
      </w:r>
      <w:proofErr w:type="spellStart"/>
      <w:r w:rsidR="00AD59FC">
        <w:rPr>
          <w:i/>
        </w:rPr>
        <w:t>Melway</w:t>
      </w:r>
      <w:proofErr w:type="spellEnd"/>
      <w:r w:rsidR="00AD59FC">
        <w:rPr>
          <w:i/>
        </w:rPr>
        <w:t xml:space="preserve"> </w:t>
      </w:r>
      <w:r w:rsidR="00AD59FC">
        <w:t xml:space="preserve">then that would be a reason </w:t>
      </w:r>
      <w:r w:rsidR="00854C83">
        <w:t xml:space="preserve">to not implement such an amendment. But </w:t>
      </w:r>
      <w:r w:rsidR="00FA4E8C">
        <w:t>that would not be the effect of the amendment</w:t>
      </w:r>
      <w:r w:rsidR="00854C83">
        <w:t xml:space="preserve">. There was no allegation in </w:t>
      </w:r>
      <w:proofErr w:type="spellStart"/>
      <w:r w:rsidR="00854C83">
        <w:rPr>
          <w:i/>
        </w:rPr>
        <w:t>Melway</w:t>
      </w:r>
      <w:proofErr w:type="spellEnd"/>
      <w:r w:rsidR="00854C83">
        <w:t xml:space="preserve"> that the publisher’s refusal to supply </w:t>
      </w:r>
      <w:r w:rsidR="00A77234">
        <w:t>substantially lessened</w:t>
      </w:r>
      <w:r w:rsidR="00854C83">
        <w:t xml:space="preserve"> competition. It is not apparent how </w:t>
      </w:r>
      <w:proofErr w:type="spellStart"/>
      <w:r w:rsidR="006B4926">
        <w:t>Melway’s</w:t>
      </w:r>
      <w:proofErr w:type="spellEnd"/>
      <w:r w:rsidR="00F5012A">
        <w:t xml:space="preserve"> distributorship system </w:t>
      </w:r>
      <w:r w:rsidR="00C85635">
        <w:t>could have</w:t>
      </w:r>
      <w:r w:rsidR="00F5012A">
        <w:t xml:space="preserve"> substantially lessen</w:t>
      </w:r>
      <w:r w:rsidR="00C85635">
        <w:t>ed</w:t>
      </w:r>
      <w:r w:rsidR="00F5012A">
        <w:t xml:space="preserve"> </w:t>
      </w:r>
      <w:r w:rsidR="00854C83">
        <w:t xml:space="preserve">competition. </w:t>
      </w:r>
      <w:r w:rsidR="005233F0">
        <w:t>But if a</w:t>
      </w:r>
      <w:r w:rsidR="00C56E01">
        <w:t xml:space="preserve"> corporation with substantial market power did create some form of “distributorship system” that damaged the competitive process in </w:t>
      </w:r>
      <w:r w:rsidR="00AC4633">
        <w:t xml:space="preserve">a </w:t>
      </w:r>
      <w:r w:rsidR="00C56E01">
        <w:t>market</w:t>
      </w:r>
      <w:r w:rsidR="00AC4633">
        <w:t xml:space="preserve"> in which it participated</w:t>
      </w:r>
      <w:r w:rsidR="00C56E01">
        <w:t>, why should that conduct not be prohibited? It is necessarily conduct that will have a negative impact on consumers</w:t>
      </w:r>
      <w:r w:rsidR="001F355E">
        <w:t xml:space="preserve"> (unless there is a countervailing public benefit, in which case authorisation would be available)</w:t>
      </w:r>
      <w:r w:rsidR="00C56E01">
        <w:t>. Indeed, if the implementation of this anti-competitive “distributorship system” requires one or more contracts, arrangements or understandings, it is likely already prohibited by section 45.</w:t>
      </w:r>
    </w:p>
    <w:p w14:paraId="292FCBB3" w14:textId="3FFADCD5" w:rsidR="006C3C0E" w:rsidRDefault="001114A9" w:rsidP="006C3C0E">
      <w:pPr>
        <w:pStyle w:val="NumberedParagraph"/>
      </w:pPr>
      <w:r>
        <w:t>Claims that the Harper Panel’s proposed revision will result in a prohibition on pro-competitive conduct should be judged against the fact that t</w:t>
      </w:r>
      <w:r w:rsidR="00274F0F">
        <w:t>he substantial lessening of competition test has been applied as part of sections 45, 47 and 50 for many years</w:t>
      </w:r>
      <w:r w:rsidR="00C536B1">
        <w:t xml:space="preserve"> without </w:t>
      </w:r>
      <w:r w:rsidR="0024181B">
        <w:t>an example of pro-competitive conduct having been found to substantially lessen competition</w:t>
      </w:r>
      <w:r w:rsidR="00274F0F">
        <w:t xml:space="preserve">. In any event, the proposal by the Harper Panel also allows for authorisation </w:t>
      </w:r>
      <w:r w:rsidR="00C85635">
        <w:t xml:space="preserve">on public benefit grounds </w:t>
      </w:r>
      <w:r>
        <w:t>of conduct that would otherwise contravene the proposed section.</w:t>
      </w:r>
      <w:r w:rsidR="00C56E01">
        <w:t xml:space="preserve"> Any further concern could be addressed by including a defence that would excuse a corporation </w:t>
      </w:r>
      <w:r w:rsidR="00C56E01" w:rsidRPr="00C56E01">
        <w:t>if the substantial lessening of competition brought about by the conduct would be outweighed by the public benefi</w:t>
      </w:r>
      <w:r w:rsidR="00C56E01">
        <w:t>t.</w:t>
      </w:r>
    </w:p>
    <w:p w14:paraId="40A9CD97" w14:textId="1FD4D961" w:rsidR="0099102A" w:rsidRDefault="0099102A" w:rsidP="0099102A">
      <w:pPr>
        <w:pStyle w:val="FirstHeading"/>
      </w:pPr>
      <w:r>
        <w:t>3</w:t>
      </w:r>
      <w:r>
        <w:tab/>
      </w:r>
      <w:r w:rsidR="00E4138E" w:rsidRPr="00E4138E">
        <w:t>Would removing the take advantage limb from the provision improve the ability of the law to restrict behaviour by firms that would be economically damaging to competition?</w:t>
      </w:r>
    </w:p>
    <w:p w14:paraId="43A41157" w14:textId="619EFC52" w:rsidR="00E4138E" w:rsidRDefault="00E4138E" w:rsidP="00E4138E">
      <w:pPr>
        <w:pStyle w:val="NumberedParagraph"/>
      </w:pPr>
      <w:r>
        <w:t xml:space="preserve">Removing the take advantage limb </w:t>
      </w:r>
      <w:r w:rsidRPr="00C56E01">
        <w:rPr>
          <w:u w:val="single"/>
        </w:rPr>
        <w:t>would</w:t>
      </w:r>
      <w:r>
        <w:t xml:space="preserve"> improve the ability of the law to restrict behaviour by firms that would be economically damaging to competition. This for the two </w:t>
      </w:r>
      <w:r w:rsidR="00025B7D">
        <w:t xml:space="preserve">reasons </w:t>
      </w:r>
      <w:r w:rsidR="00C56E01">
        <w:t>explained above</w:t>
      </w:r>
      <w:r>
        <w:t>. Removal of the take advantage limb would better direct the section as a matter of principle and improve the practical operation of the section.</w:t>
      </w:r>
    </w:p>
    <w:p w14:paraId="796E5972" w14:textId="4C2B75F5" w:rsidR="00E4138E" w:rsidRDefault="00E4138E" w:rsidP="00E4138E">
      <w:pPr>
        <w:pStyle w:val="FirstHeading"/>
      </w:pPr>
      <w:r>
        <w:t>4</w:t>
      </w:r>
      <w:r>
        <w:tab/>
      </w:r>
      <w:r w:rsidR="00A1067B" w:rsidRPr="00A1067B">
        <w:t>Is there economically beneficial behaviour that would be restricted as a result of this change? If so, should the scope of proscribed conduct be narrowed to certain ‘exclusionary’ conduct if the ‘take advantage’ limb is removed?</w:t>
      </w:r>
    </w:p>
    <w:p w14:paraId="10394E0F" w14:textId="3842FF74" w:rsidR="00180DCA" w:rsidRDefault="00C56E01" w:rsidP="0067208C">
      <w:pPr>
        <w:pStyle w:val="NumberedParagraph"/>
      </w:pPr>
      <w:r>
        <w:t>E</w:t>
      </w:r>
      <w:r w:rsidR="00180DCA">
        <w:t>conomically beneficial behaviour would</w:t>
      </w:r>
      <w:r>
        <w:t xml:space="preserve"> not</w:t>
      </w:r>
      <w:r w:rsidR="00180DCA">
        <w:t xml:space="preserve"> be restricted as a result of this change</w:t>
      </w:r>
      <w:r>
        <w:t xml:space="preserve"> for the reasons explained in response to Issue 2</w:t>
      </w:r>
      <w:r w:rsidR="00180DCA">
        <w:t xml:space="preserve">. </w:t>
      </w:r>
    </w:p>
    <w:p w14:paraId="3A5922DA" w14:textId="3DAFBD03" w:rsidR="00A1067B" w:rsidRDefault="00C56E01" w:rsidP="0067208C">
      <w:pPr>
        <w:pStyle w:val="NumberedParagraph"/>
      </w:pPr>
      <w:r>
        <w:t>It would not be sensible to introduce</w:t>
      </w:r>
      <w:r w:rsidR="00180DCA">
        <w:t xml:space="preserve"> identification of certain ‘exclusionary’ conduct. It is not practical to attempt to define particular kinds of ‘exclusionary’ conduct to be prohibited and, in any event, it is unnecessary. A provision that prohibits conduct with the purpose, effect or likely effect of substantially lessening competition will apply a standard that is consistent with existing sections in Part IV of the CCA.</w:t>
      </w:r>
    </w:p>
    <w:p w14:paraId="365B892D" w14:textId="4CC2294F" w:rsidR="00180DCA" w:rsidRDefault="00180DCA" w:rsidP="00180DCA">
      <w:pPr>
        <w:pStyle w:val="FirstHeading"/>
      </w:pPr>
      <w:r>
        <w:t>6</w:t>
      </w:r>
      <w:r>
        <w:tab/>
      </w:r>
      <w:r w:rsidR="003C78C4" w:rsidRPr="003C78C4">
        <w:t>Would including ‘purpose, effect or likely effect’ in the provision better target behaviour that causes significant consumer detriment?</w:t>
      </w:r>
    </w:p>
    <w:p w14:paraId="4FB79A55" w14:textId="5D690445" w:rsidR="003C78C4" w:rsidRDefault="003C78C4" w:rsidP="003C78C4">
      <w:pPr>
        <w:pStyle w:val="NumberedParagraph"/>
      </w:pPr>
      <w:r>
        <w:t>Yes, for the reasons explained above, the inclusion of purpose, effect or likely effect would better target behaviour that causes significant consumer detriment. Consumer detriment, in a competition sense, is a result of damage to the competitive process not damage to competitors.</w:t>
      </w:r>
    </w:p>
    <w:p w14:paraId="4BF0513A" w14:textId="30FF83E4" w:rsidR="003C78C4" w:rsidRDefault="003C78C4" w:rsidP="003C78C4">
      <w:pPr>
        <w:pStyle w:val="FirstHeading"/>
      </w:pPr>
      <w:r>
        <w:t>7</w:t>
      </w:r>
      <w:r>
        <w:tab/>
      </w:r>
      <w:r w:rsidRPr="003C78C4">
        <w:t>Alternatively could retaining ‘purpose’ alone while amending other elements of the provision be a sufficient test to achieve the policy objectives of reform outlined by the Harper Panel?</w:t>
      </w:r>
    </w:p>
    <w:p w14:paraId="5573826A" w14:textId="48298DEA" w:rsidR="003C78C4" w:rsidRDefault="003C78C4" w:rsidP="003C78C4">
      <w:pPr>
        <w:pStyle w:val="NumberedParagraph"/>
      </w:pPr>
      <w:r>
        <w:t xml:space="preserve">It would be preferable to include effect and likely effect. This </w:t>
      </w:r>
      <w:r w:rsidR="00C56E01">
        <w:t>would</w:t>
      </w:r>
      <w:r>
        <w:t xml:space="preserve"> </w:t>
      </w:r>
      <w:r w:rsidR="00C56E01">
        <w:t xml:space="preserve">be </w:t>
      </w:r>
      <w:r>
        <w:t xml:space="preserve">consistent with other international jurisdictions, as identified by the Harper Panel. In addition, </w:t>
      </w:r>
      <w:r w:rsidR="005279F7">
        <w:t>the law should prohibit an effect or likely effect of substantially lessening competition, even if it is not</w:t>
      </w:r>
      <w:r w:rsidR="002140A7">
        <w:t xml:space="preserve"> proved</w:t>
      </w:r>
      <w:r w:rsidR="005279F7">
        <w:t xml:space="preserve"> that the corporation had the pur</w:t>
      </w:r>
      <w:r w:rsidR="002140A7">
        <w:t>pose of achieving this outcome because this</w:t>
      </w:r>
      <w:r w:rsidR="002140A7" w:rsidRPr="002140A7">
        <w:t xml:space="preserve"> will create the appropriate incentive for corporations that already have substantial market power: to consider the effect and likely effect of their conduct.</w:t>
      </w:r>
      <w:r w:rsidR="002140A7">
        <w:t xml:space="preserve"> </w:t>
      </w:r>
      <w:r w:rsidR="005279F7">
        <w:t>This is consist</w:t>
      </w:r>
      <w:r w:rsidR="00525991">
        <w:t>ent with section 45 of the Act.</w:t>
      </w:r>
    </w:p>
    <w:p w14:paraId="2B32A914" w14:textId="77777777" w:rsidR="00B1200C" w:rsidRPr="00B1200C" w:rsidRDefault="00B1200C" w:rsidP="00B1200C">
      <w:pPr>
        <w:pStyle w:val="FirstHeading"/>
      </w:pPr>
      <w:r>
        <w:t>8</w:t>
      </w:r>
      <w:r>
        <w:tab/>
      </w:r>
      <w:r w:rsidRPr="00B1200C">
        <w:t>Given the understanding of the term ‘substantially lessening competition’ that has developed from case law, would this better focus the provision on conduct that is anti-competitive rather than using specific behaviour, and therefore avoid restricting genuinely pro‑competitive conduct?</w:t>
      </w:r>
    </w:p>
    <w:p w14:paraId="6286DDAF" w14:textId="37687E12" w:rsidR="00B1200C" w:rsidRDefault="002140A7" w:rsidP="00B1200C">
      <w:pPr>
        <w:pStyle w:val="NumberedParagraph"/>
      </w:pPr>
      <w:r>
        <w:t>For the reasons explained above</w:t>
      </w:r>
      <w:r w:rsidR="00DF1075">
        <w:t>, the focus on “substantially lessening competition”, rather than specific behaviour, will better focus the provision on conduct that damages the competitive process rather than damaging competitors.</w:t>
      </w:r>
    </w:p>
    <w:p w14:paraId="48356B81" w14:textId="7FB83BCA" w:rsidR="00DF1075" w:rsidRDefault="00DF1075" w:rsidP="00DF1075">
      <w:pPr>
        <w:pStyle w:val="FirstHeading"/>
      </w:pPr>
      <w:r>
        <w:t>9</w:t>
      </w:r>
      <w:r>
        <w:tab/>
      </w:r>
      <w:r w:rsidRPr="00DF1075">
        <w:t>Should specific examples of prohibited behaviours or conduct be retained or included?</w:t>
      </w:r>
    </w:p>
    <w:p w14:paraId="59DABE06" w14:textId="136F83DA" w:rsidR="00DF1075" w:rsidRDefault="00DF1075" w:rsidP="00DF1075">
      <w:pPr>
        <w:pStyle w:val="NumberedParagraph"/>
      </w:pPr>
      <w:r>
        <w:t xml:space="preserve">Specific examples should not be retained or included in section 46. </w:t>
      </w:r>
      <w:r w:rsidR="00090240">
        <w:t xml:space="preserve">Specific examples are likely to create confusion as to the type of conduct that is prohibited. It is impractical to draft specific examples that can provide useful guidance to the Courts or businesspeople because whether conduct substantially lessens competition must be assessed in all the circumstances and no example will adequately capture </w:t>
      </w:r>
      <w:r w:rsidR="006D25C1">
        <w:t xml:space="preserve">all of </w:t>
      </w:r>
      <w:r w:rsidR="00090240">
        <w:t>the relevant circumstances.</w:t>
      </w:r>
    </w:p>
    <w:p w14:paraId="3200D062" w14:textId="4DF5FB90" w:rsidR="00A13122" w:rsidRDefault="00A13122" w:rsidP="00A13122">
      <w:pPr>
        <w:pStyle w:val="FirstHeading"/>
      </w:pPr>
      <w:r>
        <w:t>11</w:t>
      </w:r>
      <w:r>
        <w:tab/>
      </w:r>
      <w:r w:rsidRPr="00A13122">
        <w:t>Would establishing mandatory factors the courts must consider (such as the pro‑ and anti‑competitive effects of the conduct) reduce uncertainty for business?</w:t>
      </w:r>
    </w:p>
    <w:p w14:paraId="70C0943B" w14:textId="384FE5A8" w:rsidR="00A13122" w:rsidRDefault="002140A7" w:rsidP="00A13122">
      <w:pPr>
        <w:pStyle w:val="NumberedParagraph"/>
      </w:pPr>
      <w:r>
        <w:t>M</w:t>
      </w:r>
      <w:r w:rsidR="00A13122">
        <w:t xml:space="preserve">andatory factors </w:t>
      </w:r>
      <w:r>
        <w:t xml:space="preserve">should only be included in the CCA </w:t>
      </w:r>
      <w:r w:rsidR="00A13122">
        <w:t xml:space="preserve">if they are applied generally across Part IV of the CCA and not limited to the interpretation of section 46. </w:t>
      </w:r>
      <w:r>
        <w:t>T</w:t>
      </w:r>
      <w:r w:rsidR="00A13122">
        <w:t>o include mandatory factors only in section 46 risks the possibility that “substantially lessening competition” will be interpreted differently when used in section 46 as c</w:t>
      </w:r>
      <w:r>
        <w:t>ompared with sections 45 or 47.</w:t>
      </w:r>
    </w:p>
    <w:p w14:paraId="6CA18BC3" w14:textId="3FC71F44" w:rsidR="00A13122" w:rsidRDefault="00A13122" w:rsidP="00A13122">
      <w:pPr>
        <w:pStyle w:val="FirstHeading"/>
      </w:pPr>
      <w:r>
        <w:t>12</w:t>
      </w:r>
      <w:r>
        <w:tab/>
      </w:r>
      <w:r w:rsidR="007B7BA8" w:rsidRPr="007B7BA8">
        <w:t>If mandatory factors were adopted, what should those factors be?</w:t>
      </w:r>
    </w:p>
    <w:p w14:paraId="55074141" w14:textId="1EAFCD0A" w:rsidR="007B7BA8" w:rsidRDefault="002140A7" w:rsidP="007B7BA8">
      <w:pPr>
        <w:pStyle w:val="NumberedParagraph"/>
      </w:pPr>
      <w:r>
        <w:t>M</w:t>
      </w:r>
      <w:r w:rsidR="007B7BA8">
        <w:t>andatory factors such as those that currently exist in section 50 of the CCA and those included in the Harper Panel’s draft model for section 46</w:t>
      </w:r>
      <w:r>
        <w:t xml:space="preserve"> could be used</w:t>
      </w:r>
      <w:r w:rsidR="007B7BA8">
        <w:t>.</w:t>
      </w:r>
      <w:r w:rsidR="00BE0B88">
        <w:t xml:space="preserve"> These factors reflect the considerations relevant to assessing whether there is, or is likely to be, a substantial lessening of competition.</w:t>
      </w:r>
    </w:p>
    <w:p w14:paraId="087ADE37" w14:textId="6D4DB9B3" w:rsidR="001906D7" w:rsidRDefault="001906D7" w:rsidP="001906D7">
      <w:pPr>
        <w:pStyle w:val="FirstHeading"/>
      </w:pPr>
      <w:r>
        <w:t>13</w:t>
      </w:r>
      <w:r>
        <w:tab/>
      </w:r>
      <w:r w:rsidRPr="001906D7">
        <w:t>Should authorisation be available for conduct that might otherwise be captured by section 46?</w:t>
      </w:r>
    </w:p>
    <w:p w14:paraId="59D9FE90" w14:textId="6D6A1366" w:rsidR="001906D7" w:rsidRDefault="002140A7" w:rsidP="001906D7">
      <w:pPr>
        <w:pStyle w:val="NumberedParagraph"/>
      </w:pPr>
      <w:r>
        <w:t>A</w:t>
      </w:r>
      <w:r w:rsidR="001906D7">
        <w:t xml:space="preserve">uthorisation </w:t>
      </w:r>
      <w:r>
        <w:t xml:space="preserve">should be </w:t>
      </w:r>
      <w:r w:rsidR="001906D7">
        <w:t>available</w:t>
      </w:r>
      <w:r>
        <w:t xml:space="preserve"> as proposed by the Harper Panel</w:t>
      </w:r>
      <w:r w:rsidR="001906D7">
        <w:t>.</w:t>
      </w:r>
    </w:p>
    <w:p w14:paraId="30107D44" w14:textId="4CB3A91A" w:rsidR="001906D7" w:rsidRDefault="001906D7" w:rsidP="001906D7">
      <w:pPr>
        <w:pStyle w:val="FirstHeading"/>
      </w:pPr>
      <w:r>
        <w:t>15</w:t>
      </w:r>
      <w:r>
        <w:tab/>
        <w:t>Are there any other alternative amendments t</w:t>
      </w:r>
      <w:r w:rsidRPr="001906D7">
        <w:t>o the Harper Panel’s proposed provision that would be more effective than those canvassed in the Panel’s proposal</w:t>
      </w:r>
      <w:r>
        <w:t>?</w:t>
      </w:r>
    </w:p>
    <w:p w14:paraId="22B7C88B" w14:textId="46086014" w:rsidR="00B52507" w:rsidRDefault="001906D7" w:rsidP="001906D7">
      <w:pPr>
        <w:pStyle w:val="NumberedParagraph"/>
      </w:pPr>
      <w:r>
        <w:t xml:space="preserve">As an addition, rather than an alternative, to the </w:t>
      </w:r>
      <w:r w:rsidR="000661FB">
        <w:t xml:space="preserve">Harper Panel’s proposal, consideration should be given to whether a defence </w:t>
      </w:r>
      <w:r w:rsidR="00B52507">
        <w:t>should be available if the substantial lessening of competition brought about by the conduct would be outweighed by the public benefit. T</w:t>
      </w:r>
      <w:r w:rsidR="000661FB">
        <w:t>he respondent corporation would bear the onus of proof</w:t>
      </w:r>
      <w:r w:rsidR="00E70A7F">
        <w:t>.</w:t>
      </w:r>
    </w:p>
    <w:p w14:paraId="408D36EB" w14:textId="00026661" w:rsidR="008E61C7" w:rsidRPr="00515FB7" w:rsidRDefault="008E61C7" w:rsidP="001906D7">
      <w:pPr>
        <w:pStyle w:val="NumberedParagraph"/>
      </w:pPr>
      <w:r>
        <w:t xml:space="preserve">Consideration might also be given to whether </w:t>
      </w:r>
      <w:r w:rsidR="00515FB7">
        <w:t>the Harper Panel’s draft legislation should be narrowed so that the affected market is not</w:t>
      </w:r>
      <w:r w:rsidR="00BC053E">
        <w:t xml:space="preserve"> simply</w:t>
      </w:r>
      <w:r w:rsidR="00515FB7">
        <w:t xml:space="preserve"> </w:t>
      </w:r>
      <w:r w:rsidR="00BC053E">
        <w:t>any</w:t>
      </w:r>
      <w:r w:rsidR="00515FB7">
        <w:t xml:space="preserve"> market. On the present drafting, if a corporation had substantial market power in one market, and engaged in conduct that had a purpose, effect or likely effect of substantially lessening competition in an entirely unrelated market in which neither the corporation nor any related entity participated, that would be caught by the provision. In practical operation, that situation is unlikely to arise. However, </w:t>
      </w:r>
      <w:r w:rsidR="00C85635">
        <w:t>this</w:t>
      </w:r>
      <w:r w:rsidR="00515FB7">
        <w:t xml:space="preserve"> theoretical </w:t>
      </w:r>
      <w:r w:rsidR="006B4926">
        <w:t>breadth</w:t>
      </w:r>
      <w:r w:rsidR="00515FB7">
        <w:t xml:space="preserve"> could be readily </w:t>
      </w:r>
      <w:r w:rsidR="00C85635">
        <w:t>narrowed</w:t>
      </w:r>
      <w:r w:rsidR="00515FB7">
        <w:t xml:space="preserve"> by adding the words “</w:t>
      </w:r>
      <w:r w:rsidR="00515FB7" w:rsidRPr="00515FB7">
        <w:t>in which the corporation, or a related entity, supplies or acquires, or is likely to supply or acquire, good</w:t>
      </w:r>
      <w:r w:rsidR="000C2334">
        <w:t>s</w:t>
      </w:r>
      <w:r w:rsidR="00515FB7" w:rsidRPr="00515FB7">
        <w:t xml:space="preserve"> or services</w:t>
      </w:r>
      <w:r w:rsidR="00515FB7">
        <w:t xml:space="preserve">” to the end of the Harper Panel’s draft section 46(1). “Related entity” is not a term used in the CCA but it is a term used in the </w:t>
      </w:r>
      <w:r w:rsidR="00515FB7">
        <w:rPr>
          <w:i/>
        </w:rPr>
        <w:t xml:space="preserve">Corporations Act </w:t>
      </w:r>
      <w:r w:rsidR="00515FB7">
        <w:t xml:space="preserve">2001. If consideration was given to limiting the affected market, it would be appropriate to import the much wider expression used in the </w:t>
      </w:r>
      <w:r w:rsidR="00515FB7">
        <w:rPr>
          <w:i/>
        </w:rPr>
        <w:t>Corporations Act</w:t>
      </w:r>
      <w:r w:rsidR="00515FB7">
        <w:t xml:space="preserve"> to avoid the possibility that corporate structuring could avoid the reach of the prohibition.</w:t>
      </w:r>
    </w:p>
    <w:p w14:paraId="1087D523" w14:textId="3862D743" w:rsidR="00E70A7F" w:rsidRDefault="00E70A7F" w:rsidP="00E70A7F">
      <w:pPr>
        <w:pStyle w:val="FirstHeading"/>
      </w:pPr>
      <w:r>
        <w:t>16</w:t>
      </w:r>
      <w:r>
        <w:tab/>
      </w:r>
      <w:r w:rsidRPr="00E70A7F">
        <w:t>Which of options A through F above is preferred? What are the relative strengths and weaknesses of each option? What information can you provide regarding the regulatory impact of each option on businesses?</w:t>
      </w:r>
    </w:p>
    <w:p w14:paraId="42E90A32" w14:textId="6E277B8E" w:rsidR="00E70A7F" w:rsidRDefault="00B06CCC" w:rsidP="00E70A7F">
      <w:pPr>
        <w:pStyle w:val="NumberedParagraph"/>
      </w:pPr>
      <w:r>
        <w:t>F</w:t>
      </w:r>
      <w:r w:rsidR="00E70A7F">
        <w:t xml:space="preserve">or the reasons explained above, </w:t>
      </w:r>
      <w:r>
        <w:t xml:space="preserve">Option F is the best option </w:t>
      </w:r>
      <w:r w:rsidR="00E70A7F">
        <w:t xml:space="preserve">subject to </w:t>
      </w:r>
      <w:r w:rsidR="00D117B1">
        <w:t xml:space="preserve">three </w:t>
      </w:r>
      <w:r w:rsidR="00E70A7F">
        <w:t>qualifications:</w:t>
      </w:r>
    </w:p>
    <w:p w14:paraId="0138E660" w14:textId="0D9A081E" w:rsidR="00E70A7F" w:rsidRDefault="00E70A7F" w:rsidP="00E70A7F">
      <w:pPr>
        <w:pStyle w:val="NumberedParagraph"/>
        <w:numPr>
          <w:ilvl w:val="0"/>
          <w:numId w:val="10"/>
        </w:numPr>
      </w:pPr>
      <w:r>
        <w:t>the use of mandatory factors only if they have general application across Part IV of the CCA;</w:t>
      </w:r>
    </w:p>
    <w:p w14:paraId="1BC4A14D" w14:textId="77777777" w:rsidR="00D117B1" w:rsidRDefault="003D7F8C" w:rsidP="00E70A7F">
      <w:pPr>
        <w:pStyle w:val="NumberedParagraph"/>
        <w:numPr>
          <w:ilvl w:val="0"/>
          <w:numId w:val="10"/>
        </w:numPr>
      </w:pPr>
      <w:r>
        <w:t>consideration of a defence upon which the respondent corporation would bear the onus</w:t>
      </w:r>
      <w:r w:rsidR="00D117B1">
        <w:t>;</w:t>
      </w:r>
    </w:p>
    <w:p w14:paraId="3C25B4E8" w14:textId="1E0A17CD" w:rsidR="00E70A7F" w:rsidRDefault="00D117B1" w:rsidP="00E70A7F">
      <w:pPr>
        <w:pStyle w:val="NumberedParagraph"/>
        <w:numPr>
          <w:ilvl w:val="0"/>
          <w:numId w:val="10"/>
        </w:numPr>
      </w:pPr>
      <w:r>
        <w:t xml:space="preserve">consideration as to whether </w:t>
      </w:r>
      <w:r w:rsidR="00D4120A">
        <w:t>the phrase “any other market” should be limited to a market in which the corporation, or a related entity, supplies or acquires, or is likely to supply or acquire</w:t>
      </w:r>
      <w:r w:rsidR="00515FB7">
        <w:t>,</w:t>
      </w:r>
      <w:r w:rsidR="00D4120A">
        <w:t xml:space="preserve"> good</w:t>
      </w:r>
      <w:r w:rsidR="000C2334">
        <w:t>s</w:t>
      </w:r>
      <w:r w:rsidR="00D4120A">
        <w:t xml:space="preserve"> or services</w:t>
      </w:r>
      <w:r w:rsidR="003D7F8C">
        <w:t>.</w:t>
      </w:r>
    </w:p>
    <w:p w14:paraId="650EC566" w14:textId="495FFC7F" w:rsidR="003D7F8C" w:rsidRDefault="003D7F8C" w:rsidP="003D7F8C">
      <w:pPr>
        <w:pStyle w:val="FirstHeading"/>
      </w:pPr>
      <w:r>
        <w:t>17</w:t>
      </w:r>
      <w:r>
        <w:tab/>
      </w:r>
      <w:r w:rsidRPr="003D7F8C">
        <w:t>Are there any other options (not outlined above) that should be considered?</w:t>
      </w:r>
    </w:p>
    <w:p w14:paraId="5855E7FF" w14:textId="20BB2E7E" w:rsidR="00020671" w:rsidRDefault="003D7F8C" w:rsidP="006B5C8B">
      <w:pPr>
        <w:pStyle w:val="NumberedParagraph"/>
      </w:pPr>
      <w:r>
        <w:t xml:space="preserve">The only </w:t>
      </w:r>
      <w:r w:rsidR="00253FDE">
        <w:t>other alternative that ought to be considered is amending the section to prohibit a corporation with substantial market power from engaging in conduct with the effect or likely effect (but not purpose) of substantially lessening competition.</w:t>
      </w:r>
    </w:p>
    <w:p w14:paraId="45EDFF74" w14:textId="77777777" w:rsidR="003C436F" w:rsidRDefault="003C436F" w:rsidP="006B5C8B">
      <w:pPr>
        <w:pStyle w:val="NumberedParagraph"/>
      </w:pPr>
    </w:p>
    <w:p w14:paraId="5EB03876" w14:textId="373A5064" w:rsidR="007B3DF7" w:rsidRDefault="007B3DF7" w:rsidP="006B5C8B">
      <w:pPr>
        <w:pStyle w:val="NumberedParagraph"/>
      </w:pPr>
      <w:r>
        <w:t>Michael Hodge</w:t>
      </w:r>
    </w:p>
    <w:p w14:paraId="1A227430" w14:textId="62C7E3CD" w:rsidR="00CD15EF" w:rsidRPr="003129A6" w:rsidRDefault="007B3DF7" w:rsidP="006B5C8B">
      <w:pPr>
        <w:pStyle w:val="NumberedParagraph"/>
      </w:pPr>
      <w:r>
        <w:t>12 February 2016</w:t>
      </w:r>
    </w:p>
    <w:sectPr w:rsidR="00CD15EF" w:rsidRPr="003129A6" w:rsidSect="00515FB7">
      <w:pgSz w:w="11900" w:h="16840"/>
      <w:pgMar w:top="1134" w:right="1440" w:bottom="1134" w:left="144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Cambria">
    <w:panose1 w:val="02040503050406030204"/>
    <w:charset w:val="00"/>
    <w:family w:val="roman"/>
    <w:pitch w:val="variable"/>
    <w:sig w:usb0="E00002FF" w:usb1="400004FF" w:usb2="00000000" w:usb3="00000000" w:csb0="0000019F" w:csb1="00000000"/>
  </w:font>
  <w:font w:name="Century Schoolbook">
    <w:panose1 w:val="02040604050505020304"/>
    <w:charset w:val="00"/>
    <w:family w:val="roman"/>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D980053"/>
    <w:multiLevelType w:val="hybridMultilevel"/>
    <w:tmpl w:val="B1CEBF14"/>
    <w:lvl w:ilvl="0" w:tplc="FBE8864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1E2F305B"/>
    <w:multiLevelType w:val="hybridMultilevel"/>
    <w:tmpl w:val="DBB08FA4"/>
    <w:lvl w:ilvl="0" w:tplc="6C00CB90">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282D77E3"/>
    <w:multiLevelType w:val="multilevel"/>
    <w:tmpl w:val="6122BF98"/>
    <w:lvl w:ilvl="0">
      <w:start w:val="1"/>
      <w:numFmt w:val="decimal"/>
      <w:lvlText w:val="%1."/>
      <w:lvlJc w:val="left"/>
      <w:pPr>
        <w:tabs>
          <w:tab w:val="num" w:pos="720"/>
        </w:tabs>
        <w:ind w:left="720" w:hanging="720"/>
      </w:pPr>
      <w:rPr>
        <w:rFonts w:ascii="Palatino Linotype" w:hAnsi="Palatino Linotype" w:hint="default"/>
        <w:b w:val="0"/>
        <w:bCs w:val="0"/>
        <w:i w:val="0"/>
        <w:iCs w:val="0"/>
      </w:rPr>
    </w:lvl>
    <w:lvl w:ilvl="1">
      <w:start w:val="1"/>
      <w:numFmt w:val="lowerLetter"/>
      <w:lvlText w:val="(%2)"/>
      <w:lvlJc w:val="left"/>
      <w:pPr>
        <w:tabs>
          <w:tab w:val="num" w:pos="1440"/>
        </w:tabs>
        <w:ind w:left="1440" w:hanging="720"/>
      </w:pPr>
      <w:rPr>
        <w:rFonts w:hint="default"/>
        <w:b w:val="0"/>
      </w:rPr>
    </w:lvl>
    <w:lvl w:ilvl="2">
      <w:start w:val="1"/>
      <w:numFmt w:val="lowerRoman"/>
      <w:lvlText w:val="(%3)"/>
      <w:lvlJc w:val="left"/>
      <w:pPr>
        <w:tabs>
          <w:tab w:val="num" w:pos="2160"/>
        </w:tabs>
        <w:ind w:left="2160" w:hanging="720"/>
      </w:pPr>
      <w:rPr>
        <w:rFonts w:hint="default"/>
      </w:rPr>
    </w:lvl>
    <w:lvl w:ilvl="3">
      <w:start w:val="1"/>
      <w:numFmt w:val="upperLetter"/>
      <w:lvlText w:val="(%4)"/>
      <w:lvlJc w:val="left"/>
      <w:pPr>
        <w:tabs>
          <w:tab w:val="num" w:pos="2880"/>
        </w:tabs>
        <w:ind w:left="2880" w:hanging="720"/>
      </w:pPr>
      <w:rPr>
        <w:rFonts w:hint="default"/>
      </w:rPr>
    </w:lvl>
    <w:lvl w:ilvl="4">
      <w:start w:val="1"/>
      <w:numFmt w:val="decimal"/>
      <w:lvlText w:val="(%5)"/>
      <w:lvlJc w:val="left"/>
      <w:pPr>
        <w:tabs>
          <w:tab w:val="num" w:pos="2880"/>
        </w:tabs>
        <w:ind w:left="3600" w:hanging="720"/>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3">
    <w:nsid w:val="35861DE0"/>
    <w:multiLevelType w:val="hybridMultilevel"/>
    <w:tmpl w:val="6B261462"/>
    <w:lvl w:ilvl="0" w:tplc="9AF6381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49947B3F"/>
    <w:multiLevelType w:val="hybridMultilevel"/>
    <w:tmpl w:val="6B261462"/>
    <w:lvl w:ilvl="0" w:tplc="9AF6381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7CC26C11"/>
    <w:multiLevelType w:val="multilevel"/>
    <w:tmpl w:val="6122BF98"/>
    <w:lvl w:ilvl="0">
      <w:start w:val="1"/>
      <w:numFmt w:val="decimal"/>
      <w:lvlText w:val="%1."/>
      <w:lvlJc w:val="left"/>
      <w:pPr>
        <w:tabs>
          <w:tab w:val="num" w:pos="720"/>
        </w:tabs>
        <w:ind w:left="720" w:hanging="720"/>
      </w:pPr>
      <w:rPr>
        <w:rFonts w:ascii="Palatino Linotype" w:hAnsi="Palatino Linotype" w:hint="default"/>
        <w:b w:val="0"/>
        <w:bCs w:val="0"/>
        <w:i w:val="0"/>
        <w:iCs w:val="0"/>
      </w:rPr>
    </w:lvl>
    <w:lvl w:ilvl="1">
      <w:start w:val="1"/>
      <w:numFmt w:val="lowerLetter"/>
      <w:lvlText w:val="(%2)"/>
      <w:lvlJc w:val="left"/>
      <w:pPr>
        <w:tabs>
          <w:tab w:val="num" w:pos="1440"/>
        </w:tabs>
        <w:ind w:left="1440" w:hanging="720"/>
      </w:pPr>
      <w:rPr>
        <w:rFonts w:hint="default"/>
        <w:b w:val="0"/>
      </w:rPr>
    </w:lvl>
    <w:lvl w:ilvl="2">
      <w:start w:val="1"/>
      <w:numFmt w:val="lowerRoman"/>
      <w:lvlText w:val="(%3)"/>
      <w:lvlJc w:val="left"/>
      <w:pPr>
        <w:tabs>
          <w:tab w:val="num" w:pos="2160"/>
        </w:tabs>
        <w:ind w:left="2160" w:hanging="720"/>
      </w:pPr>
      <w:rPr>
        <w:rFonts w:hint="default"/>
      </w:rPr>
    </w:lvl>
    <w:lvl w:ilvl="3">
      <w:start w:val="1"/>
      <w:numFmt w:val="upperLetter"/>
      <w:lvlText w:val="(%4)"/>
      <w:lvlJc w:val="left"/>
      <w:pPr>
        <w:tabs>
          <w:tab w:val="num" w:pos="2880"/>
        </w:tabs>
        <w:ind w:left="2880" w:hanging="720"/>
      </w:pPr>
      <w:rPr>
        <w:rFonts w:hint="default"/>
      </w:rPr>
    </w:lvl>
    <w:lvl w:ilvl="4">
      <w:start w:val="1"/>
      <w:numFmt w:val="decimal"/>
      <w:lvlText w:val="(%5)"/>
      <w:lvlJc w:val="left"/>
      <w:pPr>
        <w:tabs>
          <w:tab w:val="num" w:pos="2880"/>
        </w:tabs>
        <w:ind w:left="3600" w:hanging="720"/>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num w:numId="1">
    <w:abstractNumId w:val="5"/>
  </w:num>
  <w:num w:numId="2">
    <w:abstractNumId w:val="5"/>
  </w:num>
  <w:num w:numId="3">
    <w:abstractNumId w:val="5"/>
  </w:num>
  <w:num w:numId="4">
    <w:abstractNumId w:val="5"/>
  </w:num>
  <w:num w:numId="5">
    <w:abstractNumId w:val="5"/>
  </w:num>
  <w:num w:numId="6">
    <w:abstractNumId w:val="2"/>
  </w:num>
  <w:num w:numId="7">
    <w:abstractNumId w:val="0"/>
  </w:num>
  <w:num w:numId="8">
    <w:abstractNumId w:val="4"/>
  </w:num>
  <w:num w:numId="9">
    <w:abstractNumId w:val="3"/>
  </w:num>
  <w:num w:numId="1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removePersonalInformation/>
  <w:removeDateAndTime/>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129A6"/>
    <w:rsid w:val="00020671"/>
    <w:rsid w:val="00025B7D"/>
    <w:rsid w:val="000661FB"/>
    <w:rsid w:val="000861BC"/>
    <w:rsid w:val="00090240"/>
    <w:rsid w:val="000B390C"/>
    <w:rsid w:val="000B7B32"/>
    <w:rsid w:val="000C2334"/>
    <w:rsid w:val="001114A9"/>
    <w:rsid w:val="00132596"/>
    <w:rsid w:val="00156792"/>
    <w:rsid w:val="00174826"/>
    <w:rsid w:val="001772BB"/>
    <w:rsid w:val="00180DCA"/>
    <w:rsid w:val="001906D7"/>
    <w:rsid w:val="001911D9"/>
    <w:rsid w:val="001F355E"/>
    <w:rsid w:val="001F56F0"/>
    <w:rsid w:val="002140A7"/>
    <w:rsid w:val="00231359"/>
    <w:rsid w:val="0024181B"/>
    <w:rsid w:val="00253FDE"/>
    <w:rsid w:val="00274F0F"/>
    <w:rsid w:val="002D4667"/>
    <w:rsid w:val="002E0389"/>
    <w:rsid w:val="003129A6"/>
    <w:rsid w:val="00315991"/>
    <w:rsid w:val="00367D85"/>
    <w:rsid w:val="00387E22"/>
    <w:rsid w:val="003A1639"/>
    <w:rsid w:val="003B60E7"/>
    <w:rsid w:val="003C436F"/>
    <w:rsid w:val="003C4AFF"/>
    <w:rsid w:val="003C78C4"/>
    <w:rsid w:val="003D7F8C"/>
    <w:rsid w:val="003E7BDB"/>
    <w:rsid w:val="00412942"/>
    <w:rsid w:val="004214EB"/>
    <w:rsid w:val="00430097"/>
    <w:rsid w:val="00444425"/>
    <w:rsid w:val="00456B03"/>
    <w:rsid w:val="0046724A"/>
    <w:rsid w:val="004715FA"/>
    <w:rsid w:val="00483667"/>
    <w:rsid w:val="00487328"/>
    <w:rsid w:val="004A2B66"/>
    <w:rsid w:val="004D10CD"/>
    <w:rsid w:val="004D76C3"/>
    <w:rsid w:val="00515FB7"/>
    <w:rsid w:val="005233F0"/>
    <w:rsid w:val="00525991"/>
    <w:rsid w:val="005279F7"/>
    <w:rsid w:val="00537E27"/>
    <w:rsid w:val="00575F68"/>
    <w:rsid w:val="00590C96"/>
    <w:rsid w:val="005D6B86"/>
    <w:rsid w:val="005D6E33"/>
    <w:rsid w:val="00611A3E"/>
    <w:rsid w:val="00613822"/>
    <w:rsid w:val="0065262C"/>
    <w:rsid w:val="00662DCB"/>
    <w:rsid w:val="00663180"/>
    <w:rsid w:val="0067208C"/>
    <w:rsid w:val="006851DD"/>
    <w:rsid w:val="006A48E4"/>
    <w:rsid w:val="006B4926"/>
    <w:rsid w:val="006B5C8B"/>
    <w:rsid w:val="006C3C0E"/>
    <w:rsid w:val="006D229C"/>
    <w:rsid w:val="006D25C1"/>
    <w:rsid w:val="006D3AED"/>
    <w:rsid w:val="006F0FB0"/>
    <w:rsid w:val="00703697"/>
    <w:rsid w:val="00712525"/>
    <w:rsid w:val="00727466"/>
    <w:rsid w:val="007776E2"/>
    <w:rsid w:val="007923F8"/>
    <w:rsid w:val="007B3DF7"/>
    <w:rsid w:val="007B7BA8"/>
    <w:rsid w:val="00810867"/>
    <w:rsid w:val="0081364D"/>
    <w:rsid w:val="00837DDD"/>
    <w:rsid w:val="00840BDF"/>
    <w:rsid w:val="00854C83"/>
    <w:rsid w:val="00872F32"/>
    <w:rsid w:val="00895CCC"/>
    <w:rsid w:val="008C3A5C"/>
    <w:rsid w:val="008D6837"/>
    <w:rsid w:val="008E61C7"/>
    <w:rsid w:val="008F4ACC"/>
    <w:rsid w:val="00911A81"/>
    <w:rsid w:val="00913C24"/>
    <w:rsid w:val="00935EB6"/>
    <w:rsid w:val="00960002"/>
    <w:rsid w:val="00972520"/>
    <w:rsid w:val="009767FD"/>
    <w:rsid w:val="00983A90"/>
    <w:rsid w:val="0099102A"/>
    <w:rsid w:val="009A73ED"/>
    <w:rsid w:val="009B240B"/>
    <w:rsid w:val="009D2006"/>
    <w:rsid w:val="009E6149"/>
    <w:rsid w:val="009F5E61"/>
    <w:rsid w:val="009F5EA3"/>
    <w:rsid w:val="00A03F8E"/>
    <w:rsid w:val="00A1067B"/>
    <w:rsid w:val="00A13122"/>
    <w:rsid w:val="00A15C30"/>
    <w:rsid w:val="00A44940"/>
    <w:rsid w:val="00A66618"/>
    <w:rsid w:val="00A67228"/>
    <w:rsid w:val="00A728B6"/>
    <w:rsid w:val="00A77234"/>
    <w:rsid w:val="00AC4633"/>
    <w:rsid w:val="00AD59FC"/>
    <w:rsid w:val="00AE6B67"/>
    <w:rsid w:val="00B04BA7"/>
    <w:rsid w:val="00B06CCC"/>
    <w:rsid w:val="00B1200C"/>
    <w:rsid w:val="00B13C17"/>
    <w:rsid w:val="00B433F7"/>
    <w:rsid w:val="00B52507"/>
    <w:rsid w:val="00B55A54"/>
    <w:rsid w:val="00B9156A"/>
    <w:rsid w:val="00B940FE"/>
    <w:rsid w:val="00BB0C18"/>
    <w:rsid w:val="00BB749B"/>
    <w:rsid w:val="00BC053E"/>
    <w:rsid w:val="00BC07E2"/>
    <w:rsid w:val="00BE0B88"/>
    <w:rsid w:val="00C05BD4"/>
    <w:rsid w:val="00C22C19"/>
    <w:rsid w:val="00C536B1"/>
    <w:rsid w:val="00C56E01"/>
    <w:rsid w:val="00C668A1"/>
    <w:rsid w:val="00C76976"/>
    <w:rsid w:val="00C85635"/>
    <w:rsid w:val="00CA0FD2"/>
    <w:rsid w:val="00CA2042"/>
    <w:rsid w:val="00CB268E"/>
    <w:rsid w:val="00CB7668"/>
    <w:rsid w:val="00CD15EF"/>
    <w:rsid w:val="00CE061E"/>
    <w:rsid w:val="00D047E7"/>
    <w:rsid w:val="00D04CCA"/>
    <w:rsid w:val="00D11552"/>
    <w:rsid w:val="00D117B1"/>
    <w:rsid w:val="00D17E79"/>
    <w:rsid w:val="00D4120A"/>
    <w:rsid w:val="00D47971"/>
    <w:rsid w:val="00D663BF"/>
    <w:rsid w:val="00D7206B"/>
    <w:rsid w:val="00D858DB"/>
    <w:rsid w:val="00DD3FC7"/>
    <w:rsid w:val="00DD6F85"/>
    <w:rsid w:val="00DE3AB8"/>
    <w:rsid w:val="00DF1075"/>
    <w:rsid w:val="00E4138E"/>
    <w:rsid w:val="00E5638F"/>
    <w:rsid w:val="00E70A7F"/>
    <w:rsid w:val="00E77B08"/>
    <w:rsid w:val="00EC0BFA"/>
    <w:rsid w:val="00EE705C"/>
    <w:rsid w:val="00F2614C"/>
    <w:rsid w:val="00F31E03"/>
    <w:rsid w:val="00F5012A"/>
    <w:rsid w:val="00F82607"/>
    <w:rsid w:val="00FA4E8C"/>
    <w:rsid w:val="00FC13F0"/>
    <w:rsid w:val="00FD3E15"/>
    <w:rsid w:val="00FE02EF"/>
    <w:rsid w:val="00FF378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67EADB3B"/>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F3787"/>
    <w:rPr>
      <w:rFonts w:ascii="Palatino Linotype" w:hAnsi="Palatino Linotype"/>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irstHeading">
    <w:name w:val="First Heading"/>
    <w:basedOn w:val="Normal"/>
    <w:autoRedefine/>
    <w:qFormat/>
    <w:rsid w:val="00537E27"/>
    <w:pPr>
      <w:spacing w:before="120" w:after="120"/>
      <w:ind w:left="720" w:hanging="720"/>
      <w:jc w:val="both"/>
    </w:pPr>
    <w:rPr>
      <w:rFonts w:eastAsia="Times New Roman" w:cs="Times New Roman"/>
      <w:b/>
      <w:szCs w:val="20"/>
      <w:lang w:val="en-AU" w:eastAsia="en-AU"/>
    </w:rPr>
  </w:style>
  <w:style w:type="paragraph" w:customStyle="1" w:styleId="NumberedParagraph">
    <w:name w:val="Numbered Paragraph"/>
    <w:basedOn w:val="Normal"/>
    <w:autoRedefine/>
    <w:qFormat/>
    <w:rsid w:val="006B5C8B"/>
    <w:pPr>
      <w:widowControl w:val="0"/>
      <w:autoSpaceDE w:val="0"/>
      <w:autoSpaceDN w:val="0"/>
      <w:adjustRightInd w:val="0"/>
      <w:spacing w:before="120" w:after="120" w:line="360" w:lineRule="auto"/>
      <w:jc w:val="both"/>
    </w:pPr>
    <w:rPr>
      <w:rFonts w:eastAsia="Times New Roman" w:cs="Times New Roman"/>
      <w:lang w:val="en-AU"/>
    </w:rPr>
  </w:style>
  <w:style w:type="paragraph" w:customStyle="1" w:styleId="Quotation">
    <w:name w:val="Quotation"/>
    <w:basedOn w:val="NumberedParagraph"/>
    <w:autoRedefine/>
    <w:qFormat/>
    <w:rsid w:val="00D11552"/>
    <w:pPr>
      <w:widowControl/>
      <w:autoSpaceDE/>
      <w:autoSpaceDN/>
      <w:adjustRightInd/>
      <w:spacing w:before="0"/>
      <w:ind w:left="1440" w:right="720"/>
      <w:contextualSpacing/>
    </w:pPr>
  </w:style>
  <w:style w:type="paragraph" w:customStyle="1" w:styleId="SecondHeading">
    <w:name w:val="Second Heading"/>
    <w:basedOn w:val="FirstHeading"/>
    <w:autoRedefine/>
    <w:qFormat/>
    <w:rsid w:val="00537E27"/>
    <w:pPr>
      <w:keepNext/>
    </w:pPr>
    <w:rPr>
      <w:b w:val="0"/>
      <w:u w:val="single"/>
    </w:rPr>
  </w:style>
  <w:style w:type="paragraph" w:customStyle="1" w:styleId="ThirdHeading">
    <w:name w:val="Third Heading"/>
    <w:basedOn w:val="FirstHeading"/>
    <w:autoRedefine/>
    <w:qFormat/>
    <w:rsid w:val="00537E27"/>
    <w:pPr>
      <w:jc w:val="left"/>
    </w:pPr>
    <w:rPr>
      <w:b w:val="0"/>
      <w:i/>
      <w:lang w:eastAsia="en-US"/>
    </w:rPr>
  </w:style>
  <w:style w:type="paragraph" w:styleId="FootnoteText">
    <w:name w:val="footnote text"/>
    <w:basedOn w:val="Normal"/>
    <w:link w:val="FootnoteTextChar"/>
    <w:uiPriority w:val="99"/>
    <w:unhideWhenUsed/>
    <w:rsid w:val="003C4AFF"/>
    <w:pPr>
      <w:ind w:left="720" w:hanging="720"/>
    </w:pPr>
    <w:rPr>
      <w:sz w:val="20"/>
    </w:rPr>
  </w:style>
  <w:style w:type="character" w:customStyle="1" w:styleId="FootnoteTextChar">
    <w:name w:val="Footnote Text Char"/>
    <w:basedOn w:val="DefaultParagraphFont"/>
    <w:link w:val="FootnoteText"/>
    <w:uiPriority w:val="99"/>
    <w:rsid w:val="003C4AFF"/>
    <w:rPr>
      <w:rFonts w:ascii="Century Schoolbook" w:hAnsi="Century Schoolbook"/>
      <w:sz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F3787"/>
    <w:rPr>
      <w:rFonts w:ascii="Palatino Linotype" w:hAnsi="Palatino Linotype"/>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irstHeading">
    <w:name w:val="First Heading"/>
    <w:basedOn w:val="Normal"/>
    <w:autoRedefine/>
    <w:qFormat/>
    <w:rsid w:val="00537E27"/>
    <w:pPr>
      <w:spacing w:before="120" w:after="120"/>
      <w:ind w:left="720" w:hanging="720"/>
      <w:jc w:val="both"/>
    </w:pPr>
    <w:rPr>
      <w:rFonts w:eastAsia="Times New Roman" w:cs="Times New Roman"/>
      <w:b/>
      <w:szCs w:val="20"/>
      <w:lang w:val="en-AU" w:eastAsia="en-AU"/>
    </w:rPr>
  </w:style>
  <w:style w:type="paragraph" w:customStyle="1" w:styleId="NumberedParagraph">
    <w:name w:val="Numbered Paragraph"/>
    <w:basedOn w:val="Normal"/>
    <w:autoRedefine/>
    <w:qFormat/>
    <w:rsid w:val="006B5C8B"/>
    <w:pPr>
      <w:widowControl w:val="0"/>
      <w:autoSpaceDE w:val="0"/>
      <w:autoSpaceDN w:val="0"/>
      <w:adjustRightInd w:val="0"/>
      <w:spacing w:before="120" w:after="120" w:line="360" w:lineRule="auto"/>
      <w:jc w:val="both"/>
    </w:pPr>
    <w:rPr>
      <w:rFonts w:eastAsia="Times New Roman" w:cs="Times New Roman"/>
      <w:lang w:val="en-AU"/>
    </w:rPr>
  </w:style>
  <w:style w:type="paragraph" w:customStyle="1" w:styleId="Quotation">
    <w:name w:val="Quotation"/>
    <w:basedOn w:val="NumberedParagraph"/>
    <w:autoRedefine/>
    <w:qFormat/>
    <w:rsid w:val="00D11552"/>
    <w:pPr>
      <w:widowControl/>
      <w:autoSpaceDE/>
      <w:autoSpaceDN/>
      <w:adjustRightInd/>
      <w:spacing w:before="0"/>
      <w:ind w:left="1440" w:right="720"/>
      <w:contextualSpacing/>
    </w:pPr>
  </w:style>
  <w:style w:type="paragraph" w:customStyle="1" w:styleId="SecondHeading">
    <w:name w:val="Second Heading"/>
    <w:basedOn w:val="FirstHeading"/>
    <w:autoRedefine/>
    <w:qFormat/>
    <w:rsid w:val="00537E27"/>
    <w:pPr>
      <w:keepNext/>
    </w:pPr>
    <w:rPr>
      <w:b w:val="0"/>
      <w:u w:val="single"/>
    </w:rPr>
  </w:style>
  <w:style w:type="paragraph" w:customStyle="1" w:styleId="ThirdHeading">
    <w:name w:val="Third Heading"/>
    <w:basedOn w:val="FirstHeading"/>
    <w:autoRedefine/>
    <w:qFormat/>
    <w:rsid w:val="00537E27"/>
    <w:pPr>
      <w:jc w:val="left"/>
    </w:pPr>
    <w:rPr>
      <w:b w:val="0"/>
      <w:i/>
      <w:lang w:eastAsia="en-US"/>
    </w:rPr>
  </w:style>
  <w:style w:type="paragraph" w:styleId="FootnoteText">
    <w:name w:val="footnote text"/>
    <w:basedOn w:val="Normal"/>
    <w:link w:val="FootnoteTextChar"/>
    <w:uiPriority w:val="99"/>
    <w:unhideWhenUsed/>
    <w:rsid w:val="003C4AFF"/>
    <w:pPr>
      <w:ind w:left="720" w:hanging="720"/>
    </w:pPr>
    <w:rPr>
      <w:sz w:val="20"/>
    </w:rPr>
  </w:style>
  <w:style w:type="character" w:customStyle="1" w:styleId="FootnoteTextChar">
    <w:name w:val="Footnote Text Char"/>
    <w:basedOn w:val="DefaultParagraphFont"/>
    <w:link w:val="FootnoteText"/>
    <w:uiPriority w:val="99"/>
    <w:rsid w:val="003C4AFF"/>
    <w:rPr>
      <w:rFonts w:ascii="Century Schoolbook" w:hAnsi="Century Schoolbook"/>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fontTable" Target="fontTable.xml"/><Relationship Id="rId5" Type="http://schemas.openxmlformats.org/officeDocument/2006/relationships/customXml" Target="../customXml/item5.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Treasury Document" ma:contentTypeID="0x010100E95D40E5DFEA714B90E88DB5CE07A6B500DDAFF7E1A29DE64F981B4EA50562BA75" ma:contentTypeVersion="16" ma:contentTypeDescription="" ma:contentTypeScope="" ma:versionID="601e91c2fe2e15d73230f7826fe5c554">
  <xsd:schema xmlns:xsd="http://www.w3.org/2001/XMLSchema" xmlns:xs="http://www.w3.org/2001/XMLSchema" xmlns:p="http://schemas.microsoft.com/office/2006/metadata/properties" xmlns:ns1="http://schemas.microsoft.com/sharepoint/v3" xmlns:ns2="d4dd4adf-ddb3-46a3-8d7c-fab3fb2a6bc7" xmlns:ns4="http://schemas.microsoft.com/sharepoint/v4" targetNamespace="http://schemas.microsoft.com/office/2006/metadata/properties" ma:root="true" ma:fieldsID="f909fbc57f3bd2a41427d943de09719e" ns1:_="" ns2:_="" ns4:_="">
    <xsd:import namespace="http://schemas.microsoft.com/sharepoint/v3"/>
    <xsd:import namespace="d4dd4adf-ddb3-46a3-8d7c-fab3fb2a6bc7"/>
    <xsd:import namespace="http://schemas.microsoft.com/sharepoint/v4"/>
    <xsd:element name="properties">
      <xsd:complexType>
        <xsd:sequence>
          <xsd:element name="documentManagement">
            <xsd:complexType>
              <xsd:all>
                <xsd:element ref="ns2:_dlc_DocId" minOccurs="0"/>
                <xsd:element ref="ns2:_dlc_DocIdUrl" minOccurs="0"/>
                <xsd:element ref="ns2:_dlc_DocIdPersistId" minOccurs="0"/>
                <xsd:element ref="ns2:lb508a4dc5e84436a0fe496b536466aa" minOccurs="0"/>
                <xsd:element ref="ns2:TaxCatchAll" minOccurs="0"/>
                <xsd:element ref="ns2:TaxCatchAllLabel" minOccurs="0"/>
                <xsd:element ref="ns1:_dlc_Exempt" minOccurs="0"/>
                <xsd:element ref="ns4:IconOverla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15" nillable="true" ma:displayName="Exempt from Policy" ma:hidden="true" ma:internalName="_dlc_Exempt"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d4dd4adf-ddb3-46a3-8d7c-fab3fb2a6bc7"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lb508a4dc5e84436a0fe496b536466aa" ma:index="11" nillable="true" ma:taxonomy="true" ma:internalName="lb508a4dc5e84436a0fe496b536466aa" ma:taxonomyFieldName="TSYRecordClass" ma:displayName="Record Class" ma:readOnly="false" ma:default="2;#TSY RA-9081 - Retain as national archives|bbf0bcde-1687-4ff2-bc57-f31b5d545d4b" ma:fieldId="{5b508a4d-c5e8-4436-a0fe-496b536466aa}" ma:sspId="77b7a547-5880-464f-83f8-cefe583c3af4" ma:termSetId="8c8a1de6-dea5-4e66-bd5a-b7b3daae0f37" ma:anchorId="00000000-0000-0000-0000-000000000000" ma:open="false" ma:isKeyword="false">
      <xsd:complexType>
        <xsd:sequence>
          <xsd:element ref="pc:Terms" minOccurs="0" maxOccurs="1"/>
        </xsd:sequence>
      </xsd:complexType>
    </xsd:element>
    <xsd:element name="TaxCatchAll" ma:index="12" nillable="true" ma:displayName="Taxonomy Catch All Column" ma:hidden="true" ma:list="{ab865bba-d958-40fe-b21d-a68aa7a39431}" ma:internalName="TaxCatchAll" ma:showField="CatchAllData" ma:web="d4dd4adf-ddb3-46a3-8d7c-fab3fb2a6bc7">
      <xsd:complexType>
        <xsd:complexContent>
          <xsd:extension base="dms:MultiChoiceLookup">
            <xsd:sequence>
              <xsd:element name="Value" type="dms:Lookup" maxOccurs="unbounded" minOccurs="0" nillable="true"/>
            </xsd:sequence>
          </xsd:extension>
        </xsd:complexContent>
      </xsd:complexType>
    </xsd:element>
    <xsd:element name="TaxCatchAllLabel" ma:index="13" nillable="true" ma:displayName="Taxonomy Catch All Column1" ma:hidden="true" ma:list="{ab865bba-d958-40fe-b21d-a68aa7a39431}" ma:internalName="TaxCatchAllLabel" ma:readOnly="true" ma:showField="CatchAllDataLabel" ma:web="d4dd4adf-ddb3-46a3-8d7c-fab3fb2a6bc7">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17"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Receiver>
    <Name>Policy Auditing</Name>
    <Synchronization>Synchronous</Synchronization>
    <Type>10001</Type>
    <SequenceNumber>1100</SequenceNumber>
    <Url/>
    <Assembly>Microsoft.Office.Policy, Version=15.0.0.0, Culture=neutral, PublicKeyToken=71e9bce111e9429c</Assembly>
    <Class>Microsoft.Office.RecordsManagement.Internal.AuditHandler</Class>
    <Data/>
    <Filter/>
  </Receiver>
  <Receiver>
    <Name>Policy Auditing</Name>
    <Synchronization>Synchronous</Synchronization>
    <Type>10002</Type>
    <SequenceNumber>1101</SequenceNumber>
    <Url/>
    <Assembly>Microsoft.Office.Policy, Version=15.0.0.0, Culture=neutral, PublicKeyToken=71e9bce111e9429c</Assembly>
    <Class>Microsoft.Office.RecordsManagement.Internal.AuditHandler</Class>
    <Data/>
    <Filter/>
  </Receiver>
  <Receiver>
    <Name>Policy Auditing</Name>
    <Synchronization>Synchronous</Synchronization>
    <Type>10004</Type>
    <SequenceNumber>1102</SequenceNumber>
    <Url/>
    <Assembly>Microsoft.Office.Policy, Version=15.0.0.0, Culture=neutral, PublicKeyToken=71e9bce111e9429c</Assembly>
    <Class>Microsoft.Office.RecordsManagement.Internal.AuditHandler</Class>
    <Data/>
    <Filter/>
  </Receiver>
  <Receiver>
    <Name>Policy Auditing</Name>
    <Synchronization>Synchronous</Synchronization>
    <Type>10006</Type>
    <SequenceNumber>1103</SequenceNumber>
    <Url/>
    <Assembly>Microsoft.Office.Policy, Version=15.0.0.0, Culture=neutral, PublicKeyToken=71e9bce111e9429c</Assembly>
    <Class>Microsoft.Office.RecordsManagement.Internal.AuditHandler</Class>
    <Data/>
    <Filter/>
  </Receiver>
</spe:Receivers>
</file>

<file path=customXml/item3.xml><?xml version="1.0" encoding="utf-8"?>
<p:properties xmlns:p="http://schemas.microsoft.com/office/2006/metadata/properties" xmlns:xsi="http://www.w3.org/2001/XMLSchema-instance" xmlns:pc="http://schemas.microsoft.com/office/infopath/2007/PartnerControls">
  <documentManagement>
    <lb508a4dc5e84436a0fe496b536466aa xmlns="d4dd4adf-ddb3-46a3-8d7c-fab3fb2a6bc7">
      <Terms xmlns="http://schemas.microsoft.com/office/infopath/2007/PartnerControls">
        <TermInfo xmlns="http://schemas.microsoft.com/office/infopath/2007/PartnerControls">
          <TermName xmlns="http://schemas.microsoft.com/office/infopath/2007/PartnerControls">TSY RA-9081 - Retain as national archives</TermName>
          <TermId xmlns="http://schemas.microsoft.com/office/infopath/2007/PartnerControls">bbf0bcde-1687-4ff2-bc57-f31b5d545d4b</TermId>
        </TermInfo>
      </Terms>
    </lb508a4dc5e84436a0fe496b536466aa>
    <_dlc_DocId xmlns="d4dd4adf-ddb3-46a3-8d7c-fab3fb2a6bc7">2015MG-133-11457</_dlc_DocId>
    <TaxCatchAll xmlns="d4dd4adf-ddb3-46a3-8d7c-fab3fb2a6bc7">
      <Value>2</Value>
    </TaxCatchAll>
    <_dlc_DocIdUrl xmlns="d4dd4adf-ddb3-46a3-8d7c-fab3fb2a6bc7">
      <Url>http://tweb/sites/mg/sbccpd/_layouts/15/DocIdRedir.aspx?ID=2015MG-133-11457</Url>
      <Description>2015MG-133-11457</Description>
    </_dlc_DocIdUrl>
    <IconOverlay xmlns="http://schemas.microsoft.com/sharepoint/v4" xsi:nil="true"/>
  </documentManagement>
</p:properties>
</file>

<file path=customXml/item4.xml><?xml version="1.0" encoding="utf-8"?>
<?mso-contentType ?>
<p:Policy xmlns:p="office.server.policy" id="" local="true">
  <p:Name>Treasury Document</p:Name>
  <p:Description/>
  <p:Statement/>
  <p:PolicyItems>
    <p:PolicyItem featureId="Microsoft.Office.RecordsManagement.PolicyFeatures.PolicyAudit" staticId="0x010100E95D40E5DFEA714B90E88DB5CE07A6B5|1757814118" UniqueId="a9d72903-fc04-4f75-b3ff-49d8bb0ce94d">
      <p:Name>Auditing</p:Name>
      <p:Description>Audits user actions on documents and list items to the Audit Log.</p:Description>
      <p:CustomData>
        <Audit>
          <Update/>
          <View/>
          <CheckInOut/>
          <MoveCopy/>
          <DeleteRestore/>
        </Audit>
      </p:CustomData>
    </p:PolicyItem>
  </p:PolicyItems>
</p:Policy>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75AFE8C-BF46-4B98-B855-3DBF38412F4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d4dd4adf-ddb3-46a3-8d7c-fab3fb2a6bc7"/>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98BE8AD-9B7D-4A1A-9A07-F5EB0445F602}">
  <ds:schemaRefs>
    <ds:schemaRef ds:uri="http://schemas.microsoft.com/sharepoint/events"/>
  </ds:schemaRefs>
</ds:datastoreItem>
</file>

<file path=customXml/itemProps3.xml><?xml version="1.0" encoding="utf-8"?>
<ds:datastoreItem xmlns:ds="http://schemas.openxmlformats.org/officeDocument/2006/customXml" ds:itemID="{2220E97C-36D4-4D67-A940-9A96AF94D9B4}">
  <ds:schemaRefs>
    <ds:schemaRef ds:uri="http://schemas.microsoft.com/office/2006/metadata/properties"/>
    <ds:schemaRef ds:uri="http://schemas.microsoft.com/office/infopath/2007/PartnerControls"/>
    <ds:schemaRef ds:uri="d4dd4adf-ddb3-46a3-8d7c-fab3fb2a6bc7"/>
    <ds:schemaRef ds:uri="http://schemas.microsoft.com/sharepoint/v4"/>
  </ds:schemaRefs>
</ds:datastoreItem>
</file>

<file path=customXml/itemProps4.xml><?xml version="1.0" encoding="utf-8"?>
<ds:datastoreItem xmlns:ds="http://schemas.openxmlformats.org/officeDocument/2006/customXml" ds:itemID="{042C8432-9F5A-4113-BAA1-7BD676A80602}">
  <ds:schemaRefs>
    <ds:schemaRef ds:uri="office.server.policy"/>
  </ds:schemaRefs>
</ds:datastoreItem>
</file>

<file path=customXml/itemProps5.xml><?xml version="1.0" encoding="utf-8"?>
<ds:datastoreItem xmlns:ds="http://schemas.openxmlformats.org/officeDocument/2006/customXml" ds:itemID="{C2D6DC44-07DB-4073-893E-17E8427AD5E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2883</Words>
  <Characters>15481</Characters>
  <Application>Microsoft Office Word</Application>
  <DocSecurity>0</DocSecurity>
  <Lines>245</Lines>
  <Paragraphs>63</Paragraphs>
  <ScaleCrop>false</ScaleCrop>
  <Company/>
  <LinksUpToDate>false</LinksUpToDate>
  <CharactersWithSpaces>18307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Hodge, Michael - Discussion paper: Options to strengthen the misuse of market power law</dc:title>
  <dc:subject/>
  <dc:creator/>
  <cp:keywords/>
  <dc:description/>
  <cp:lastModifiedBy/>
  <cp:revision>1</cp:revision>
  <dcterms:created xsi:type="dcterms:W3CDTF">2016-02-22T05:57:00Z</dcterms:created>
  <dcterms:modified xsi:type="dcterms:W3CDTF">2016-02-22T05:57:00Z</dcterms:modified>
  <dc:language>English</dc:language>
</cp:coreProperties>
</file>