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0BFDD"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486D2CAB" w14:textId="77777777" w:rsidR="00410974" w:rsidRPr="00927438" w:rsidRDefault="00410974" w:rsidP="00410974"/>
    <w:p w14:paraId="1F577C7B" w14:textId="77777777" w:rsidR="00410974" w:rsidRPr="00927438" w:rsidRDefault="00410974" w:rsidP="00410974">
      <w:r w:rsidRPr="00927438">
        <w:t>INSERT DATE, YEAR</w:t>
      </w:r>
      <w:r w:rsidR="009B410F" w:rsidRPr="00927438">
        <w:t>:  26 September 2016</w:t>
      </w:r>
    </w:p>
    <w:p w14:paraId="7A4F44C9" w14:textId="77777777" w:rsidR="00410974" w:rsidRPr="00927438" w:rsidRDefault="00410974">
      <w:r w:rsidRPr="00927438">
        <w:t>INSERT NAME, WINERY NAME</w:t>
      </w:r>
      <w:r w:rsidR="009B410F" w:rsidRPr="00927438">
        <w:t>: Glen Kelly, Artwine</w:t>
      </w:r>
    </w:p>
    <w:p w14:paraId="4E0EC582" w14:textId="77777777" w:rsidR="00282870" w:rsidRPr="00410974" w:rsidRDefault="00282870">
      <w:pPr>
        <w:rPr>
          <w:color w:val="FF0000"/>
        </w:rPr>
      </w:pPr>
    </w:p>
    <w:p w14:paraId="27BBFB0C"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719AC7A2"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rebatable wine, is the proposed definition of packaged and branded wine appropriate? </w:t>
      </w:r>
    </w:p>
    <w:p w14:paraId="59E98E9B"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010BAC7"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4CDA68C4"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71F2066F"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6CEDCB5B"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799F45A3"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6E3F677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r w:rsidR="00565A9B">
        <w:rPr>
          <w:rFonts w:ascii="Calibri" w:hAnsi="Calibri" w:cs="Calibri"/>
          <w:color w:val="000000"/>
        </w:rPr>
        <w:t>explanation</w:t>
      </w:r>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11720832"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5EB11B49"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4B70B768"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3E38DC3C"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2665C044" w14:textId="77777777" w:rsidR="00410974" w:rsidRDefault="00410974" w:rsidP="00410974">
      <w:pPr>
        <w:autoSpaceDE w:val="0"/>
        <w:autoSpaceDN w:val="0"/>
        <w:adjustRightInd w:val="0"/>
        <w:spacing w:after="200" w:line="240" w:lineRule="auto"/>
        <w:rPr>
          <w:rFonts w:ascii="Calibri" w:hAnsi="Calibri" w:cs="Calibri"/>
          <w:color w:val="000000"/>
        </w:rPr>
      </w:pPr>
    </w:p>
    <w:p w14:paraId="288DBBB5"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6066E1C6"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65F04CA8" w14:textId="77777777" w:rsidR="009F49D1" w:rsidRDefault="009F49D1" w:rsidP="009F49D1">
      <w:pPr>
        <w:autoSpaceDE w:val="0"/>
        <w:autoSpaceDN w:val="0"/>
        <w:adjustRightInd w:val="0"/>
        <w:spacing w:after="0" w:line="240" w:lineRule="auto"/>
      </w:pPr>
    </w:p>
    <w:p w14:paraId="4EB9C02B" w14:textId="77777777" w:rsidR="009B410F" w:rsidRPr="00927438" w:rsidRDefault="009B410F" w:rsidP="009F49D1">
      <w:pPr>
        <w:autoSpaceDE w:val="0"/>
        <w:autoSpaceDN w:val="0"/>
        <w:adjustRightInd w:val="0"/>
        <w:spacing w:after="0" w:line="240" w:lineRule="auto"/>
      </w:pPr>
      <w:r w:rsidRPr="00927438">
        <w:lastRenderedPageBreak/>
        <w:t xml:space="preserve">Artwine commenced in the wine industry (albeit under a different name which has been changed, although ABN remains the same) in 1997 when </w:t>
      </w:r>
      <w:r w:rsidR="00927438" w:rsidRPr="00927438">
        <w:t>the company</w:t>
      </w:r>
      <w:r w:rsidRPr="00927438">
        <w:t xml:space="preserve"> was established to purchase a vineyard.</w:t>
      </w:r>
    </w:p>
    <w:p w14:paraId="470E041E" w14:textId="77777777" w:rsidR="009B410F" w:rsidRPr="00927438" w:rsidRDefault="009B410F" w:rsidP="009F49D1">
      <w:pPr>
        <w:autoSpaceDE w:val="0"/>
        <w:autoSpaceDN w:val="0"/>
        <w:adjustRightInd w:val="0"/>
        <w:spacing w:after="0" w:line="240" w:lineRule="auto"/>
      </w:pPr>
    </w:p>
    <w:p w14:paraId="7FC0CC36" w14:textId="77777777" w:rsidR="009B410F" w:rsidRPr="00927438" w:rsidRDefault="009B410F" w:rsidP="009F49D1">
      <w:pPr>
        <w:autoSpaceDE w:val="0"/>
        <w:autoSpaceDN w:val="0"/>
        <w:adjustRightInd w:val="0"/>
        <w:spacing w:after="0" w:line="240" w:lineRule="auto"/>
      </w:pPr>
      <w:r w:rsidRPr="00927438">
        <w:t>That vineyard was subsequently sold, but we now own two vineyards in the Cl</w:t>
      </w:r>
      <w:r w:rsidR="00927438" w:rsidRPr="00927438">
        <w:t>are</w:t>
      </w:r>
      <w:r w:rsidRPr="00927438">
        <w:t xml:space="preserve"> Valley and a third in the Adelaide Hills.  In total we own about 25 hectares of vineyards, and continue to plant vines on vacant land on two of our </w:t>
      </w:r>
      <w:r w:rsidR="00927438" w:rsidRPr="00927438">
        <w:t xml:space="preserve">three </w:t>
      </w:r>
      <w:r w:rsidRPr="00927438">
        <w:t>properties.  We also have an architecturally designed, purpose-built Cellar Door on our Woodside SA (Adelaide Hills) vineyard.</w:t>
      </w:r>
    </w:p>
    <w:p w14:paraId="2267213D" w14:textId="77777777" w:rsidR="009B410F" w:rsidRPr="00927438" w:rsidRDefault="009B410F" w:rsidP="009F49D1">
      <w:pPr>
        <w:autoSpaceDE w:val="0"/>
        <w:autoSpaceDN w:val="0"/>
        <w:adjustRightInd w:val="0"/>
        <w:spacing w:after="0" w:line="240" w:lineRule="auto"/>
      </w:pPr>
    </w:p>
    <w:p w14:paraId="6972F11B" w14:textId="77777777" w:rsidR="009B410F" w:rsidRPr="00927438" w:rsidRDefault="009B410F" w:rsidP="009F49D1">
      <w:pPr>
        <w:autoSpaceDE w:val="0"/>
        <w:autoSpaceDN w:val="0"/>
        <w:adjustRightInd w:val="0"/>
        <w:spacing w:after="0" w:line="240" w:lineRule="auto"/>
      </w:pPr>
      <w:r w:rsidRPr="00927438">
        <w:t>This year (2016) we purchased grapes for the first time – Gruner Veltliner – in order that we could be part of the Gruner movement in the Adelaide Hills.  Other than that</w:t>
      </w:r>
      <w:r w:rsidR="00927438" w:rsidRPr="00927438">
        <w:t>,</w:t>
      </w:r>
      <w:r w:rsidRPr="00927438">
        <w:t xml:space="preserve"> we produce all of our own fruit, and also sell a considerable volume to other significant wine producers.</w:t>
      </w:r>
    </w:p>
    <w:p w14:paraId="799891BD" w14:textId="77777777" w:rsidR="009123FA" w:rsidRPr="00927438" w:rsidRDefault="009123FA" w:rsidP="009F49D1">
      <w:pPr>
        <w:autoSpaceDE w:val="0"/>
        <w:autoSpaceDN w:val="0"/>
        <w:adjustRightInd w:val="0"/>
        <w:spacing w:after="0" w:line="240" w:lineRule="auto"/>
      </w:pPr>
    </w:p>
    <w:p w14:paraId="6D1C064E" w14:textId="77777777" w:rsidR="009123FA" w:rsidRPr="00927438" w:rsidRDefault="009123FA" w:rsidP="009F49D1">
      <w:pPr>
        <w:autoSpaceDE w:val="0"/>
        <w:autoSpaceDN w:val="0"/>
        <w:adjustRightInd w:val="0"/>
        <w:spacing w:after="0" w:line="240" w:lineRule="auto"/>
      </w:pPr>
      <w:r w:rsidRPr="00927438">
        <w:t xml:space="preserve">Overall we are at the forefront in Australia of producing wines from “Alternative” varieties.  In addition to the traditional grape varieties we grow Tempranillo, Graciano, </w:t>
      </w:r>
      <w:r w:rsidR="00927438" w:rsidRPr="00927438">
        <w:t>Albarino,</w:t>
      </w:r>
      <w:r w:rsidRPr="00927438">
        <w:t xml:space="preserve"> Montepulciano, Fiano, Prosecco and Viognier.  The level of vineyards we have produce considerable employment as well as generating income for suppliers of posts, wire, chemicals and the like.</w:t>
      </w:r>
    </w:p>
    <w:p w14:paraId="672AC7E8" w14:textId="77777777" w:rsidR="009123FA" w:rsidRPr="00927438" w:rsidRDefault="009123FA" w:rsidP="009F49D1">
      <w:pPr>
        <w:autoSpaceDE w:val="0"/>
        <w:autoSpaceDN w:val="0"/>
        <w:adjustRightInd w:val="0"/>
        <w:spacing w:after="0" w:line="240" w:lineRule="auto"/>
      </w:pPr>
    </w:p>
    <w:p w14:paraId="6F440CEF" w14:textId="77777777" w:rsidR="009123FA" w:rsidRPr="00927438" w:rsidRDefault="009123FA" w:rsidP="009F49D1">
      <w:pPr>
        <w:autoSpaceDE w:val="0"/>
        <w:autoSpaceDN w:val="0"/>
        <w:adjustRightInd w:val="0"/>
        <w:spacing w:after="0" w:line="240" w:lineRule="auto"/>
      </w:pPr>
      <w:r w:rsidRPr="00927438">
        <w:t>At present we run our Cellar Door with the assistance of three staff and are looking to add another in the short term.</w:t>
      </w:r>
    </w:p>
    <w:p w14:paraId="20B11E1E" w14:textId="77777777" w:rsidR="009123FA" w:rsidRPr="00927438" w:rsidRDefault="009123FA" w:rsidP="009F49D1">
      <w:pPr>
        <w:autoSpaceDE w:val="0"/>
        <w:autoSpaceDN w:val="0"/>
        <w:adjustRightInd w:val="0"/>
        <w:spacing w:after="0" w:line="240" w:lineRule="auto"/>
      </w:pPr>
    </w:p>
    <w:p w14:paraId="45DD30F3" w14:textId="77777777" w:rsidR="009123FA" w:rsidRPr="00927438" w:rsidRDefault="009123FA" w:rsidP="009F49D1">
      <w:pPr>
        <w:autoSpaceDE w:val="0"/>
        <w:autoSpaceDN w:val="0"/>
        <w:adjustRightInd w:val="0"/>
        <w:spacing w:after="0" w:line="240" w:lineRule="auto"/>
      </w:pPr>
      <w:r w:rsidRPr="00927438">
        <w:t>Our winemaking is subcontracted to two different winemakers, as our volumes (we currently crush about 60 tonnes per year) do not justify the expense of setting up a ‘winery’.  Furthermore, we would be highly unlikely to obtain Council consent to construct a ‘winery’ on our home property, even if we could afford to, because of environmental factors.</w:t>
      </w:r>
    </w:p>
    <w:p w14:paraId="51ABC221" w14:textId="77777777" w:rsidR="009123FA" w:rsidRPr="00927438" w:rsidRDefault="009123FA" w:rsidP="009F49D1">
      <w:pPr>
        <w:autoSpaceDE w:val="0"/>
        <w:autoSpaceDN w:val="0"/>
        <w:adjustRightInd w:val="0"/>
        <w:spacing w:after="0" w:line="240" w:lineRule="auto"/>
      </w:pPr>
    </w:p>
    <w:p w14:paraId="45433C63" w14:textId="77777777" w:rsidR="009123FA" w:rsidRPr="00927438" w:rsidRDefault="00927438" w:rsidP="009F49D1">
      <w:pPr>
        <w:autoSpaceDE w:val="0"/>
        <w:autoSpaceDN w:val="0"/>
        <w:adjustRightInd w:val="0"/>
        <w:spacing w:after="0" w:line="240" w:lineRule="auto"/>
      </w:pPr>
      <w:r w:rsidRPr="00927438">
        <w:t>B</w:t>
      </w:r>
      <w:r w:rsidR="009123FA" w:rsidRPr="00927438">
        <w:t>ecause most of our wines are made in relatively small ‘batches’ – usually between 200 and 300 dozen per wine, our costs of production are significantly higher that many larger wine companies.  The ability to claim the Wine Equalization Tax allows us to price ou</w:t>
      </w:r>
      <w:r w:rsidRPr="00927438">
        <w:t>r</w:t>
      </w:r>
      <w:r w:rsidR="009123FA" w:rsidRPr="00927438">
        <w:t xml:space="preserve"> products at a competitive price and at the same time generate sufficient income to be profitable.  Should we be excluded </w:t>
      </w:r>
      <w:r w:rsidRPr="00927438">
        <w:t>from the Wine Equalization Tax simply because vineyards and Cellar Door do not classify as a ‘winery’ our profitability would be abolished and we would need to either close our Cellar Door or undertake all service ourselves to eliminate the staff costs.</w:t>
      </w:r>
    </w:p>
    <w:p w14:paraId="3F7077FC" w14:textId="77777777" w:rsidR="009B410F" w:rsidRPr="00742733" w:rsidRDefault="009B410F" w:rsidP="009F49D1">
      <w:pPr>
        <w:autoSpaceDE w:val="0"/>
        <w:autoSpaceDN w:val="0"/>
        <w:adjustRightInd w:val="0"/>
        <w:spacing w:after="0" w:line="240" w:lineRule="auto"/>
        <w:rPr>
          <w:color w:val="FF0000"/>
        </w:rPr>
      </w:pPr>
    </w:p>
    <w:p w14:paraId="58B7C61A"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1D37BF32" w14:textId="77777777" w:rsidR="00E84C9B" w:rsidRDefault="00E84C9B" w:rsidP="009F49D1">
      <w:pPr>
        <w:autoSpaceDE w:val="0"/>
        <w:autoSpaceDN w:val="0"/>
        <w:adjustRightInd w:val="0"/>
        <w:spacing w:after="0" w:line="240" w:lineRule="auto"/>
      </w:pPr>
    </w:p>
    <w:p w14:paraId="7EAE9C47"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0BAE5C10" w14:textId="77777777" w:rsidR="00742733" w:rsidRDefault="00742733" w:rsidP="009F49D1">
      <w:pPr>
        <w:autoSpaceDE w:val="0"/>
        <w:autoSpaceDN w:val="0"/>
        <w:adjustRightInd w:val="0"/>
        <w:spacing w:after="0" w:line="240" w:lineRule="auto"/>
      </w:pPr>
    </w:p>
    <w:p w14:paraId="3B0E867D"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374A377C" w14:textId="77777777" w:rsidR="00295DE1" w:rsidRDefault="00295DE1" w:rsidP="00295DE1">
      <w:pPr>
        <w:pStyle w:val="Default"/>
        <w:rPr>
          <w:rFonts w:ascii="Calibri" w:hAnsi="Calibri"/>
          <w:sz w:val="22"/>
          <w:szCs w:val="22"/>
        </w:rPr>
      </w:pPr>
    </w:p>
    <w:p w14:paraId="353F743A"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5E5AA94A" w14:textId="77777777" w:rsidR="00742733" w:rsidRDefault="00742733" w:rsidP="009F49D1">
      <w:pPr>
        <w:autoSpaceDE w:val="0"/>
        <w:autoSpaceDN w:val="0"/>
        <w:adjustRightInd w:val="0"/>
        <w:spacing w:after="0" w:line="240" w:lineRule="auto"/>
      </w:pPr>
    </w:p>
    <w:p w14:paraId="571D5C04" w14:textId="77777777" w:rsidR="00F77436" w:rsidRDefault="00F77436" w:rsidP="009F49D1">
      <w:pPr>
        <w:autoSpaceDE w:val="0"/>
        <w:autoSpaceDN w:val="0"/>
        <w:adjustRightInd w:val="0"/>
        <w:spacing w:after="0" w:line="240" w:lineRule="auto"/>
      </w:pPr>
    </w:p>
    <w:p w14:paraId="1C5FE105" w14:textId="77777777" w:rsidR="00742733" w:rsidRDefault="00F77436" w:rsidP="004E2D08">
      <w:pPr>
        <w:autoSpaceDE w:val="0"/>
        <w:autoSpaceDN w:val="0"/>
        <w:adjustRightInd w:val="0"/>
        <w:spacing w:after="0" w:line="240" w:lineRule="auto"/>
        <w:rPr>
          <w:rFonts w:ascii="Calibri" w:hAnsi="Calibri" w:cs="Calibri"/>
          <w:color w:val="000000"/>
        </w:rPr>
      </w:pPr>
      <w:r w:rsidRPr="004E2D08">
        <w:lastRenderedPageBreak/>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25482EF2" w14:textId="77777777" w:rsidR="00742733" w:rsidRDefault="00742733" w:rsidP="004E2D08">
      <w:pPr>
        <w:autoSpaceDE w:val="0"/>
        <w:autoSpaceDN w:val="0"/>
        <w:adjustRightInd w:val="0"/>
        <w:spacing w:after="0" w:line="240" w:lineRule="auto"/>
        <w:rPr>
          <w:rFonts w:ascii="Calibri" w:hAnsi="Calibri" w:cs="Calibri"/>
          <w:color w:val="000000"/>
        </w:rPr>
      </w:pPr>
    </w:p>
    <w:p w14:paraId="5D3DC13F"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252B64BB" w14:textId="77777777" w:rsidR="00742733" w:rsidRDefault="00742733" w:rsidP="004E2D08">
      <w:pPr>
        <w:autoSpaceDE w:val="0"/>
        <w:autoSpaceDN w:val="0"/>
        <w:adjustRightInd w:val="0"/>
        <w:spacing w:after="0" w:line="240" w:lineRule="auto"/>
        <w:rPr>
          <w:rFonts w:ascii="Calibri" w:hAnsi="Calibri" w:cs="Calibri"/>
          <w:color w:val="000000"/>
        </w:rPr>
      </w:pPr>
    </w:p>
    <w:p w14:paraId="0CC4216B"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5B42C449" w14:textId="77777777" w:rsidR="00742733" w:rsidRDefault="00742733" w:rsidP="004E2D08">
      <w:pPr>
        <w:autoSpaceDE w:val="0"/>
        <w:autoSpaceDN w:val="0"/>
        <w:adjustRightInd w:val="0"/>
        <w:spacing w:after="0" w:line="240" w:lineRule="auto"/>
        <w:rPr>
          <w:rFonts w:ascii="Calibri" w:hAnsi="Calibri" w:cs="Calibri"/>
          <w:color w:val="000000"/>
        </w:rPr>
      </w:pPr>
    </w:p>
    <w:p w14:paraId="2B710A20" w14:textId="77777777" w:rsidR="004E2D08" w:rsidRDefault="004E2D08" w:rsidP="004E2D08">
      <w:pPr>
        <w:autoSpaceDE w:val="0"/>
        <w:autoSpaceDN w:val="0"/>
        <w:adjustRightInd w:val="0"/>
        <w:spacing w:after="0" w:line="240" w:lineRule="auto"/>
        <w:rPr>
          <w:rFonts w:ascii="Calibri" w:hAnsi="Calibri" w:cs="Calibri"/>
          <w:color w:val="000000"/>
        </w:rPr>
      </w:pPr>
    </w:p>
    <w:p w14:paraId="2A9E2CCB"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11291FF2" w14:textId="77777777" w:rsidR="00742733" w:rsidRDefault="00742733" w:rsidP="004E2D08">
      <w:pPr>
        <w:autoSpaceDE w:val="0"/>
        <w:autoSpaceDN w:val="0"/>
        <w:adjustRightInd w:val="0"/>
        <w:spacing w:after="0" w:line="240" w:lineRule="auto"/>
        <w:rPr>
          <w:rFonts w:ascii="Calibri" w:hAnsi="Calibri" w:cs="Calibri"/>
          <w:color w:val="000000"/>
        </w:rPr>
      </w:pPr>
    </w:p>
    <w:p w14:paraId="71BB433B" w14:textId="77777777" w:rsidR="00742733" w:rsidRDefault="00742733" w:rsidP="004E2D08">
      <w:pPr>
        <w:autoSpaceDE w:val="0"/>
        <w:autoSpaceDN w:val="0"/>
        <w:adjustRightInd w:val="0"/>
        <w:spacing w:after="0" w:line="240" w:lineRule="auto"/>
        <w:rPr>
          <w:rFonts w:ascii="Calibri" w:hAnsi="Calibri" w:cs="Calibri"/>
          <w:color w:val="000000"/>
        </w:rPr>
      </w:pPr>
    </w:p>
    <w:p w14:paraId="380F10BE" w14:textId="77777777" w:rsidR="00742733" w:rsidRDefault="0092743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Yours s</w:t>
      </w:r>
      <w:r w:rsidR="00742733">
        <w:rPr>
          <w:rFonts w:ascii="Calibri" w:hAnsi="Calibri" w:cs="Calibri"/>
          <w:color w:val="000000"/>
        </w:rPr>
        <w:t>incerely,</w:t>
      </w:r>
    </w:p>
    <w:p w14:paraId="3502087D" w14:textId="77777777" w:rsidR="00927438" w:rsidRDefault="00927438" w:rsidP="004E2D08">
      <w:pPr>
        <w:autoSpaceDE w:val="0"/>
        <w:autoSpaceDN w:val="0"/>
        <w:adjustRightInd w:val="0"/>
        <w:spacing w:after="0" w:line="240" w:lineRule="auto"/>
        <w:rPr>
          <w:rFonts w:ascii="Calibri" w:hAnsi="Calibri" w:cs="Calibri"/>
        </w:rPr>
      </w:pPr>
    </w:p>
    <w:p w14:paraId="2A0C777B" w14:textId="77777777" w:rsidR="00927438" w:rsidRDefault="00927438" w:rsidP="004E2D08">
      <w:pPr>
        <w:autoSpaceDE w:val="0"/>
        <w:autoSpaceDN w:val="0"/>
        <w:adjustRightInd w:val="0"/>
        <w:spacing w:after="0" w:line="240" w:lineRule="auto"/>
        <w:rPr>
          <w:rFonts w:ascii="Calibri" w:hAnsi="Calibri" w:cs="Calibri"/>
        </w:rPr>
      </w:pPr>
      <w:r>
        <w:rPr>
          <w:rFonts w:ascii="Calibri" w:hAnsi="Calibri" w:cs="Calibri"/>
          <w:noProof/>
          <w:lang w:eastAsia="en-AU"/>
        </w:rPr>
        <w:drawing>
          <wp:inline distT="0" distB="0" distL="0" distR="0" wp14:anchorId="39C0CFF5" wp14:editId="34F6CAE3">
            <wp:extent cx="837089" cy="48244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n si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6858" cy="482311"/>
                    </a:xfrm>
                    <a:prstGeom prst="rect">
                      <a:avLst/>
                    </a:prstGeom>
                  </pic:spPr>
                </pic:pic>
              </a:graphicData>
            </a:graphic>
          </wp:inline>
        </w:drawing>
      </w:r>
    </w:p>
    <w:p w14:paraId="3B507BE1" w14:textId="77777777" w:rsidR="00927438" w:rsidRPr="00927438" w:rsidRDefault="00927438" w:rsidP="004E2D08">
      <w:pPr>
        <w:autoSpaceDE w:val="0"/>
        <w:autoSpaceDN w:val="0"/>
        <w:adjustRightInd w:val="0"/>
        <w:spacing w:after="0" w:line="240" w:lineRule="auto"/>
        <w:rPr>
          <w:rFonts w:ascii="Calibri" w:hAnsi="Calibri" w:cs="Calibri"/>
        </w:rPr>
      </w:pPr>
      <w:r w:rsidRPr="00927438">
        <w:rPr>
          <w:rFonts w:ascii="Calibri" w:hAnsi="Calibri" w:cs="Calibri"/>
        </w:rPr>
        <w:t>Glen Kelly</w:t>
      </w:r>
    </w:p>
    <w:p w14:paraId="19AD4A8C" w14:textId="77777777" w:rsidR="00927438" w:rsidRPr="00927438" w:rsidRDefault="00927438" w:rsidP="004E2D08">
      <w:pPr>
        <w:autoSpaceDE w:val="0"/>
        <w:autoSpaceDN w:val="0"/>
        <w:adjustRightInd w:val="0"/>
        <w:spacing w:after="0" w:line="240" w:lineRule="auto"/>
        <w:rPr>
          <w:rFonts w:ascii="Calibri" w:hAnsi="Calibri" w:cs="Calibri"/>
        </w:rPr>
      </w:pPr>
      <w:r w:rsidRPr="00927438">
        <w:rPr>
          <w:rFonts w:ascii="Calibri" w:hAnsi="Calibri" w:cs="Calibri"/>
        </w:rPr>
        <w:t>Director</w:t>
      </w:r>
    </w:p>
    <w:p w14:paraId="28118E3D" w14:textId="77777777" w:rsidR="00927438" w:rsidRPr="00927438" w:rsidRDefault="00927438" w:rsidP="004E2D08">
      <w:pPr>
        <w:autoSpaceDE w:val="0"/>
        <w:autoSpaceDN w:val="0"/>
        <w:adjustRightInd w:val="0"/>
        <w:spacing w:after="0" w:line="240" w:lineRule="auto"/>
        <w:rPr>
          <w:rFonts w:ascii="Calibri" w:hAnsi="Calibri" w:cs="Calibri"/>
        </w:rPr>
      </w:pPr>
      <w:r w:rsidRPr="00927438">
        <w:rPr>
          <w:rFonts w:ascii="Calibri" w:hAnsi="Calibri" w:cs="Calibri"/>
        </w:rPr>
        <w:t>Artwine Pty Ltd</w:t>
      </w:r>
    </w:p>
    <w:p w14:paraId="448A8889" w14:textId="77777777" w:rsidR="00927438" w:rsidRPr="00927438" w:rsidRDefault="00927438" w:rsidP="004E2D08">
      <w:pPr>
        <w:autoSpaceDE w:val="0"/>
        <w:autoSpaceDN w:val="0"/>
        <w:adjustRightInd w:val="0"/>
        <w:spacing w:after="0" w:line="240" w:lineRule="auto"/>
        <w:rPr>
          <w:rFonts w:ascii="Calibri" w:hAnsi="Calibri" w:cs="Calibri"/>
        </w:rPr>
      </w:pPr>
      <w:r w:rsidRPr="00927438">
        <w:rPr>
          <w:rFonts w:ascii="Calibri" w:hAnsi="Calibri" w:cs="Calibri"/>
        </w:rPr>
        <w:t>72 Bird in Hand Road</w:t>
      </w:r>
    </w:p>
    <w:p w14:paraId="11A4C976" w14:textId="77777777" w:rsidR="00927438" w:rsidRDefault="00927438" w:rsidP="004E2D08">
      <w:pPr>
        <w:autoSpaceDE w:val="0"/>
        <w:autoSpaceDN w:val="0"/>
        <w:adjustRightInd w:val="0"/>
        <w:spacing w:after="0" w:line="240" w:lineRule="auto"/>
        <w:rPr>
          <w:rFonts w:ascii="Calibri" w:hAnsi="Calibri" w:cs="Calibri"/>
        </w:rPr>
      </w:pPr>
      <w:r w:rsidRPr="00927438">
        <w:rPr>
          <w:rFonts w:ascii="Calibri" w:hAnsi="Calibri" w:cs="Calibri"/>
        </w:rPr>
        <w:t>Woodside SA 5244</w:t>
      </w:r>
    </w:p>
    <w:p w14:paraId="79D17799" w14:textId="77777777" w:rsidR="00512C62" w:rsidRDefault="00512C62" w:rsidP="004E2D08">
      <w:pPr>
        <w:autoSpaceDE w:val="0"/>
        <w:autoSpaceDN w:val="0"/>
        <w:adjustRightInd w:val="0"/>
        <w:spacing w:after="0" w:line="240" w:lineRule="auto"/>
        <w:rPr>
          <w:rFonts w:ascii="Calibri" w:hAnsi="Calibri" w:cs="Calibri"/>
        </w:rPr>
      </w:pPr>
    </w:p>
    <w:p w14:paraId="73E63093" w14:textId="77777777" w:rsidR="00512C62" w:rsidRDefault="00512C62" w:rsidP="004E2D08">
      <w:pPr>
        <w:autoSpaceDE w:val="0"/>
        <w:autoSpaceDN w:val="0"/>
        <w:adjustRightInd w:val="0"/>
        <w:spacing w:after="0" w:line="240" w:lineRule="auto"/>
        <w:rPr>
          <w:rFonts w:ascii="Calibri" w:hAnsi="Calibri" w:cs="Calibri"/>
        </w:rPr>
      </w:pPr>
      <w:r>
        <w:rPr>
          <w:rFonts w:ascii="Calibri" w:hAnsi="Calibri" w:cs="Calibri"/>
        </w:rPr>
        <w:t>Telephone: 08 8490 4200</w:t>
      </w:r>
    </w:p>
    <w:p w14:paraId="60E26B51" w14:textId="77777777" w:rsidR="00512C62" w:rsidRDefault="00512C62" w:rsidP="004E2D08">
      <w:pPr>
        <w:autoSpaceDE w:val="0"/>
        <w:autoSpaceDN w:val="0"/>
        <w:adjustRightInd w:val="0"/>
        <w:spacing w:after="0" w:line="240" w:lineRule="auto"/>
        <w:rPr>
          <w:rFonts w:ascii="Calibri" w:hAnsi="Calibri" w:cs="Calibri"/>
        </w:rPr>
      </w:pPr>
      <w:r>
        <w:rPr>
          <w:rFonts w:ascii="Calibri" w:hAnsi="Calibri" w:cs="Calibri"/>
        </w:rPr>
        <w:t>Mobile: 0439 668 099</w:t>
      </w:r>
    </w:p>
    <w:p w14:paraId="693BDC43" w14:textId="77777777" w:rsidR="00512C62" w:rsidRDefault="00512C62" w:rsidP="004E2D08">
      <w:pPr>
        <w:autoSpaceDE w:val="0"/>
        <w:autoSpaceDN w:val="0"/>
        <w:adjustRightInd w:val="0"/>
        <w:spacing w:after="0" w:line="240" w:lineRule="auto"/>
        <w:rPr>
          <w:rFonts w:ascii="Calibri" w:hAnsi="Calibri" w:cs="Calibri"/>
        </w:rPr>
      </w:pPr>
      <w:r>
        <w:rPr>
          <w:rFonts w:ascii="Calibri" w:hAnsi="Calibri" w:cs="Calibri"/>
        </w:rPr>
        <w:t>Email: glen@artwine.com.au</w:t>
      </w:r>
    </w:p>
    <w:p w14:paraId="387DEE60" w14:textId="77777777" w:rsidR="00512C62" w:rsidRPr="00927438" w:rsidRDefault="00512C62" w:rsidP="004E2D08">
      <w:pPr>
        <w:autoSpaceDE w:val="0"/>
        <w:autoSpaceDN w:val="0"/>
        <w:adjustRightInd w:val="0"/>
        <w:spacing w:after="0" w:line="240" w:lineRule="auto"/>
        <w:rPr>
          <w:rFonts w:ascii="Calibri" w:hAnsi="Calibri" w:cs="Calibri"/>
        </w:rPr>
      </w:pPr>
    </w:p>
    <w:p w14:paraId="522EB243" w14:textId="77777777" w:rsidR="00927438" w:rsidRDefault="00927438" w:rsidP="004E2D08">
      <w:pPr>
        <w:autoSpaceDE w:val="0"/>
        <w:autoSpaceDN w:val="0"/>
        <w:adjustRightInd w:val="0"/>
        <w:spacing w:after="0" w:line="240" w:lineRule="auto"/>
        <w:rPr>
          <w:rFonts w:ascii="Calibri" w:hAnsi="Calibri" w:cs="Calibri"/>
          <w:color w:val="FF0000"/>
        </w:rPr>
      </w:pPr>
    </w:p>
    <w:p w14:paraId="6479A8ED" w14:textId="77777777" w:rsidR="00927438" w:rsidRDefault="00927438" w:rsidP="004E2D08">
      <w:pPr>
        <w:autoSpaceDE w:val="0"/>
        <w:autoSpaceDN w:val="0"/>
        <w:adjustRightInd w:val="0"/>
        <w:spacing w:after="0" w:line="240" w:lineRule="auto"/>
        <w:rPr>
          <w:rFonts w:ascii="Calibri" w:hAnsi="Calibri" w:cs="Calibri"/>
          <w:color w:val="FF0000"/>
        </w:rPr>
      </w:pPr>
    </w:p>
    <w:p w14:paraId="2A527E37" w14:textId="77777777" w:rsidR="004E2D08" w:rsidRDefault="004E2D08" w:rsidP="004E2D08">
      <w:pPr>
        <w:autoSpaceDE w:val="0"/>
        <w:autoSpaceDN w:val="0"/>
        <w:adjustRightInd w:val="0"/>
        <w:spacing w:after="0" w:line="240" w:lineRule="auto"/>
        <w:rPr>
          <w:rFonts w:ascii="Calibri" w:hAnsi="Calibri" w:cs="Calibri"/>
          <w:color w:val="000000"/>
        </w:rPr>
      </w:pPr>
    </w:p>
    <w:sectPr w:rsidR="004E2D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7BEF1" w14:textId="77777777" w:rsidR="002C585E" w:rsidRDefault="002C585E" w:rsidP="004E2D08">
      <w:pPr>
        <w:spacing w:after="0" w:line="240" w:lineRule="auto"/>
      </w:pPr>
      <w:r>
        <w:separator/>
      </w:r>
    </w:p>
  </w:endnote>
  <w:endnote w:type="continuationSeparator" w:id="0">
    <w:p w14:paraId="764C8C77" w14:textId="77777777" w:rsidR="002C585E" w:rsidRDefault="002C585E" w:rsidP="004E2D08">
      <w:pPr>
        <w:spacing w:after="0" w:line="240" w:lineRule="auto"/>
      </w:pPr>
      <w:r>
        <w:continuationSeparator/>
      </w:r>
    </w:p>
  </w:endnote>
  <w:endnote w:id="1">
    <w:p w14:paraId="2D01A208"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32B1E1E0"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23AFB" w14:textId="77777777" w:rsidR="002C585E" w:rsidRDefault="002C585E" w:rsidP="004E2D08">
      <w:pPr>
        <w:spacing w:after="0" w:line="240" w:lineRule="auto"/>
      </w:pPr>
      <w:r>
        <w:separator/>
      </w:r>
    </w:p>
  </w:footnote>
  <w:footnote w:type="continuationSeparator" w:id="0">
    <w:p w14:paraId="690D41F4" w14:textId="77777777" w:rsidR="002C585E" w:rsidRDefault="002C585E"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82870"/>
    <w:rsid w:val="00295DE1"/>
    <w:rsid w:val="002C585E"/>
    <w:rsid w:val="002F3400"/>
    <w:rsid w:val="00410974"/>
    <w:rsid w:val="004E2D08"/>
    <w:rsid w:val="00512C62"/>
    <w:rsid w:val="00565A9B"/>
    <w:rsid w:val="005C02A7"/>
    <w:rsid w:val="006B1003"/>
    <w:rsid w:val="00742733"/>
    <w:rsid w:val="008D68C6"/>
    <w:rsid w:val="009123FA"/>
    <w:rsid w:val="00927438"/>
    <w:rsid w:val="00990507"/>
    <w:rsid w:val="009B410F"/>
    <w:rsid w:val="009F49D1"/>
    <w:rsid w:val="00A13B86"/>
    <w:rsid w:val="00AA6CFB"/>
    <w:rsid w:val="00DF53DA"/>
    <w:rsid w:val="00E45AD8"/>
    <w:rsid w:val="00E50E5A"/>
    <w:rsid w:val="00E84C9B"/>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2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4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2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4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2016RG-284-257</_dlc_DocId>
    <_dlc_DocIdUrl xmlns="9f7bc583-7cbe-45b9-a2bd-8bbb6543b37e">
      <Url>http://tweb/sites/rg/iitd/alcoh/_layouts/15/DocIdRedir.aspx?ID=2016RG-284-257</Url>
      <Description>2016RG-284-257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84CF-EA03-48C0-9B6C-FC94ADB4EE3E}"/>
</file>

<file path=customXml/itemProps2.xml><?xml version="1.0" encoding="utf-8"?>
<ds:datastoreItem xmlns:ds="http://schemas.openxmlformats.org/officeDocument/2006/customXml" ds:itemID="{693E8FCF-EA53-4BDF-9A05-37F2701F95B7}"/>
</file>

<file path=customXml/itemProps3.xml><?xml version="1.0" encoding="utf-8"?>
<ds:datastoreItem xmlns:ds="http://schemas.openxmlformats.org/officeDocument/2006/customXml" ds:itemID="{18A9F446-9EB3-4D14-8428-54F4B86E1B8D}"/>
</file>

<file path=customXml/itemProps4.xml><?xml version="1.0" encoding="utf-8"?>
<ds:datastoreItem xmlns:ds="http://schemas.openxmlformats.org/officeDocument/2006/customXml" ds:itemID="{B96800F4-F4D6-4F9C-A798-82F753875101}"/>
</file>

<file path=customXml/itemProps5.xml><?xml version="1.0" encoding="utf-8"?>
<ds:datastoreItem xmlns:ds="http://schemas.openxmlformats.org/officeDocument/2006/customXml" ds:itemID="{294D0CC7-761C-4159-B364-D0F771051FC5}"/>
</file>

<file path=customXml/itemProps6.xml><?xml version="1.0" encoding="utf-8"?>
<ds:datastoreItem xmlns:ds="http://schemas.openxmlformats.org/officeDocument/2006/customXml" ds:itemID="{86717598-58F9-4755-BE21-872385570B54}"/>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2016-10-24T23:12:00Z</dcterms:created>
  <dcterms:modified xsi:type="dcterms:W3CDTF">2016-10-24T23:12:00Z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454dc3fd-4807-4129-8196-c53e580b4874</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{454dc3fd-4807-4129-8196-c53e580b4874}</vt:lpwstr>
  </property>
  <property fmtid="{D5CDD505-2E9C-101B-9397-08002B2CF9AE}" pid="9" name="RecordPoint_ActiveItemWebId">
    <vt:lpwstr>{321685ce-0414-4cb5-ba5e-9e54c6ae1071}</vt:lpwstr>
  </property>
  <property fmtid="{D5CDD505-2E9C-101B-9397-08002B2CF9AE}" pid="10" name="RecordPoint_RecordNumberSubmitted">
    <vt:lpwstr>R0001134485</vt:lpwstr>
  </property>
  <property fmtid="{D5CDD505-2E9C-101B-9397-08002B2CF9AE}" pid="11" name="RecordPoint_SubmissionCompleted">
    <vt:lpwstr>2016-10-25T10:20:05.8052220+11:00</vt:lpwstr>
  </property>
</Properties>
</file>