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92E79" w14:textId="77777777" w:rsidR="009F47DB" w:rsidRDefault="009F47DB" w:rsidP="009F47DB">
      <w:bookmarkStart w:id="0" w:name="_GoBack"/>
      <w:bookmarkEnd w:id="0"/>
    </w:p>
    <w:p w14:paraId="50688D15" w14:textId="77777777" w:rsidR="008F2D4B" w:rsidRDefault="008F2D4B" w:rsidP="009F47DB">
      <w:pPr>
        <w:rPr>
          <w:rFonts w:asciiTheme="minorHAnsi" w:hAnsiTheme="minorHAnsi"/>
        </w:rPr>
      </w:pPr>
    </w:p>
    <w:p w14:paraId="55F93026" w14:textId="77777777" w:rsidR="008F2D4B" w:rsidRDefault="008F2D4B" w:rsidP="009F47DB">
      <w:pPr>
        <w:rPr>
          <w:rFonts w:asciiTheme="minorHAnsi" w:hAnsiTheme="minorHAnsi"/>
        </w:rPr>
      </w:pPr>
    </w:p>
    <w:p w14:paraId="53B9139F" w14:textId="77777777" w:rsidR="009F47DB" w:rsidRPr="009F47DB" w:rsidRDefault="008F2D4B" w:rsidP="009F47DB">
      <w:pPr>
        <w:rPr>
          <w:rFonts w:asciiTheme="minorHAnsi" w:hAnsiTheme="minorHAnsi"/>
        </w:rPr>
      </w:pPr>
      <w:r>
        <w:rPr>
          <w:rFonts w:asciiTheme="minorHAnsi" w:hAnsiTheme="minorHAnsi"/>
        </w:rPr>
        <w:t>Attention David Pullen</w:t>
      </w:r>
    </w:p>
    <w:p w14:paraId="7E32913A" w14:textId="77777777" w:rsidR="009F47DB" w:rsidRPr="009F47DB" w:rsidRDefault="009F47DB" w:rsidP="009F47DB">
      <w:pPr>
        <w:rPr>
          <w:rFonts w:asciiTheme="minorHAnsi" w:hAnsiTheme="minorHAnsi"/>
        </w:rPr>
      </w:pPr>
      <w:r w:rsidRPr="009F47DB">
        <w:rPr>
          <w:rFonts w:asciiTheme="minorHAnsi" w:hAnsiTheme="minorHAnsi"/>
        </w:rPr>
        <w:t>Treasury</w:t>
      </w:r>
    </w:p>
    <w:p w14:paraId="74FA4F6F" w14:textId="77777777" w:rsidR="009F47DB" w:rsidRPr="009F47DB" w:rsidRDefault="009F47DB" w:rsidP="009F47DB">
      <w:pPr>
        <w:rPr>
          <w:rFonts w:asciiTheme="minorHAnsi" w:hAnsiTheme="minorHAnsi"/>
        </w:rPr>
      </w:pPr>
    </w:p>
    <w:p w14:paraId="41C64EC8" w14:textId="77777777" w:rsidR="009F47DB" w:rsidRPr="009F47DB" w:rsidRDefault="008F2D4B" w:rsidP="009F47DB">
      <w:pPr>
        <w:rPr>
          <w:rFonts w:asciiTheme="minorHAnsi" w:hAnsiTheme="minorHAnsi"/>
        </w:rPr>
      </w:pPr>
      <w:r>
        <w:rPr>
          <w:rFonts w:asciiTheme="minorHAnsi" w:hAnsiTheme="minorHAnsi"/>
        </w:rPr>
        <w:t>11 September 2016</w:t>
      </w:r>
    </w:p>
    <w:p w14:paraId="6FC9396D" w14:textId="77777777" w:rsidR="009F47DB" w:rsidRPr="009F47DB" w:rsidRDefault="009F47DB" w:rsidP="009F47DB">
      <w:pPr>
        <w:rPr>
          <w:rFonts w:asciiTheme="minorHAnsi" w:hAnsiTheme="minorHAnsi"/>
        </w:rPr>
      </w:pPr>
    </w:p>
    <w:p w14:paraId="15AD0495" w14:textId="77777777" w:rsidR="009F47DB" w:rsidRPr="009F47DB" w:rsidRDefault="009F47DB" w:rsidP="009F47DB">
      <w:pPr>
        <w:rPr>
          <w:rFonts w:asciiTheme="minorHAnsi" w:hAnsiTheme="minorHAnsi"/>
        </w:rPr>
      </w:pPr>
      <w:r w:rsidRPr="009F47DB">
        <w:rPr>
          <w:rFonts w:asciiTheme="minorHAnsi" w:hAnsiTheme="minorHAnsi"/>
        </w:rPr>
        <w:t>Dear Sir,</w:t>
      </w:r>
    </w:p>
    <w:p w14:paraId="299596E1" w14:textId="77777777" w:rsidR="009F47DB" w:rsidRPr="009F47DB" w:rsidRDefault="009F47DB" w:rsidP="009F47DB">
      <w:pPr>
        <w:rPr>
          <w:rFonts w:asciiTheme="minorHAnsi" w:hAnsiTheme="minorHAnsi"/>
        </w:rPr>
      </w:pPr>
    </w:p>
    <w:p w14:paraId="6ACA0BE7" w14:textId="77777777" w:rsidR="009F47DB" w:rsidRPr="009F47DB" w:rsidRDefault="009F47DB" w:rsidP="009F47DB">
      <w:pPr>
        <w:rPr>
          <w:rFonts w:asciiTheme="minorHAnsi" w:hAnsiTheme="minorHAnsi"/>
          <w:b/>
        </w:rPr>
      </w:pPr>
      <w:r w:rsidRPr="009F47DB">
        <w:rPr>
          <w:rFonts w:asciiTheme="minorHAnsi" w:hAnsiTheme="minorHAnsi"/>
          <w:b/>
        </w:rPr>
        <w:t xml:space="preserve">Proposed changes to the WET rebate </w:t>
      </w:r>
    </w:p>
    <w:p w14:paraId="643798C6" w14:textId="77777777" w:rsidR="009F47DB" w:rsidRPr="009F47DB" w:rsidRDefault="009F47DB" w:rsidP="009F47DB">
      <w:pPr>
        <w:jc w:val="both"/>
        <w:rPr>
          <w:rFonts w:asciiTheme="minorHAnsi" w:hAnsiTheme="minorHAnsi"/>
          <w:b/>
        </w:rPr>
      </w:pPr>
    </w:p>
    <w:p w14:paraId="43ECC782" w14:textId="77777777" w:rsidR="009F47DB" w:rsidRPr="009F47DB" w:rsidRDefault="009F47DB" w:rsidP="009F47DB">
      <w:pPr>
        <w:jc w:val="both"/>
        <w:rPr>
          <w:rFonts w:asciiTheme="minorHAnsi" w:hAnsiTheme="minorHAnsi"/>
          <w:sz w:val="22"/>
          <w:szCs w:val="22"/>
        </w:rPr>
      </w:pPr>
      <w:r w:rsidRPr="009F47DB">
        <w:rPr>
          <w:rFonts w:asciiTheme="minorHAnsi" w:hAnsiTheme="minorHAnsi"/>
        </w:rPr>
        <w:t xml:space="preserve">We are pleased to see Treasury </w:t>
      </w:r>
      <w:r>
        <w:rPr>
          <w:rFonts w:asciiTheme="minorHAnsi" w:hAnsiTheme="minorHAnsi"/>
        </w:rPr>
        <w:t xml:space="preserve">are </w:t>
      </w:r>
      <w:r w:rsidRPr="009F47DB">
        <w:rPr>
          <w:rFonts w:asciiTheme="minorHAnsi" w:hAnsiTheme="minorHAnsi"/>
        </w:rPr>
        <w:t>seek</w:t>
      </w:r>
      <w:r>
        <w:rPr>
          <w:rFonts w:asciiTheme="minorHAnsi" w:hAnsiTheme="minorHAnsi"/>
        </w:rPr>
        <w:t>ing</w:t>
      </w:r>
      <w:r w:rsidRPr="009F47DB">
        <w:rPr>
          <w:rFonts w:asciiTheme="minorHAnsi" w:hAnsiTheme="minorHAnsi"/>
        </w:rPr>
        <w:t xml:space="preserve"> comments </w:t>
      </w:r>
      <w:r>
        <w:rPr>
          <w:rFonts w:asciiTheme="minorHAnsi" w:hAnsiTheme="minorHAnsi"/>
        </w:rPr>
        <w:t xml:space="preserve">with regard to changes to the WET rebate, </w:t>
      </w:r>
      <w:r w:rsidRPr="009F47DB">
        <w:rPr>
          <w:rFonts w:asciiTheme="minorHAnsi" w:hAnsiTheme="minorHAnsi"/>
        </w:rPr>
        <w:t>on a number of criteria including a possible assets test.</w:t>
      </w:r>
    </w:p>
    <w:p w14:paraId="6DAEAF6C" w14:textId="77777777" w:rsidR="009F47DB" w:rsidRPr="009F47DB" w:rsidRDefault="009F47DB" w:rsidP="009F47DB">
      <w:pPr>
        <w:jc w:val="both"/>
        <w:rPr>
          <w:rFonts w:asciiTheme="minorHAnsi" w:hAnsiTheme="minorHAnsi"/>
        </w:rPr>
      </w:pPr>
      <w:r w:rsidRPr="009F47DB">
        <w:rPr>
          <w:rFonts w:asciiTheme="minorHAnsi" w:hAnsiTheme="minorHAnsi"/>
        </w:rPr>
        <w:t> </w:t>
      </w:r>
    </w:p>
    <w:p w14:paraId="618CC356" w14:textId="77777777" w:rsidR="009F47DB" w:rsidRPr="009F47DB" w:rsidRDefault="009F47DB" w:rsidP="009F47DB">
      <w:pPr>
        <w:jc w:val="both"/>
        <w:rPr>
          <w:rFonts w:asciiTheme="minorHAnsi" w:hAnsiTheme="minorHAnsi"/>
        </w:rPr>
      </w:pPr>
      <w:r w:rsidRPr="009F47DB">
        <w:rPr>
          <w:rFonts w:asciiTheme="minorHAnsi" w:hAnsiTheme="minorHAnsi"/>
        </w:rPr>
        <w:t xml:space="preserve">Our business is involved in the wine industry as grape growers and a small wine business. We have almost 700 hectares of grapes </w:t>
      </w:r>
      <w:r>
        <w:rPr>
          <w:rFonts w:asciiTheme="minorHAnsi" w:hAnsiTheme="minorHAnsi"/>
        </w:rPr>
        <w:t>under management in South Australia.</w:t>
      </w:r>
      <w:r w:rsidR="002A7D85">
        <w:rPr>
          <w:rFonts w:asciiTheme="minorHAnsi" w:hAnsiTheme="minorHAnsi"/>
        </w:rPr>
        <w:t xml:space="preserve"> We have been in business for 23 years and employ 18 people. If the WFA recommendations are accepted in their entirety we will suffer income loss as we sell some bulk wine to other wine companies and receive WET rebate.</w:t>
      </w:r>
    </w:p>
    <w:p w14:paraId="702E92E1" w14:textId="77777777" w:rsidR="009F47DB" w:rsidRPr="009F47DB" w:rsidRDefault="009F47DB" w:rsidP="009F47DB">
      <w:pPr>
        <w:jc w:val="both"/>
        <w:rPr>
          <w:rFonts w:asciiTheme="minorHAnsi" w:hAnsiTheme="minorHAnsi"/>
        </w:rPr>
      </w:pPr>
      <w:r w:rsidRPr="009F47DB">
        <w:rPr>
          <w:rFonts w:asciiTheme="minorHAnsi" w:hAnsiTheme="minorHAnsi"/>
        </w:rPr>
        <w:t> </w:t>
      </w:r>
    </w:p>
    <w:p w14:paraId="45C5BD5F" w14:textId="77777777" w:rsidR="009F47DB" w:rsidRPr="009F47DB" w:rsidRDefault="009F47DB" w:rsidP="009F47DB">
      <w:pPr>
        <w:jc w:val="both"/>
        <w:rPr>
          <w:rFonts w:asciiTheme="minorHAnsi" w:hAnsiTheme="minorHAnsi"/>
        </w:rPr>
      </w:pPr>
      <w:r>
        <w:rPr>
          <w:rFonts w:asciiTheme="minorHAnsi" w:hAnsiTheme="minorHAnsi"/>
        </w:rPr>
        <w:t>During the first round of this debate, w</w:t>
      </w:r>
      <w:r w:rsidRPr="009F47DB">
        <w:rPr>
          <w:rFonts w:asciiTheme="minorHAnsi" w:hAnsiTheme="minorHAnsi"/>
        </w:rPr>
        <w:t xml:space="preserve">e </w:t>
      </w:r>
      <w:r>
        <w:rPr>
          <w:rFonts w:asciiTheme="minorHAnsi" w:hAnsiTheme="minorHAnsi"/>
        </w:rPr>
        <w:t>objected strongly</w:t>
      </w:r>
      <w:r w:rsidRPr="009F47DB">
        <w:rPr>
          <w:rFonts w:asciiTheme="minorHAnsi" w:hAnsiTheme="minorHAnsi"/>
        </w:rPr>
        <w:t xml:space="preserve"> to the WFA submissions as they wanted to restrict </w:t>
      </w:r>
      <w:r>
        <w:rPr>
          <w:rFonts w:asciiTheme="minorHAnsi" w:hAnsiTheme="minorHAnsi"/>
        </w:rPr>
        <w:t xml:space="preserve">the </w:t>
      </w:r>
      <w:r w:rsidRPr="009F47DB">
        <w:rPr>
          <w:rFonts w:asciiTheme="minorHAnsi" w:hAnsiTheme="minorHAnsi"/>
        </w:rPr>
        <w:t xml:space="preserve">WET </w:t>
      </w:r>
      <w:r>
        <w:rPr>
          <w:rFonts w:asciiTheme="minorHAnsi" w:hAnsiTheme="minorHAnsi"/>
        </w:rPr>
        <w:t xml:space="preserve">rebate </w:t>
      </w:r>
      <w:r w:rsidRPr="009F47DB">
        <w:rPr>
          <w:rFonts w:asciiTheme="minorHAnsi" w:hAnsiTheme="minorHAnsi"/>
        </w:rPr>
        <w:t xml:space="preserve">to </w:t>
      </w:r>
      <w:r>
        <w:rPr>
          <w:rFonts w:asciiTheme="minorHAnsi" w:hAnsiTheme="minorHAnsi"/>
        </w:rPr>
        <w:t xml:space="preserve">branded product and impose some stringent rules which </w:t>
      </w:r>
      <w:proofErr w:type="gramStart"/>
      <w:r>
        <w:rPr>
          <w:rFonts w:asciiTheme="minorHAnsi" w:hAnsiTheme="minorHAnsi"/>
        </w:rPr>
        <w:t>directly  supported</w:t>
      </w:r>
      <w:proofErr w:type="gramEnd"/>
      <w:r>
        <w:rPr>
          <w:rFonts w:asciiTheme="minorHAnsi" w:hAnsiTheme="minorHAnsi"/>
        </w:rPr>
        <w:t xml:space="preserve"> the position of the top wine companies.</w:t>
      </w:r>
      <w:r w:rsidRPr="009F47DB">
        <w:rPr>
          <w:rFonts w:asciiTheme="minorHAnsi" w:hAnsiTheme="minorHAnsi"/>
        </w:rPr>
        <w:t xml:space="preserve"> At the ex</w:t>
      </w:r>
      <w:r>
        <w:rPr>
          <w:rFonts w:asciiTheme="minorHAnsi" w:hAnsiTheme="minorHAnsi"/>
        </w:rPr>
        <w:t>treme this could see a ‘Producer’</w:t>
      </w:r>
      <w:r w:rsidRPr="009F47DB">
        <w:rPr>
          <w:rFonts w:asciiTheme="minorHAnsi" w:hAnsiTheme="minorHAnsi"/>
        </w:rPr>
        <w:t xml:space="preserve"> with nominal capital garner </w:t>
      </w:r>
      <w:r>
        <w:rPr>
          <w:rFonts w:asciiTheme="minorHAnsi" w:hAnsiTheme="minorHAnsi"/>
        </w:rPr>
        <w:t xml:space="preserve">the current </w:t>
      </w:r>
      <w:r w:rsidRPr="009F47DB">
        <w:rPr>
          <w:rFonts w:asciiTheme="minorHAnsi" w:hAnsiTheme="minorHAnsi"/>
        </w:rPr>
        <w:t>$500,000 in WET Rebate</w:t>
      </w:r>
      <w:r>
        <w:rPr>
          <w:rFonts w:asciiTheme="minorHAnsi" w:hAnsiTheme="minorHAnsi"/>
        </w:rPr>
        <w:t xml:space="preserve">, </w:t>
      </w:r>
      <w:r w:rsidRPr="009F47DB">
        <w:rPr>
          <w:rFonts w:asciiTheme="minorHAnsi" w:hAnsiTheme="minorHAnsi"/>
        </w:rPr>
        <w:t>where we gain no WET</w:t>
      </w:r>
      <w:r>
        <w:rPr>
          <w:rFonts w:asciiTheme="minorHAnsi" w:hAnsiTheme="minorHAnsi"/>
        </w:rPr>
        <w:t xml:space="preserve"> rebate even though we may supply 90% of the</w:t>
      </w:r>
      <w:r w:rsidRPr="009F47DB">
        <w:rPr>
          <w:rFonts w:asciiTheme="minorHAnsi" w:hAnsiTheme="minorHAnsi"/>
        </w:rPr>
        <w:t xml:space="preserve"> wine </w:t>
      </w:r>
      <w:r>
        <w:rPr>
          <w:rFonts w:asciiTheme="minorHAnsi" w:hAnsiTheme="minorHAnsi"/>
        </w:rPr>
        <w:t xml:space="preserve">needed – whilst we </w:t>
      </w:r>
      <w:r w:rsidR="002A7D85">
        <w:rPr>
          <w:rFonts w:asciiTheme="minorHAnsi" w:hAnsiTheme="minorHAnsi"/>
        </w:rPr>
        <w:t>employ 18</w:t>
      </w:r>
      <w:r w:rsidRPr="009F47DB">
        <w:rPr>
          <w:rFonts w:asciiTheme="minorHAnsi" w:hAnsiTheme="minorHAnsi"/>
        </w:rPr>
        <w:t xml:space="preserve"> people in regional areas</w:t>
      </w:r>
      <w:r>
        <w:rPr>
          <w:rFonts w:asciiTheme="minorHAnsi" w:hAnsiTheme="minorHAnsi"/>
        </w:rPr>
        <w:t xml:space="preserve"> (and many others indirectly) </w:t>
      </w:r>
      <w:r w:rsidRPr="009F47DB">
        <w:rPr>
          <w:rFonts w:asciiTheme="minorHAnsi" w:hAnsiTheme="minorHAnsi"/>
        </w:rPr>
        <w:t>and have around $30,000,000 invested in the industry.</w:t>
      </w:r>
    </w:p>
    <w:p w14:paraId="4DFEB41C" w14:textId="77777777" w:rsidR="009F47DB" w:rsidRPr="009F47DB" w:rsidRDefault="009F47DB" w:rsidP="009F47DB">
      <w:pPr>
        <w:jc w:val="both"/>
        <w:rPr>
          <w:rFonts w:asciiTheme="minorHAnsi" w:hAnsiTheme="minorHAnsi"/>
        </w:rPr>
      </w:pPr>
      <w:r w:rsidRPr="009F47DB">
        <w:rPr>
          <w:rFonts w:asciiTheme="minorHAnsi" w:hAnsiTheme="minorHAnsi"/>
        </w:rPr>
        <w:t> </w:t>
      </w:r>
    </w:p>
    <w:p w14:paraId="3F5084C4" w14:textId="77777777" w:rsidR="009F47DB" w:rsidRPr="009F47DB" w:rsidRDefault="009F47DB" w:rsidP="009F47DB">
      <w:pPr>
        <w:jc w:val="both"/>
        <w:rPr>
          <w:rFonts w:asciiTheme="minorHAnsi" w:hAnsiTheme="minorHAnsi"/>
        </w:rPr>
      </w:pPr>
      <w:r>
        <w:rPr>
          <w:rFonts w:asciiTheme="minorHAnsi" w:hAnsiTheme="minorHAnsi"/>
        </w:rPr>
        <w:t>As you are aware, t</w:t>
      </w:r>
      <w:r w:rsidRPr="009F47DB">
        <w:rPr>
          <w:rFonts w:asciiTheme="minorHAnsi" w:hAnsiTheme="minorHAnsi"/>
        </w:rPr>
        <w:t>he wine industry is presently marginally profitable</w:t>
      </w:r>
      <w:r>
        <w:rPr>
          <w:rFonts w:asciiTheme="minorHAnsi" w:hAnsiTheme="minorHAnsi"/>
        </w:rPr>
        <w:t>. T</w:t>
      </w:r>
      <w:r w:rsidRPr="009F47DB">
        <w:rPr>
          <w:rFonts w:asciiTheme="minorHAnsi" w:hAnsiTheme="minorHAnsi"/>
        </w:rPr>
        <w:t xml:space="preserve">he </w:t>
      </w:r>
      <w:r>
        <w:rPr>
          <w:rFonts w:asciiTheme="minorHAnsi" w:hAnsiTheme="minorHAnsi"/>
        </w:rPr>
        <w:t xml:space="preserve">simply astonishing </w:t>
      </w:r>
      <w:r w:rsidRPr="009F47DB">
        <w:rPr>
          <w:rFonts w:asciiTheme="minorHAnsi" w:hAnsiTheme="minorHAnsi"/>
        </w:rPr>
        <w:t>WFA argument is that by restricting WET to branded product only</w:t>
      </w:r>
      <w:r w:rsidR="002A7D85">
        <w:rPr>
          <w:rFonts w:asciiTheme="minorHAnsi" w:hAnsiTheme="minorHAnsi"/>
        </w:rPr>
        <w:t xml:space="preserve"> </w:t>
      </w:r>
      <w:r w:rsidRPr="009F47DB">
        <w:rPr>
          <w:rFonts w:asciiTheme="minorHAnsi" w:hAnsiTheme="minorHAnsi"/>
        </w:rPr>
        <w:t xml:space="preserve">the industry will </w:t>
      </w:r>
      <w:r>
        <w:rPr>
          <w:rFonts w:asciiTheme="minorHAnsi" w:hAnsiTheme="minorHAnsi"/>
        </w:rPr>
        <w:t>re</w:t>
      </w:r>
      <w:r w:rsidRPr="009F47DB">
        <w:rPr>
          <w:rFonts w:asciiTheme="minorHAnsi" w:hAnsiTheme="minorHAnsi"/>
        </w:rPr>
        <w:t>gain profitability. We asked, at the 2015 annual general meeting of WFA, for a copy of any r</w:t>
      </w:r>
      <w:r>
        <w:rPr>
          <w:rFonts w:asciiTheme="minorHAnsi" w:hAnsiTheme="minorHAnsi"/>
        </w:rPr>
        <w:t>esearch to back this statement</w:t>
      </w:r>
      <w:r w:rsidRPr="009F47DB">
        <w:rPr>
          <w:rFonts w:asciiTheme="minorHAnsi" w:hAnsiTheme="minorHAnsi"/>
        </w:rPr>
        <w:t xml:space="preserve"> and were advised that there was no such research. </w:t>
      </w:r>
      <w:r>
        <w:rPr>
          <w:rFonts w:asciiTheme="minorHAnsi" w:hAnsiTheme="minorHAnsi"/>
        </w:rPr>
        <w:t>We are aware that a</w:t>
      </w:r>
      <w:r w:rsidRPr="009F47DB">
        <w:rPr>
          <w:rFonts w:asciiTheme="minorHAnsi" w:hAnsiTheme="minorHAnsi"/>
        </w:rPr>
        <w:t xml:space="preserve"> research paper commissioned by WFA released a few years</w:t>
      </w:r>
      <w:r>
        <w:rPr>
          <w:rFonts w:asciiTheme="minorHAnsi" w:hAnsiTheme="minorHAnsi"/>
        </w:rPr>
        <w:t xml:space="preserve"> ago warned against promoting the branded wine only position.</w:t>
      </w:r>
    </w:p>
    <w:p w14:paraId="0F0230F1" w14:textId="77777777" w:rsidR="009F47DB" w:rsidRPr="009F47DB" w:rsidRDefault="009F47DB" w:rsidP="009F47DB">
      <w:pPr>
        <w:jc w:val="both"/>
        <w:rPr>
          <w:rFonts w:asciiTheme="minorHAnsi" w:hAnsiTheme="minorHAnsi"/>
        </w:rPr>
      </w:pPr>
      <w:r w:rsidRPr="009F47DB">
        <w:rPr>
          <w:rFonts w:asciiTheme="minorHAnsi" w:hAnsiTheme="minorHAnsi"/>
        </w:rPr>
        <w:t> </w:t>
      </w:r>
    </w:p>
    <w:p w14:paraId="621C49F1" w14:textId="77777777" w:rsidR="009F47DB" w:rsidRDefault="009F47DB" w:rsidP="009F47DB">
      <w:pPr>
        <w:jc w:val="both"/>
        <w:rPr>
          <w:rFonts w:asciiTheme="minorHAnsi" w:hAnsiTheme="minorHAnsi"/>
        </w:rPr>
      </w:pPr>
      <w:r>
        <w:rPr>
          <w:rFonts w:asciiTheme="minorHAnsi" w:hAnsiTheme="minorHAnsi"/>
        </w:rPr>
        <w:t>The basic problems with the WET rebate in our view are as follows;</w:t>
      </w:r>
    </w:p>
    <w:p w14:paraId="724D8BD3" w14:textId="77777777" w:rsidR="009F47DB" w:rsidRDefault="009F47DB" w:rsidP="009F47DB">
      <w:pPr>
        <w:jc w:val="both"/>
        <w:rPr>
          <w:rFonts w:asciiTheme="minorHAnsi" w:hAnsiTheme="minorHAnsi"/>
        </w:rPr>
      </w:pPr>
    </w:p>
    <w:p w14:paraId="23F9FF5C" w14:textId="77777777" w:rsidR="00604674" w:rsidRDefault="009F47DB" w:rsidP="009F47DB">
      <w:pPr>
        <w:pStyle w:val="ListParagraph"/>
        <w:numPr>
          <w:ilvl w:val="0"/>
          <w:numId w:val="1"/>
        </w:numPr>
        <w:jc w:val="both"/>
        <w:rPr>
          <w:rFonts w:asciiTheme="minorHAnsi" w:hAnsiTheme="minorHAnsi"/>
        </w:rPr>
      </w:pPr>
      <w:r>
        <w:rPr>
          <w:rFonts w:asciiTheme="minorHAnsi" w:hAnsiTheme="minorHAnsi"/>
        </w:rPr>
        <w:t>The definition of a Wine Producer is extremely d</w:t>
      </w:r>
      <w:r w:rsidR="00604674">
        <w:rPr>
          <w:rFonts w:asciiTheme="minorHAnsi" w:hAnsiTheme="minorHAnsi"/>
        </w:rPr>
        <w:t>ifficult to monitor in a complex industry</w:t>
      </w:r>
    </w:p>
    <w:p w14:paraId="48C640DE" w14:textId="77777777" w:rsidR="00604674" w:rsidRDefault="00604674" w:rsidP="009F47DB">
      <w:pPr>
        <w:pStyle w:val="ListParagraph"/>
        <w:numPr>
          <w:ilvl w:val="0"/>
          <w:numId w:val="1"/>
        </w:numPr>
        <w:jc w:val="both"/>
        <w:rPr>
          <w:rFonts w:asciiTheme="minorHAnsi" w:hAnsiTheme="minorHAnsi"/>
        </w:rPr>
      </w:pPr>
      <w:r>
        <w:rPr>
          <w:rFonts w:asciiTheme="minorHAnsi" w:hAnsiTheme="minorHAnsi"/>
        </w:rPr>
        <w:t>For the smaller Producers, the current system is too generous to those who struggle over the line and get the maximum rebate</w:t>
      </w:r>
    </w:p>
    <w:p w14:paraId="78B35352" w14:textId="77777777" w:rsidR="002A7D85" w:rsidRPr="002A7D85" w:rsidRDefault="00604674" w:rsidP="002A7D85">
      <w:pPr>
        <w:pStyle w:val="ListParagraph"/>
        <w:numPr>
          <w:ilvl w:val="0"/>
          <w:numId w:val="1"/>
        </w:numPr>
        <w:jc w:val="both"/>
        <w:rPr>
          <w:rFonts w:asciiTheme="minorHAnsi" w:hAnsiTheme="minorHAnsi"/>
        </w:rPr>
      </w:pPr>
      <w:r>
        <w:rPr>
          <w:rFonts w:asciiTheme="minorHAnsi" w:hAnsiTheme="minorHAnsi"/>
        </w:rPr>
        <w:t>As in many other Government rebates, there is no means testing</w:t>
      </w:r>
      <w:r w:rsidR="002A7D85">
        <w:rPr>
          <w:rFonts w:asciiTheme="minorHAnsi" w:hAnsiTheme="minorHAnsi"/>
        </w:rPr>
        <w:t>. In this case s</w:t>
      </w:r>
      <w:r w:rsidR="002A7D85" w:rsidRPr="002A7D85">
        <w:rPr>
          <w:rFonts w:asciiTheme="minorHAnsi" w:hAnsiTheme="minorHAnsi"/>
        </w:rPr>
        <w:t>kin in the game’ is important</w:t>
      </w:r>
    </w:p>
    <w:p w14:paraId="1290665B" w14:textId="77777777" w:rsidR="00604674" w:rsidRDefault="00604674" w:rsidP="009F47DB">
      <w:pPr>
        <w:pStyle w:val="ListParagraph"/>
        <w:numPr>
          <w:ilvl w:val="0"/>
          <w:numId w:val="1"/>
        </w:numPr>
        <w:jc w:val="both"/>
        <w:rPr>
          <w:rFonts w:asciiTheme="minorHAnsi" w:hAnsiTheme="minorHAnsi"/>
        </w:rPr>
      </w:pPr>
      <w:r>
        <w:rPr>
          <w:rFonts w:asciiTheme="minorHAnsi" w:hAnsiTheme="minorHAnsi"/>
        </w:rPr>
        <w:lastRenderedPageBreak/>
        <w:t>We seem to have lost the purpose of this rebate – it is required to support a capital intensive and marginally profitable industry – but one which exports two thirds of its production, is an integral part of the tourism industry, and provides many rural jobs.</w:t>
      </w:r>
    </w:p>
    <w:p w14:paraId="48B36462" w14:textId="77777777" w:rsidR="00604674" w:rsidRDefault="00645233" w:rsidP="00604674">
      <w:pPr>
        <w:jc w:val="both"/>
        <w:rPr>
          <w:rFonts w:asciiTheme="minorHAnsi" w:hAnsiTheme="minorHAnsi"/>
        </w:rPr>
      </w:pPr>
      <w:r>
        <w:rPr>
          <w:rFonts w:asciiTheme="minorHAnsi" w:hAnsiTheme="minorHAnsi"/>
        </w:rPr>
        <w:t>We think the most essential element of the ability to claim a rebate should be a real investment in the wine industry, whether that be a winery, a vineyard or a Ce</w:t>
      </w:r>
      <w:r w:rsidR="002A7D85">
        <w:rPr>
          <w:rFonts w:asciiTheme="minorHAnsi" w:hAnsiTheme="minorHAnsi"/>
        </w:rPr>
        <w:t>llar Door.</w:t>
      </w:r>
    </w:p>
    <w:p w14:paraId="251EEDB4" w14:textId="77777777" w:rsidR="00645233" w:rsidRDefault="00645233" w:rsidP="00604674">
      <w:pPr>
        <w:jc w:val="both"/>
        <w:rPr>
          <w:rFonts w:asciiTheme="minorHAnsi" w:hAnsiTheme="minorHAnsi"/>
        </w:rPr>
      </w:pPr>
    </w:p>
    <w:p w14:paraId="2E91CDA9" w14:textId="77777777" w:rsidR="009F47DB" w:rsidRPr="00604674" w:rsidRDefault="002A7D85" w:rsidP="00604674">
      <w:pPr>
        <w:jc w:val="both"/>
        <w:rPr>
          <w:rFonts w:asciiTheme="minorHAnsi" w:hAnsiTheme="minorHAnsi"/>
        </w:rPr>
      </w:pPr>
      <w:r>
        <w:rPr>
          <w:rFonts w:asciiTheme="minorHAnsi" w:hAnsiTheme="minorHAnsi"/>
        </w:rPr>
        <w:t>As an alternative to the WFA position i</w:t>
      </w:r>
      <w:r w:rsidR="00604674">
        <w:rPr>
          <w:rFonts w:asciiTheme="minorHAnsi" w:hAnsiTheme="minorHAnsi"/>
        </w:rPr>
        <w:t>s</w:t>
      </w:r>
      <w:r w:rsidR="009F47DB" w:rsidRPr="00604674">
        <w:rPr>
          <w:rFonts w:asciiTheme="minorHAnsi" w:hAnsiTheme="minorHAnsi"/>
        </w:rPr>
        <w:t xml:space="preserve"> there a situation where everyone in the wine industry producing wine, either in bulk or branded is eligible for </w:t>
      </w:r>
      <w:r w:rsidR="00645233">
        <w:rPr>
          <w:rFonts w:asciiTheme="minorHAnsi" w:hAnsiTheme="minorHAnsi"/>
        </w:rPr>
        <w:t xml:space="preserve">a </w:t>
      </w:r>
      <w:r w:rsidR="009F47DB" w:rsidRPr="00604674">
        <w:rPr>
          <w:rFonts w:asciiTheme="minorHAnsi" w:hAnsiTheme="minorHAnsi"/>
        </w:rPr>
        <w:t>WET</w:t>
      </w:r>
      <w:r w:rsidR="00645233">
        <w:rPr>
          <w:rFonts w:asciiTheme="minorHAnsi" w:hAnsiTheme="minorHAnsi"/>
        </w:rPr>
        <w:t xml:space="preserve"> rebate on their first $</w:t>
      </w:r>
      <w:r w:rsidR="009F47DB" w:rsidRPr="00604674">
        <w:rPr>
          <w:rFonts w:asciiTheme="minorHAnsi" w:hAnsiTheme="minorHAnsi"/>
        </w:rPr>
        <w:t>300,000</w:t>
      </w:r>
      <w:r>
        <w:rPr>
          <w:rFonts w:asciiTheme="minorHAnsi" w:hAnsiTheme="minorHAnsi"/>
        </w:rPr>
        <w:t xml:space="preserve"> of sales</w:t>
      </w:r>
      <w:r w:rsidR="009F47DB" w:rsidRPr="00604674">
        <w:rPr>
          <w:rFonts w:asciiTheme="minorHAnsi" w:hAnsiTheme="minorHAnsi"/>
        </w:rPr>
        <w:t xml:space="preserve"> which would mean small winemakers,</w:t>
      </w:r>
      <w:r w:rsidR="00645233">
        <w:rPr>
          <w:rFonts w:asciiTheme="minorHAnsi" w:hAnsiTheme="minorHAnsi"/>
        </w:rPr>
        <w:t xml:space="preserve"> including some</w:t>
      </w:r>
      <w:r w:rsidR="009F47DB" w:rsidRPr="00604674">
        <w:rPr>
          <w:rFonts w:asciiTheme="minorHAnsi" w:hAnsiTheme="minorHAnsi"/>
        </w:rPr>
        <w:t xml:space="preserve"> </w:t>
      </w:r>
      <w:proofErr w:type="spellStart"/>
      <w:r w:rsidR="009F47DB" w:rsidRPr="00604674">
        <w:rPr>
          <w:rFonts w:asciiTheme="minorHAnsi" w:hAnsiTheme="minorHAnsi"/>
        </w:rPr>
        <w:t>gr</w:t>
      </w:r>
      <w:r w:rsidR="00645233">
        <w:rPr>
          <w:rFonts w:asciiTheme="minorHAnsi" w:hAnsiTheme="minorHAnsi"/>
        </w:rPr>
        <w:t>apegrowers</w:t>
      </w:r>
      <w:proofErr w:type="spellEnd"/>
      <w:r w:rsidR="00645233">
        <w:rPr>
          <w:rFonts w:asciiTheme="minorHAnsi" w:hAnsiTheme="minorHAnsi"/>
        </w:rPr>
        <w:t xml:space="preserve"> who make wine and sell in bulk</w:t>
      </w:r>
      <w:r>
        <w:rPr>
          <w:rFonts w:asciiTheme="minorHAnsi" w:hAnsiTheme="minorHAnsi"/>
        </w:rPr>
        <w:t>,</w:t>
      </w:r>
      <w:r w:rsidR="00645233">
        <w:rPr>
          <w:rFonts w:asciiTheme="minorHAnsi" w:hAnsiTheme="minorHAnsi"/>
        </w:rPr>
        <w:t xml:space="preserve"> will</w:t>
      </w:r>
      <w:r w:rsidR="009F47DB" w:rsidRPr="00604674">
        <w:rPr>
          <w:rFonts w:asciiTheme="minorHAnsi" w:hAnsiTheme="minorHAnsi"/>
        </w:rPr>
        <w:t xml:space="preserve"> all qualify. The $87,000 rebate would be sufficient to keep all these participants in the industry but not be of a magnitude that the developers of ‘schemes’ deemed worthwhile.</w:t>
      </w:r>
    </w:p>
    <w:p w14:paraId="2A8B99DF" w14:textId="77777777" w:rsidR="009F47DB" w:rsidRPr="009F47DB" w:rsidRDefault="009F47DB" w:rsidP="009F47DB">
      <w:pPr>
        <w:jc w:val="both"/>
        <w:rPr>
          <w:rFonts w:asciiTheme="minorHAnsi" w:hAnsiTheme="minorHAnsi"/>
        </w:rPr>
      </w:pPr>
      <w:r w:rsidRPr="009F47DB">
        <w:rPr>
          <w:rFonts w:asciiTheme="minorHAnsi" w:hAnsiTheme="minorHAnsi"/>
        </w:rPr>
        <w:t> </w:t>
      </w:r>
    </w:p>
    <w:p w14:paraId="489AD2CF" w14:textId="77777777" w:rsidR="00BA52DD" w:rsidRDefault="009F47DB" w:rsidP="009F47DB">
      <w:pPr>
        <w:jc w:val="both"/>
        <w:rPr>
          <w:rFonts w:asciiTheme="minorHAnsi" w:hAnsiTheme="minorHAnsi"/>
        </w:rPr>
      </w:pPr>
      <w:r w:rsidRPr="009F47DB">
        <w:rPr>
          <w:rFonts w:asciiTheme="minorHAnsi" w:hAnsiTheme="minorHAnsi"/>
        </w:rPr>
        <w:t>For sales be</w:t>
      </w:r>
      <w:r w:rsidR="00BA52DD">
        <w:rPr>
          <w:rFonts w:asciiTheme="minorHAnsi" w:hAnsiTheme="minorHAnsi"/>
        </w:rPr>
        <w:t>yond $300,000 the qualification</w:t>
      </w:r>
      <w:r w:rsidRPr="009F47DB">
        <w:rPr>
          <w:rFonts w:asciiTheme="minorHAnsi" w:hAnsiTheme="minorHAnsi"/>
        </w:rPr>
        <w:t xml:space="preserve"> criteria would be</w:t>
      </w:r>
      <w:r w:rsidR="00BA52DD">
        <w:rPr>
          <w:rFonts w:asciiTheme="minorHAnsi" w:hAnsiTheme="minorHAnsi"/>
        </w:rPr>
        <w:t xml:space="preserve"> bottled</w:t>
      </w:r>
      <w:r w:rsidRPr="009F47DB">
        <w:rPr>
          <w:rFonts w:asciiTheme="minorHAnsi" w:hAnsiTheme="minorHAnsi"/>
        </w:rPr>
        <w:t xml:space="preserve"> </w:t>
      </w:r>
      <w:r w:rsidR="00BA52DD">
        <w:rPr>
          <w:rFonts w:asciiTheme="minorHAnsi" w:hAnsiTheme="minorHAnsi"/>
        </w:rPr>
        <w:t>and branded</w:t>
      </w:r>
      <w:r w:rsidRPr="009F47DB">
        <w:rPr>
          <w:rFonts w:asciiTheme="minorHAnsi" w:hAnsiTheme="minorHAnsi"/>
        </w:rPr>
        <w:t xml:space="preserve"> sales</w:t>
      </w:r>
      <w:r w:rsidR="00BA52DD">
        <w:rPr>
          <w:rFonts w:asciiTheme="minorHAnsi" w:hAnsiTheme="minorHAnsi"/>
        </w:rPr>
        <w:t>, but with an assets test</w:t>
      </w:r>
      <w:r w:rsidRPr="009F47DB">
        <w:rPr>
          <w:rFonts w:asciiTheme="minorHAnsi" w:hAnsiTheme="minorHAnsi"/>
        </w:rPr>
        <w:t>. For example, to gain the full $290,000 WET rebate you would need sales of $700,000 at least in branded sales and up to $300,000 in bulk. Assuming there was no assets test up to $300,000 then after $300,000 of sales you needed $2 in assets (fixed assets only in the form of a winery, a cellar door or a vineyard) for every $1 of sales. To gain the full $290,000 you would need $1,400,000 tied up in owned fixed as</w:t>
      </w:r>
      <w:r w:rsidR="00BA52DD">
        <w:rPr>
          <w:rFonts w:asciiTheme="minorHAnsi" w:hAnsiTheme="minorHAnsi"/>
        </w:rPr>
        <w:t>sets.</w:t>
      </w:r>
      <w:r w:rsidR="002A7D85">
        <w:rPr>
          <w:rFonts w:asciiTheme="minorHAnsi" w:hAnsiTheme="minorHAnsi"/>
        </w:rPr>
        <w:t xml:space="preserve"> Most proper players in the industry would need this magnitude of capital tied up to garner a reasonable level of profitability.</w:t>
      </w:r>
    </w:p>
    <w:p w14:paraId="76961E05" w14:textId="77777777" w:rsidR="009F47DB" w:rsidRPr="009F47DB" w:rsidRDefault="009F47DB" w:rsidP="009F47DB">
      <w:pPr>
        <w:jc w:val="both"/>
        <w:rPr>
          <w:rFonts w:asciiTheme="minorHAnsi" w:hAnsiTheme="minorHAnsi"/>
        </w:rPr>
      </w:pPr>
      <w:r w:rsidRPr="009F47DB">
        <w:rPr>
          <w:rFonts w:asciiTheme="minorHAnsi" w:hAnsiTheme="minorHAnsi"/>
        </w:rPr>
        <w:t> </w:t>
      </w:r>
    </w:p>
    <w:p w14:paraId="780AA950" w14:textId="77777777" w:rsidR="009F47DB" w:rsidRDefault="009F47DB" w:rsidP="009F47DB">
      <w:pPr>
        <w:jc w:val="both"/>
        <w:rPr>
          <w:rFonts w:asciiTheme="minorHAnsi" w:hAnsiTheme="minorHAnsi"/>
        </w:rPr>
      </w:pPr>
      <w:r w:rsidRPr="009F47DB">
        <w:rPr>
          <w:rFonts w:asciiTheme="minorHAnsi" w:hAnsiTheme="minorHAnsi"/>
        </w:rPr>
        <w:t xml:space="preserve">This </w:t>
      </w:r>
      <w:r w:rsidR="00BA52DD">
        <w:rPr>
          <w:rFonts w:asciiTheme="minorHAnsi" w:hAnsiTheme="minorHAnsi"/>
        </w:rPr>
        <w:t xml:space="preserve">simple </w:t>
      </w:r>
      <w:r w:rsidRPr="009F47DB">
        <w:rPr>
          <w:rFonts w:asciiTheme="minorHAnsi" w:hAnsiTheme="minorHAnsi"/>
        </w:rPr>
        <w:t>approach would remove most of the virtual wine businesses and encourage people in the industry to invest in regional assets</w:t>
      </w:r>
      <w:r w:rsidR="002A7D85">
        <w:rPr>
          <w:rFonts w:asciiTheme="minorHAnsi" w:hAnsiTheme="minorHAnsi"/>
        </w:rPr>
        <w:t xml:space="preserve"> and increase local employment and at the same time may limit New Zealanders to their Australian assets only.</w:t>
      </w:r>
    </w:p>
    <w:p w14:paraId="4C0E59DF" w14:textId="77777777" w:rsidR="002A7D85" w:rsidRDefault="002A7D85" w:rsidP="009F47DB">
      <w:pPr>
        <w:jc w:val="both"/>
        <w:rPr>
          <w:rFonts w:asciiTheme="minorHAnsi" w:hAnsiTheme="minorHAnsi"/>
        </w:rPr>
      </w:pPr>
    </w:p>
    <w:p w14:paraId="5D9AAAEF" w14:textId="77777777" w:rsidR="002A7D85" w:rsidRDefault="002A7D85" w:rsidP="009F47DB">
      <w:pPr>
        <w:jc w:val="both"/>
        <w:rPr>
          <w:rFonts w:asciiTheme="minorHAnsi" w:hAnsiTheme="minorHAnsi"/>
        </w:rPr>
      </w:pPr>
      <w:r>
        <w:rPr>
          <w:rFonts w:asciiTheme="minorHAnsi" w:hAnsiTheme="minorHAnsi"/>
        </w:rPr>
        <w:t>We understand the industry needs to rid itself of virtual wine businesses and others rorting the system. However, there is no evidence that restricting WET to branded</w:t>
      </w:r>
      <w:r w:rsidR="007B372D">
        <w:rPr>
          <w:rFonts w:asciiTheme="minorHAnsi" w:hAnsiTheme="minorHAnsi"/>
        </w:rPr>
        <w:t xml:space="preserve"> product only</w:t>
      </w:r>
      <w:r>
        <w:rPr>
          <w:rFonts w:asciiTheme="minorHAnsi" w:hAnsiTheme="minorHAnsi"/>
        </w:rPr>
        <w:t xml:space="preserve"> will increase industry profitability as the supermarkets will just look overseas to replace the present unbranded and bulk products. </w:t>
      </w:r>
    </w:p>
    <w:p w14:paraId="119C7462" w14:textId="77777777" w:rsidR="007B372D" w:rsidRDefault="007B372D" w:rsidP="009F47DB">
      <w:pPr>
        <w:jc w:val="both"/>
        <w:rPr>
          <w:rFonts w:asciiTheme="minorHAnsi" w:hAnsiTheme="minorHAnsi"/>
        </w:rPr>
      </w:pPr>
    </w:p>
    <w:p w14:paraId="3A299A1C" w14:textId="77777777" w:rsidR="007B372D" w:rsidRDefault="007B372D" w:rsidP="009F47DB">
      <w:pPr>
        <w:jc w:val="both"/>
        <w:rPr>
          <w:rFonts w:asciiTheme="minorHAnsi" w:hAnsiTheme="minorHAnsi"/>
        </w:rPr>
      </w:pPr>
      <w:r>
        <w:rPr>
          <w:rFonts w:asciiTheme="minorHAnsi" w:hAnsiTheme="minorHAnsi"/>
        </w:rPr>
        <w:t xml:space="preserve">Am happy to be contacted at any time regarding this letter. My mobile is 0411 660 555 and my email is </w:t>
      </w:r>
      <w:hyperlink r:id="rId13" w:history="1">
        <w:r w:rsidRPr="00F30254">
          <w:rPr>
            <w:rStyle w:val="Hyperlink"/>
            <w:rFonts w:asciiTheme="minorHAnsi" w:hAnsiTheme="minorHAnsi"/>
          </w:rPr>
          <w:t>ronc@blaxvin.com.au</w:t>
        </w:r>
      </w:hyperlink>
    </w:p>
    <w:p w14:paraId="6909FB16" w14:textId="77777777" w:rsidR="007B372D" w:rsidRDefault="007B372D" w:rsidP="009F47DB">
      <w:pPr>
        <w:jc w:val="both"/>
        <w:rPr>
          <w:rFonts w:asciiTheme="minorHAnsi" w:hAnsiTheme="minorHAnsi"/>
        </w:rPr>
      </w:pPr>
    </w:p>
    <w:p w14:paraId="3EF26FCE" w14:textId="77777777" w:rsidR="007B372D" w:rsidRDefault="007B372D" w:rsidP="009F47DB">
      <w:pPr>
        <w:jc w:val="both"/>
        <w:rPr>
          <w:rFonts w:asciiTheme="minorHAnsi" w:hAnsiTheme="minorHAnsi"/>
        </w:rPr>
      </w:pPr>
      <w:r>
        <w:rPr>
          <w:rFonts w:asciiTheme="minorHAnsi" w:hAnsiTheme="minorHAnsi"/>
        </w:rPr>
        <w:t>Thank you,</w:t>
      </w:r>
    </w:p>
    <w:p w14:paraId="75B8127E" w14:textId="77777777" w:rsidR="007B372D" w:rsidRDefault="007B372D" w:rsidP="009F47DB">
      <w:pPr>
        <w:jc w:val="both"/>
        <w:rPr>
          <w:rFonts w:asciiTheme="minorHAnsi" w:hAnsiTheme="minorHAnsi"/>
        </w:rPr>
      </w:pPr>
    </w:p>
    <w:p w14:paraId="31AA51C1" w14:textId="77777777" w:rsidR="007B372D" w:rsidRDefault="007B372D" w:rsidP="009F47DB">
      <w:pPr>
        <w:jc w:val="both"/>
        <w:rPr>
          <w:rFonts w:asciiTheme="minorHAnsi" w:hAnsiTheme="minorHAnsi"/>
        </w:rPr>
      </w:pPr>
    </w:p>
    <w:p w14:paraId="6E0F14D4" w14:textId="77777777" w:rsidR="007B372D" w:rsidRDefault="007B372D" w:rsidP="009F47DB">
      <w:pPr>
        <w:jc w:val="both"/>
        <w:rPr>
          <w:rFonts w:asciiTheme="minorHAnsi" w:hAnsiTheme="minorHAnsi"/>
        </w:rPr>
      </w:pPr>
    </w:p>
    <w:p w14:paraId="539F004D" w14:textId="77777777" w:rsidR="007B372D" w:rsidRDefault="007B372D" w:rsidP="009F47DB">
      <w:pPr>
        <w:jc w:val="both"/>
        <w:rPr>
          <w:rFonts w:asciiTheme="minorHAnsi" w:hAnsiTheme="minorHAnsi"/>
        </w:rPr>
      </w:pPr>
    </w:p>
    <w:p w14:paraId="15DB6A69" w14:textId="77777777" w:rsidR="007B372D" w:rsidRDefault="007B372D" w:rsidP="009F47DB">
      <w:pPr>
        <w:jc w:val="both"/>
        <w:rPr>
          <w:rFonts w:asciiTheme="minorHAnsi" w:hAnsiTheme="minorHAnsi"/>
        </w:rPr>
      </w:pPr>
    </w:p>
    <w:p w14:paraId="1D8DE8DB" w14:textId="77777777" w:rsidR="007B372D" w:rsidRDefault="007B372D" w:rsidP="009F47DB">
      <w:pPr>
        <w:jc w:val="both"/>
        <w:rPr>
          <w:rFonts w:asciiTheme="minorHAnsi" w:hAnsiTheme="minorHAnsi"/>
        </w:rPr>
      </w:pPr>
    </w:p>
    <w:p w14:paraId="682AE190" w14:textId="77777777" w:rsidR="007B372D" w:rsidRDefault="007B372D" w:rsidP="009F47DB">
      <w:pPr>
        <w:jc w:val="both"/>
        <w:rPr>
          <w:rFonts w:asciiTheme="minorHAnsi" w:hAnsiTheme="minorHAnsi"/>
        </w:rPr>
      </w:pPr>
    </w:p>
    <w:p w14:paraId="501C4081" w14:textId="77777777" w:rsidR="007B372D" w:rsidRPr="007B372D" w:rsidRDefault="007B372D" w:rsidP="009F47DB">
      <w:pPr>
        <w:jc w:val="both"/>
        <w:rPr>
          <w:rFonts w:asciiTheme="minorHAnsi" w:hAnsiTheme="minorHAnsi"/>
          <w:b/>
          <w:sz w:val="36"/>
          <w:szCs w:val="36"/>
        </w:rPr>
      </w:pPr>
      <w:r w:rsidRPr="007B372D">
        <w:rPr>
          <w:rFonts w:asciiTheme="minorHAnsi" w:hAnsiTheme="minorHAnsi"/>
          <w:b/>
          <w:sz w:val="36"/>
          <w:szCs w:val="36"/>
        </w:rPr>
        <w:t>Ron Collins</w:t>
      </w:r>
    </w:p>
    <w:p w14:paraId="66E383FB" w14:textId="77777777" w:rsidR="007B372D" w:rsidRPr="007B372D" w:rsidRDefault="007B372D" w:rsidP="009F47DB">
      <w:pPr>
        <w:jc w:val="both"/>
        <w:rPr>
          <w:rFonts w:asciiTheme="minorHAnsi" w:hAnsiTheme="minorHAnsi"/>
          <w:b/>
        </w:rPr>
      </w:pPr>
    </w:p>
    <w:p w14:paraId="414B1C56" w14:textId="77777777" w:rsidR="007B372D" w:rsidRPr="007B372D" w:rsidRDefault="007B372D" w:rsidP="009F47DB">
      <w:pPr>
        <w:jc w:val="both"/>
        <w:rPr>
          <w:rFonts w:asciiTheme="minorHAnsi" w:hAnsiTheme="minorHAnsi"/>
          <w:b/>
        </w:rPr>
      </w:pPr>
      <w:r w:rsidRPr="007B372D">
        <w:rPr>
          <w:rFonts w:asciiTheme="minorHAnsi" w:hAnsiTheme="minorHAnsi"/>
          <w:b/>
        </w:rPr>
        <w:t>Director</w:t>
      </w:r>
    </w:p>
    <w:p w14:paraId="798AD526" w14:textId="77777777" w:rsidR="007B372D" w:rsidRPr="007B372D" w:rsidRDefault="007B372D" w:rsidP="009F47DB">
      <w:pPr>
        <w:jc w:val="both"/>
        <w:rPr>
          <w:rFonts w:asciiTheme="minorHAnsi" w:hAnsiTheme="minorHAnsi"/>
          <w:b/>
        </w:rPr>
      </w:pPr>
    </w:p>
    <w:p w14:paraId="5E1FFEB3" w14:textId="77777777" w:rsidR="007B372D" w:rsidRPr="007B372D" w:rsidRDefault="007B372D" w:rsidP="009F47DB">
      <w:pPr>
        <w:jc w:val="both"/>
        <w:rPr>
          <w:rFonts w:asciiTheme="minorHAnsi" w:hAnsiTheme="minorHAnsi"/>
          <w:b/>
        </w:rPr>
      </w:pPr>
      <w:r w:rsidRPr="007B372D">
        <w:rPr>
          <w:rFonts w:asciiTheme="minorHAnsi" w:hAnsiTheme="minorHAnsi"/>
          <w:b/>
        </w:rPr>
        <w:t>Blaxland</w:t>
      </w:r>
    </w:p>
    <w:p w14:paraId="0C7B0873" w14:textId="77777777" w:rsidR="009F47DB" w:rsidRPr="007B372D" w:rsidRDefault="009F47DB" w:rsidP="009F47DB">
      <w:pPr>
        <w:jc w:val="both"/>
        <w:rPr>
          <w:rFonts w:asciiTheme="minorHAnsi" w:hAnsiTheme="minorHAnsi"/>
          <w:b/>
        </w:rPr>
      </w:pPr>
      <w:r w:rsidRPr="007B372D">
        <w:rPr>
          <w:rFonts w:asciiTheme="minorHAnsi" w:hAnsiTheme="minorHAnsi"/>
          <w:b/>
        </w:rPr>
        <w:t> </w:t>
      </w:r>
    </w:p>
    <w:p w14:paraId="66FFDB13" w14:textId="77777777" w:rsidR="00BD0AE5" w:rsidRPr="009F47DB" w:rsidRDefault="00BD0AE5" w:rsidP="009F47DB">
      <w:pPr>
        <w:jc w:val="both"/>
        <w:rPr>
          <w:rFonts w:asciiTheme="minorHAnsi" w:hAnsiTheme="minorHAnsi"/>
        </w:rPr>
      </w:pPr>
    </w:p>
    <w:p w14:paraId="008443B2" w14:textId="77777777" w:rsidR="003101F8" w:rsidRPr="009F47DB" w:rsidRDefault="003101F8" w:rsidP="009F47DB">
      <w:pPr>
        <w:jc w:val="both"/>
        <w:rPr>
          <w:rFonts w:asciiTheme="minorHAnsi" w:hAnsiTheme="minorHAnsi"/>
        </w:rPr>
      </w:pPr>
    </w:p>
    <w:p w14:paraId="6D25A455" w14:textId="77777777" w:rsidR="003101F8" w:rsidRPr="009F47DB" w:rsidRDefault="003101F8" w:rsidP="009F47DB">
      <w:pPr>
        <w:jc w:val="both"/>
        <w:rPr>
          <w:rFonts w:asciiTheme="minorHAnsi" w:hAnsiTheme="minorHAnsi"/>
        </w:rPr>
      </w:pPr>
    </w:p>
    <w:p w14:paraId="581E3236" w14:textId="77777777" w:rsidR="00E10217" w:rsidRPr="009F47DB" w:rsidRDefault="00E10217" w:rsidP="009F47DB">
      <w:pPr>
        <w:jc w:val="both"/>
        <w:rPr>
          <w:rFonts w:asciiTheme="minorHAnsi" w:hAnsiTheme="minorHAnsi"/>
        </w:rPr>
      </w:pPr>
    </w:p>
    <w:p w14:paraId="1979250D" w14:textId="77777777" w:rsidR="00E10217" w:rsidRPr="009F47DB" w:rsidRDefault="00E10217" w:rsidP="009F47DB">
      <w:pPr>
        <w:jc w:val="both"/>
        <w:rPr>
          <w:rFonts w:asciiTheme="minorHAnsi" w:hAnsiTheme="minorHAnsi"/>
        </w:rPr>
      </w:pPr>
    </w:p>
    <w:p w14:paraId="578F189F" w14:textId="77777777" w:rsidR="003101F8" w:rsidRPr="009F47DB" w:rsidRDefault="003101F8" w:rsidP="009F47DB">
      <w:pPr>
        <w:jc w:val="both"/>
        <w:rPr>
          <w:rFonts w:asciiTheme="minorHAnsi" w:hAnsiTheme="minorHAnsi"/>
        </w:rPr>
      </w:pPr>
    </w:p>
    <w:p w14:paraId="27B06EBE" w14:textId="77777777" w:rsidR="003101F8" w:rsidRPr="009F47DB" w:rsidRDefault="003101F8" w:rsidP="009F47DB">
      <w:pPr>
        <w:jc w:val="both"/>
        <w:rPr>
          <w:rFonts w:asciiTheme="minorHAnsi" w:hAnsiTheme="minorHAnsi"/>
        </w:rPr>
      </w:pPr>
    </w:p>
    <w:p w14:paraId="369546D7" w14:textId="77777777" w:rsidR="003101F8" w:rsidRPr="009F47DB" w:rsidRDefault="003101F8" w:rsidP="009F47DB">
      <w:pPr>
        <w:jc w:val="both"/>
        <w:rPr>
          <w:rFonts w:asciiTheme="minorHAnsi" w:hAnsiTheme="minorHAnsi"/>
        </w:rPr>
      </w:pPr>
    </w:p>
    <w:p w14:paraId="17CB7B74" w14:textId="77777777" w:rsidR="003D5B36" w:rsidRPr="009F47DB" w:rsidRDefault="003D5B36" w:rsidP="009F47DB">
      <w:pPr>
        <w:jc w:val="both"/>
        <w:rPr>
          <w:rFonts w:asciiTheme="minorHAnsi" w:hAnsiTheme="minorHAnsi"/>
        </w:rPr>
      </w:pPr>
    </w:p>
    <w:p w14:paraId="744BC058" w14:textId="77777777" w:rsidR="00DF098D" w:rsidRPr="009F47DB" w:rsidRDefault="00DF098D" w:rsidP="009F47DB">
      <w:pPr>
        <w:jc w:val="both"/>
        <w:rPr>
          <w:rFonts w:asciiTheme="minorHAnsi" w:hAnsiTheme="minorHAnsi"/>
        </w:rPr>
      </w:pPr>
    </w:p>
    <w:sectPr w:rsidR="00DF098D" w:rsidRPr="009F47DB" w:rsidSect="002D39BF">
      <w:headerReference w:type="default" r:id="rId14"/>
      <w:footerReference w:type="default" r:id="rId15"/>
      <w:pgSz w:w="11907" w:h="16840" w:code="9"/>
      <w:pgMar w:top="1440" w:right="1134" w:bottom="1440"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06DD0" w14:textId="77777777" w:rsidR="005A21EB" w:rsidRDefault="005A21EB">
      <w:r>
        <w:separator/>
      </w:r>
    </w:p>
  </w:endnote>
  <w:endnote w:type="continuationSeparator" w:id="0">
    <w:p w14:paraId="74BCD2A7" w14:textId="77777777" w:rsidR="005A21EB" w:rsidRDefault="005A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4F378" w14:textId="77777777" w:rsidR="00E250CC" w:rsidRPr="00993770" w:rsidRDefault="00E10217" w:rsidP="00993770">
    <w:pPr>
      <w:pStyle w:val="Footer"/>
      <w:jc w:val="center"/>
      <w:rPr>
        <w:sz w:val="20"/>
        <w:szCs w:val="20"/>
      </w:rPr>
    </w:pPr>
    <w:r>
      <w:rPr>
        <w:sz w:val="20"/>
        <w:szCs w:val="20"/>
      </w:rPr>
      <w:t>175 Fullarton Road, Dulwich</w:t>
    </w:r>
    <w:r w:rsidR="002D39BF">
      <w:rPr>
        <w:sz w:val="20"/>
        <w:szCs w:val="20"/>
      </w:rPr>
      <w:t xml:space="preserve">   SA   </w:t>
    </w:r>
    <w:r>
      <w:rPr>
        <w:sz w:val="20"/>
        <w:szCs w:val="20"/>
      </w:rPr>
      <w:t>5065</w:t>
    </w:r>
  </w:p>
  <w:p w14:paraId="7BDD18E8" w14:textId="77777777" w:rsidR="00E250CC" w:rsidRPr="00993770" w:rsidRDefault="00E250CC" w:rsidP="00993770">
    <w:pPr>
      <w:pStyle w:val="Footer"/>
      <w:jc w:val="center"/>
      <w:rPr>
        <w:sz w:val="20"/>
        <w:szCs w:val="20"/>
      </w:rPr>
    </w:pPr>
    <w:r w:rsidRPr="00993770">
      <w:rPr>
        <w:sz w:val="20"/>
        <w:szCs w:val="20"/>
      </w:rPr>
      <w:t>Blaxland Vineyards Limited ABN: 61 067 514 792</w:t>
    </w:r>
  </w:p>
  <w:p w14:paraId="6C118612" w14:textId="77777777" w:rsidR="00E250CC" w:rsidRPr="00993770" w:rsidRDefault="00F96941" w:rsidP="00993770">
    <w:pPr>
      <w:pStyle w:val="Footer"/>
      <w:jc w:val="center"/>
      <w:rPr>
        <w:sz w:val="20"/>
        <w:szCs w:val="20"/>
      </w:rPr>
    </w:pPr>
    <w:r>
      <w:rPr>
        <w:sz w:val="20"/>
        <w:szCs w:val="20"/>
      </w:rPr>
      <w:t>T</w:t>
    </w:r>
    <w:r w:rsidR="00E250CC" w:rsidRPr="00993770">
      <w:rPr>
        <w:sz w:val="20"/>
        <w:szCs w:val="20"/>
      </w:rPr>
      <w:t xml:space="preserve">: </w:t>
    </w:r>
    <w:r>
      <w:rPr>
        <w:sz w:val="20"/>
        <w:szCs w:val="20"/>
      </w:rPr>
      <w:t>08 8304 8879 F</w:t>
    </w:r>
    <w:r w:rsidR="00E250CC" w:rsidRPr="00993770">
      <w:rPr>
        <w:sz w:val="20"/>
        <w:szCs w:val="20"/>
      </w:rPr>
      <w:t>: 0</w:t>
    </w:r>
    <w:r w:rsidR="002D39BF">
      <w:rPr>
        <w:sz w:val="20"/>
        <w:szCs w:val="20"/>
      </w:rPr>
      <w:t>8 8</w:t>
    </w:r>
    <w:r w:rsidR="00BE0B88">
      <w:rPr>
        <w:sz w:val="20"/>
        <w:szCs w:val="20"/>
      </w:rPr>
      <w:t>364 2910</w:t>
    </w:r>
    <w:r w:rsidR="00E250CC" w:rsidRPr="00993770">
      <w:rPr>
        <w:sz w:val="20"/>
        <w:szCs w:val="20"/>
      </w:rPr>
      <w:t xml:space="preserve"> E: </w:t>
    </w:r>
    <w:hyperlink r:id="rId1" w:history="1">
      <w:r w:rsidRPr="006D601A">
        <w:rPr>
          <w:rStyle w:val="Hyperlink"/>
          <w:sz w:val="20"/>
          <w:szCs w:val="20"/>
        </w:rPr>
        <w:t>vineyards@blaxvin.com.au</w:t>
      </w:r>
    </w:hyperlink>
    <w:r>
      <w:rPr>
        <w:sz w:val="20"/>
        <w:szCs w:val="20"/>
      </w:rPr>
      <w:t xml:space="preserve"> W</w:t>
    </w:r>
    <w:r w:rsidR="00E250CC" w:rsidRPr="00993770">
      <w:rPr>
        <w:sz w:val="20"/>
        <w:szCs w:val="20"/>
      </w:rPr>
      <w:t xml:space="preserve">: </w:t>
    </w:r>
    <w:hyperlink r:id="rId2" w:history="1">
      <w:r w:rsidR="00E250CC" w:rsidRPr="00993770">
        <w:rPr>
          <w:rStyle w:val="Hyperlink"/>
          <w:sz w:val="20"/>
          <w:szCs w:val="20"/>
          <w:u w:val="none"/>
        </w:rPr>
        <w:t>www.blaxvin.com.au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EDA72" w14:textId="77777777" w:rsidR="005A21EB" w:rsidRDefault="005A21EB">
      <w:r>
        <w:separator/>
      </w:r>
    </w:p>
  </w:footnote>
  <w:footnote w:type="continuationSeparator" w:id="0">
    <w:p w14:paraId="07828701" w14:textId="77777777" w:rsidR="005A21EB" w:rsidRDefault="005A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44BB9" w14:textId="77777777" w:rsidR="00E250CC" w:rsidRPr="00993770" w:rsidRDefault="003B291B">
    <w:pPr>
      <w:pStyle w:val="Header"/>
      <w:rPr>
        <w:i/>
        <w:sz w:val="96"/>
        <w:szCs w:val="96"/>
      </w:rPr>
    </w:pPr>
    <w:r>
      <w:rPr>
        <w:i/>
        <w:noProof/>
        <w:sz w:val="144"/>
        <w:szCs w:val="144"/>
        <w:lang w:eastAsia="en-AU"/>
      </w:rPr>
      <w:drawing>
        <wp:anchor distT="0" distB="0" distL="114300" distR="114300" simplePos="0" relativeHeight="251657728" behindDoc="1" locked="0" layoutInCell="1" allowOverlap="1" wp14:anchorId="1A6AEDD1" wp14:editId="13321D21">
          <wp:simplePos x="0" y="0"/>
          <wp:positionH relativeFrom="column">
            <wp:posOffset>4343400</wp:posOffset>
          </wp:positionH>
          <wp:positionV relativeFrom="paragraph">
            <wp:posOffset>-221615</wp:posOffset>
          </wp:positionV>
          <wp:extent cx="2112645" cy="1760855"/>
          <wp:effectExtent l="19050" t="0" r="1905" b="0"/>
          <wp:wrapTight wrapText="bothSides">
            <wp:wrapPolygon edited="0">
              <wp:start x="-195" y="0"/>
              <wp:lineTo x="-195" y="21265"/>
              <wp:lineTo x="21619" y="21265"/>
              <wp:lineTo x="21619" y="0"/>
              <wp:lineTo x="-195" y="0"/>
            </wp:wrapPolygon>
          </wp:wrapTight>
          <wp:docPr id="1" name="Picture 1" descr="Blaxland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xland Logo (1)"/>
                  <pic:cNvPicPr>
                    <a:picLocks noChangeAspect="1" noChangeArrowheads="1"/>
                  </pic:cNvPicPr>
                </pic:nvPicPr>
                <pic:blipFill>
                  <a:blip r:embed="rId1"/>
                  <a:srcRect/>
                  <a:stretch>
                    <a:fillRect/>
                  </a:stretch>
                </pic:blipFill>
                <pic:spPr bwMode="auto">
                  <a:xfrm>
                    <a:off x="0" y="0"/>
                    <a:ext cx="2112645" cy="1760855"/>
                  </a:xfrm>
                  <a:prstGeom prst="rect">
                    <a:avLst/>
                  </a:prstGeom>
                  <a:noFill/>
                </pic:spPr>
              </pic:pic>
            </a:graphicData>
          </a:graphic>
        </wp:anchor>
      </w:drawing>
    </w:r>
    <w:r w:rsidR="00E250CC" w:rsidRPr="00993770">
      <w:rPr>
        <w:i/>
        <w:sz w:val="144"/>
        <w:szCs w:val="144"/>
      </w:rPr>
      <w:t>B</w:t>
    </w:r>
    <w:r w:rsidR="00E250CC" w:rsidRPr="00993770">
      <w:rPr>
        <w:i/>
        <w:sz w:val="96"/>
        <w:szCs w:val="96"/>
      </w:rPr>
      <w:t>laxland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12161"/>
    <w:multiLevelType w:val="hybridMultilevel"/>
    <w:tmpl w:val="9872CF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5D"/>
    <w:rsid w:val="000413EF"/>
    <w:rsid w:val="00097B7B"/>
    <w:rsid w:val="00150E13"/>
    <w:rsid w:val="00212DBF"/>
    <w:rsid w:val="002A7D85"/>
    <w:rsid w:val="002B4B50"/>
    <w:rsid w:val="002D39BF"/>
    <w:rsid w:val="003060AD"/>
    <w:rsid w:val="003101F8"/>
    <w:rsid w:val="0038291F"/>
    <w:rsid w:val="003B291B"/>
    <w:rsid w:val="003D5B36"/>
    <w:rsid w:val="004315E8"/>
    <w:rsid w:val="004B5A78"/>
    <w:rsid w:val="005A21EB"/>
    <w:rsid w:val="005D3E43"/>
    <w:rsid w:val="00604674"/>
    <w:rsid w:val="00645233"/>
    <w:rsid w:val="006A4881"/>
    <w:rsid w:val="006C3143"/>
    <w:rsid w:val="006E1ADA"/>
    <w:rsid w:val="0070635D"/>
    <w:rsid w:val="007B372D"/>
    <w:rsid w:val="00887F59"/>
    <w:rsid w:val="008C2093"/>
    <w:rsid w:val="008F2D4B"/>
    <w:rsid w:val="0098388D"/>
    <w:rsid w:val="00993770"/>
    <w:rsid w:val="009C2C09"/>
    <w:rsid w:val="009F47DB"/>
    <w:rsid w:val="00AB2081"/>
    <w:rsid w:val="00BA52DD"/>
    <w:rsid w:val="00BD0AE5"/>
    <w:rsid w:val="00BE0B88"/>
    <w:rsid w:val="00BE0CF4"/>
    <w:rsid w:val="00C32ADE"/>
    <w:rsid w:val="00C9630E"/>
    <w:rsid w:val="00DF098D"/>
    <w:rsid w:val="00E10217"/>
    <w:rsid w:val="00E23FBA"/>
    <w:rsid w:val="00E250CC"/>
    <w:rsid w:val="00E9181C"/>
    <w:rsid w:val="00EF4BE4"/>
    <w:rsid w:val="00F45718"/>
    <w:rsid w:val="00F96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CC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9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3770"/>
    <w:pPr>
      <w:tabs>
        <w:tab w:val="center" w:pos="4320"/>
        <w:tab w:val="right" w:pos="8640"/>
      </w:tabs>
    </w:pPr>
  </w:style>
  <w:style w:type="paragraph" w:styleId="Footer">
    <w:name w:val="footer"/>
    <w:basedOn w:val="Normal"/>
    <w:rsid w:val="00993770"/>
    <w:pPr>
      <w:tabs>
        <w:tab w:val="center" w:pos="4320"/>
        <w:tab w:val="right" w:pos="8640"/>
      </w:tabs>
    </w:pPr>
  </w:style>
  <w:style w:type="character" w:styleId="Hyperlink">
    <w:name w:val="Hyperlink"/>
    <w:rsid w:val="00993770"/>
    <w:rPr>
      <w:color w:val="0000FF"/>
      <w:u w:val="single"/>
    </w:rPr>
  </w:style>
  <w:style w:type="paragraph" w:styleId="BalloonText">
    <w:name w:val="Balloon Text"/>
    <w:basedOn w:val="Normal"/>
    <w:link w:val="BalloonTextChar"/>
    <w:uiPriority w:val="99"/>
    <w:semiHidden/>
    <w:unhideWhenUsed/>
    <w:rsid w:val="003D5B36"/>
    <w:rPr>
      <w:rFonts w:ascii="Tahoma" w:hAnsi="Tahoma" w:cs="Tahoma"/>
      <w:sz w:val="16"/>
      <w:szCs w:val="16"/>
    </w:rPr>
  </w:style>
  <w:style w:type="character" w:customStyle="1" w:styleId="BalloonTextChar">
    <w:name w:val="Balloon Text Char"/>
    <w:link w:val="BalloonText"/>
    <w:uiPriority w:val="99"/>
    <w:semiHidden/>
    <w:rsid w:val="003D5B36"/>
    <w:rPr>
      <w:rFonts w:ascii="Tahoma" w:hAnsi="Tahoma" w:cs="Tahoma"/>
      <w:sz w:val="16"/>
      <w:szCs w:val="16"/>
      <w:lang w:val="en-AU"/>
    </w:rPr>
  </w:style>
  <w:style w:type="paragraph" w:styleId="ListParagraph">
    <w:name w:val="List Paragraph"/>
    <w:basedOn w:val="Normal"/>
    <w:uiPriority w:val="34"/>
    <w:qFormat/>
    <w:rsid w:val="009F47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9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3770"/>
    <w:pPr>
      <w:tabs>
        <w:tab w:val="center" w:pos="4320"/>
        <w:tab w:val="right" w:pos="8640"/>
      </w:tabs>
    </w:pPr>
  </w:style>
  <w:style w:type="paragraph" w:styleId="Footer">
    <w:name w:val="footer"/>
    <w:basedOn w:val="Normal"/>
    <w:rsid w:val="00993770"/>
    <w:pPr>
      <w:tabs>
        <w:tab w:val="center" w:pos="4320"/>
        <w:tab w:val="right" w:pos="8640"/>
      </w:tabs>
    </w:pPr>
  </w:style>
  <w:style w:type="character" w:styleId="Hyperlink">
    <w:name w:val="Hyperlink"/>
    <w:rsid w:val="00993770"/>
    <w:rPr>
      <w:color w:val="0000FF"/>
      <w:u w:val="single"/>
    </w:rPr>
  </w:style>
  <w:style w:type="paragraph" w:styleId="BalloonText">
    <w:name w:val="Balloon Text"/>
    <w:basedOn w:val="Normal"/>
    <w:link w:val="BalloonTextChar"/>
    <w:uiPriority w:val="99"/>
    <w:semiHidden/>
    <w:unhideWhenUsed/>
    <w:rsid w:val="003D5B36"/>
    <w:rPr>
      <w:rFonts w:ascii="Tahoma" w:hAnsi="Tahoma" w:cs="Tahoma"/>
      <w:sz w:val="16"/>
      <w:szCs w:val="16"/>
    </w:rPr>
  </w:style>
  <w:style w:type="character" w:customStyle="1" w:styleId="BalloonTextChar">
    <w:name w:val="Balloon Text Char"/>
    <w:link w:val="BalloonText"/>
    <w:uiPriority w:val="99"/>
    <w:semiHidden/>
    <w:rsid w:val="003D5B36"/>
    <w:rPr>
      <w:rFonts w:ascii="Tahoma" w:hAnsi="Tahoma" w:cs="Tahoma"/>
      <w:sz w:val="16"/>
      <w:szCs w:val="16"/>
      <w:lang w:val="en-AU"/>
    </w:rPr>
  </w:style>
  <w:style w:type="paragraph" w:styleId="ListParagraph">
    <w:name w:val="List Paragraph"/>
    <w:basedOn w:val="Normal"/>
    <w:uiPriority w:val="34"/>
    <w:qFormat/>
    <w:rsid w:val="009F4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69003">
      <w:bodyDiv w:val="1"/>
      <w:marLeft w:val="0"/>
      <w:marRight w:val="0"/>
      <w:marTop w:val="0"/>
      <w:marBottom w:val="0"/>
      <w:divBdr>
        <w:top w:val="none" w:sz="0" w:space="0" w:color="auto"/>
        <w:left w:val="none" w:sz="0" w:space="0" w:color="auto"/>
        <w:bottom w:val="none" w:sz="0" w:space="0" w:color="auto"/>
        <w:right w:val="none" w:sz="0" w:space="0" w:color="auto"/>
      </w:divBdr>
    </w:div>
    <w:div w:id="11850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onc@blaxvin.com.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laxvin.com.au" TargetMode="External"/><Relationship Id="rId1" Type="http://schemas.openxmlformats.org/officeDocument/2006/relationships/hyperlink" Target="mailto:vineyards@blaxvi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2016RG-284-245</_dlc_DocId>
    <_dlc_DocIdUrl xmlns="9f7bc583-7cbe-45b9-a2bd-8bbb6543b37e">
      <Url>http://tweb/sites/rg/iitd/alcoh/_layouts/15/DocIdRedir.aspx?ID=2016RG-284-245</Url>
      <Description>2016RG-284-245</Description>
    </_dlc_DocIdUrl>
  </documentManagement>
</p:properties>
</file>

<file path=customXml/itemProps1.xml><?xml version="1.0" encoding="utf-8"?>
<ds:datastoreItem xmlns:ds="http://schemas.openxmlformats.org/officeDocument/2006/customXml" ds:itemID="{48DC0138-313D-4727-948C-753E051F5018}"/>
</file>

<file path=customXml/itemProps2.xml><?xml version="1.0" encoding="utf-8"?>
<ds:datastoreItem xmlns:ds="http://schemas.openxmlformats.org/officeDocument/2006/customXml" ds:itemID="{3CF5A263-0BC3-4E28-B735-BDB6FE562EE1}"/>
</file>

<file path=customXml/itemProps3.xml><?xml version="1.0" encoding="utf-8"?>
<ds:datastoreItem xmlns:ds="http://schemas.openxmlformats.org/officeDocument/2006/customXml" ds:itemID="{29CC6AD9-7ACC-49DA-8A80-F990D5EF707C}"/>
</file>

<file path=customXml/itemProps4.xml><?xml version="1.0" encoding="utf-8"?>
<ds:datastoreItem xmlns:ds="http://schemas.openxmlformats.org/officeDocument/2006/customXml" ds:itemID="{8BF1340A-7F94-4D84-92A3-3A31FED733D9}"/>
</file>

<file path=customXml/itemProps5.xml><?xml version="1.0" encoding="utf-8"?>
<ds:datastoreItem xmlns:ds="http://schemas.openxmlformats.org/officeDocument/2006/customXml" ds:itemID="{D1224AD9-3FC6-4A46-9CA6-8033138875EF}"/>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3698</Characters>
  <Application>Microsoft Office Word</Application>
  <DocSecurity>4</DocSecurity>
  <Lines>336</Lines>
  <Paragraphs>296</Paragraphs>
  <ScaleCrop>false</ScaleCrop>
  <HeadingPairs>
    <vt:vector size="2" baseType="variant">
      <vt:variant>
        <vt:lpstr>Title</vt:lpstr>
      </vt:variant>
      <vt:variant>
        <vt:i4>1</vt:i4>
      </vt:variant>
    </vt:vector>
  </HeadingPairs>
  <TitlesOfParts>
    <vt:vector size="1" baseType="lpstr">
      <vt:lpstr/>
    </vt:vector>
  </TitlesOfParts>
  <Company>Marshall Consulting</Company>
  <LinksUpToDate>false</LinksUpToDate>
  <CharactersWithSpaces>4151</CharactersWithSpaces>
  <SharedDoc>false</SharedDoc>
  <HLinks>
    <vt:vector size="12" baseType="variant">
      <vt:variant>
        <vt:i4>7340087</vt:i4>
      </vt:variant>
      <vt:variant>
        <vt:i4>3</vt:i4>
      </vt:variant>
      <vt:variant>
        <vt:i4>0</vt:i4>
      </vt:variant>
      <vt:variant>
        <vt:i4>5</vt:i4>
      </vt:variant>
      <vt:variant>
        <vt:lpwstr>http://www.blaxvin.com.au/</vt:lpwstr>
      </vt:variant>
      <vt:variant>
        <vt:lpwstr/>
      </vt:variant>
      <vt:variant>
        <vt:i4>721004</vt:i4>
      </vt:variant>
      <vt:variant>
        <vt:i4>0</vt:i4>
      </vt:variant>
      <vt:variant>
        <vt:i4>0</vt:i4>
      </vt:variant>
      <vt:variant>
        <vt:i4>5</vt:i4>
      </vt:variant>
      <vt:variant>
        <vt:lpwstr>mailto:philipm@blaxvin.com.au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Archer</dc:creator>
  <cp:lastModifiedBy>O'Rourke, L-J</cp:lastModifiedBy>
  <cp:revision>2</cp:revision>
  <cp:lastPrinted>2010-01-08T05:06:00Z</cp:lastPrinted>
  <dcterms:created xsi:type="dcterms:W3CDTF">2016-10-20T02:34:00Z</dcterms:created>
  <dcterms:modified xsi:type="dcterms:W3CDTF">2016-10-20T02:34:00Z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6c48d922-6d4c-41e4-9cfd-a2339ade49fe</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{6c48d922-6d4c-41e4-9cfd-a2339ade49fe}</vt:lpwstr>
  </property>
  <property fmtid="{D5CDD505-2E9C-101B-9397-08002B2CF9AE}" pid="9" name="RecordPoint_ActiveItemWebId">
    <vt:lpwstr>{321685ce-0414-4cb5-ba5e-9e54c6ae1071}</vt:lpwstr>
  </property>
  <property fmtid="{D5CDD505-2E9C-101B-9397-08002B2CF9AE}" pid="10" name="RecordPoint_RecordNumberSubmitted">
    <vt:lpwstr>R0001130827</vt:lpwstr>
  </property>
  <property fmtid="{D5CDD505-2E9C-101B-9397-08002B2CF9AE}" pid="11" name="RecordPoint_SubmissionCompleted">
    <vt:lpwstr>2016-10-20T13:37:24.0533540+11:00</vt:lpwstr>
  </property>
</Properties>
</file>