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7BC7D" w14:textId="77777777" w:rsidR="00402907" w:rsidRDefault="002D4DCA">
      <w:pPr>
        <w:rPr>
          <w:b/>
          <w:sz w:val="28"/>
          <w:szCs w:val="28"/>
          <w:u w:val="single"/>
        </w:rPr>
      </w:pPr>
      <w:bookmarkStart w:id="0" w:name="_GoBack"/>
      <w:bookmarkEnd w:id="0"/>
      <w:r w:rsidRPr="002D4DCA">
        <w:rPr>
          <w:b/>
          <w:sz w:val="28"/>
          <w:szCs w:val="28"/>
          <w:u w:val="single"/>
        </w:rPr>
        <w:t>Submission – Wine Equalisation Rebate – Tightened Eligibility Criteria</w:t>
      </w:r>
    </w:p>
    <w:p w14:paraId="12E70E82" w14:textId="77777777" w:rsidR="002D4DCA" w:rsidRDefault="002D4DCA">
      <w:pPr>
        <w:rPr>
          <w:b/>
          <w:sz w:val="28"/>
          <w:szCs w:val="28"/>
          <w:u w:val="single"/>
        </w:rPr>
      </w:pPr>
    </w:p>
    <w:p w14:paraId="452457E2" w14:textId="77777777" w:rsidR="002D4DCA" w:rsidRDefault="002D4DCA">
      <w:pPr>
        <w:rPr>
          <w:b/>
          <w:sz w:val="28"/>
          <w:szCs w:val="28"/>
          <w:u w:val="single"/>
        </w:rPr>
      </w:pPr>
    </w:p>
    <w:p w14:paraId="1E4C5DF5" w14:textId="77777777" w:rsidR="002D4DCA" w:rsidRDefault="002D4DCA" w:rsidP="002D4DCA">
      <w:pPr>
        <w:pStyle w:val="ListParagraph"/>
        <w:numPr>
          <w:ilvl w:val="0"/>
          <w:numId w:val="1"/>
        </w:numPr>
        <w:ind w:right="-766"/>
        <w:rPr>
          <w:sz w:val="28"/>
          <w:szCs w:val="28"/>
        </w:rPr>
      </w:pPr>
      <w:r w:rsidRPr="002D4DCA">
        <w:rPr>
          <w:sz w:val="28"/>
          <w:szCs w:val="28"/>
        </w:rPr>
        <w:t xml:space="preserve">The need to tighten eligibility has become </w:t>
      </w:r>
      <w:proofErr w:type="gramStart"/>
      <w:r w:rsidRPr="002D4DCA">
        <w:rPr>
          <w:sz w:val="28"/>
          <w:szCs w:val="28"/>
        </w:rPr>
        <w:t>so</w:t>
      </w:r>
      <w:proofErr w:type="gramEnd"/>
      <w:r w:rsidRPr="002D4DCA">
        <w:rPr>
          <w:sz w:val="28"/>
          <w:szCs w:val="28"/>
        </w:rPr>
        <w:t xml:space="preserve"> great as to threaten the rationale for the rebate in its entirety. </w:t>
      </w:r>
      <w:r>
        <w:rPr>
          <w:sz w:val="28"/>
          <w:szCs w:val="28"/>
        </w:rPr>
        <w:t>Every proposal for change should be looked at through the prism of ‘original intent’, including this one.</w:t>
      </w:r>
    </w:p>
    <w:p w14:paraId="72BD4635" w14:textId="77777777" w:rsidR="00137386" w:rsidRDefault="00137386" w:rsidP="00137386">
      <w:pPr>
        <w:pStyle w:val="ListParagraph"/>
        <w:ind w:right="-766"/>
        <w:rPr>
          <w:sz w:val="28"/>
          <w:szCs w:val="28"/>
        </w:rPr>
      </w:pPr>
    </w:p>
    <w:p w14:paraId="623B6706" w14:textId="77777777" w:rsidR="002D4DCA" w:rsidRDefault="002D4DCA" w:rsidP="002D4DCA">
      <w:pPr>
        <w:pStyle w:val="ListParagraph"/>
        <w:numPr>
          <w:ilvl w:val="0"/>
          <w:numId w:val="1"/>
        </w:numPr>
        <w:ind w:right="-766"/>
        <w:rPr>
          <w:sz w:val="28"/>
          <w:szCs w:val="28"/>
        </w:rPr>
      </w:pPr>
      <w:r>
        <w:rPr>
          <w:sz w:val="28"/>
          <w:szCs w:val="28"/>
        </w:rPr>
        <w:t xml:space="preserve">We believe that the </w:t>
      </w:r>
      <w:r w:rsidRPr="002D4DCA">
        <w:rPr>
          <w:sz w:val="28"/>
          <w:szCs w:val="28"/>
          <w:u w:val="single"/>
        </w:rPr>
        <w:t>Wines of Western Australia</w:t>
      </w:r>
      <w:r>
        <w:rPr>
          <w:sz w:val="28"/>
          <w:szCs w:val="28"/>
        </w:rPr>
        <w:t xml:space="preserve"> </w:t>
      </w:r>
      <w:r w:rsidRPr="002D4DCA">
        <w:rPr>
          <w:sz w:val="28"/>
          <w:szCs w:val="28"/>
        </w:rPr>
        <w:t>position paper</w:t>
      </w:r>
      <w:r>
        <w:rPr>
          <w:sz w:val="28"/>
          <w:szCs w:val="28"/>
        </w:rPr>
        <w:t xml:space="preserve"> is a fair summation of the situation and we support the proposal</w:t>
      </w:r>
      <w:r w:rsidR="00137386">
        <w:rPr>
          <w:sz w:val="28"/>
          <w:szCs w:val="28"/>
        </w:rPr>
        <w:t xml:space="preserve"> in gener</w:t>
      </w:r>
      <w:r w:rsidR="009140D4">
        <w:rPr>
          <w:sz w:val="28"/>
          <w:szCs w:val="28"/>
        </w:rPr>
        <w:t>al terms. Our only difficulty is</w:t>
      </w:r>
      <w:r w:rsidR="00137386">
        <w:rPr>
          <w:sz w:val="28"/>
          <w:szCs w:val="28"/>
        </w:rPr>
        <w:t xml:space="preserve"> our doubt that it is revenue neutral and the</w:t>
      </w:r>
      <w:r w:rsidR="00925408">
        <w:rPr>
          <w:sz w:val="28"/>
          <w:szCs w:val="28"/>
        </w:rPr>
        <w:t xml:space="preserve"> direction the debate may go</w:t>
      </w:r>
      <w:r w:rsidR="00137386">
        <w:rPr>
          <w:sz w:val="28"/>
          <w:szCs w:val="28"/>
        </w:rPr>
        <w:t xml:space="preserve"> if it needs to be tightened to achieve this worthy aim.</w:t>
      </w:r>
    </w:p>
    <w:p w14:paraId="1BEC301E" w14:textId="77777777" w:rsidR="00137386" w:rsidRPr="00137386" w:rsidRDefault="00137386" w:rsidP="00137386">
      <w:pPr>
        <w:pStyle w:val="ListParagraph"/>
        <w:rPr>
          <w:sz w:val="28"/>
          <w:szCs w:val="28"/>
        </w:rPr>
      </w:pPr>
    </w:p>
    <w:p w14:paraId="4EFEA7B2" w14:textId="77777777" w:rsidR="00137386" w:rsidRDefault="00137386" w:rsidP="002D4DCA">
      <w:pPr>
        <w:pStyle w:val="ListParagraph"/>
        <w:numPr>
          <w:ilvl w:val="0"/>
          <w:numId w:val="1"/>
        </w:numPr>
        <w:ind w:right="-766"/>
        <w:rPr>
          <w:sz w:val="28"/>
          <w:szCs w:val="28"/>
        </w:rPr>
      </w:pPr>
      <w:r>
        <w:rPr>
          <w:sz w:val="28"/>
          <w:szCs w:val="28"/>
        </w:rPr>
        <w:t>We believe that if further tightening is required it should be to the cap at which the rebate applies. Care must be taken that in attempting to rationalise the rebate, organisational structures are not given a value. The basic unit is as follows:-</w:t>
      </w:r>
    </w:p>
    <w:p w14:paraId="1A74255E" w14:textId="77777777" w:rsidR="00137386" w:rsidRDefault="009140D4" w:rsidP="009140D4">
      <w:pPr>
        <w:pStyle w:val="ListParagraph"/>
        <w:numPr>
          <w:ilvl w:val="0"/>
          <w:numId w:val="3"/>
        </w:numPr>
        <w:ind w:right="-766"/>
        <w:rPr>
          <w:sz w:val="28"/>
          <w:szCs w:val="28"/>
        </w:rPr>
      </w:pPr>
      <w:r>
        <w:rPr>
          <w:sz w:val="28"/>
          <w:szCs w:val="28"/>
        </w:rPr>
        <w:t xml:space="preserve"> Get some suitable land and grow some grapes,</w:t>
      </w:r>
    </w:p>
    <w:p w14:paraId="74CA487C" w14:textId="77777777" w:rsidR="009140D4" w:rsidRDefault="009140D4" w:rsidP="009140D4">
      <w:pPr>
        <w:pStyle w:val="ListParagraph"/>
        <w:numPr>
          <w:ilvl w:val="0"/>
          <w:numId w:val="3"/>
        </w:numPr>
        <w:ind w:right="-766"/>
        <w:rPr>
          <w:sz w:val="28"/>
          <w:szCs w:val="28"/>
        </w:rPr>
      </w:pPr>
      <w:r>
        <w:rPr>
          <w:sz w:val="28"/>
          <w:szCs w:val="28"/>
        </w:rPr>
        <w:t xml:space="preserve"> Turn the grapes into wine,</w:t>
      </w:r>
    </w:p>
    <w:p w14:paraId="0F4BA5E0" w14:textId="77777777" w:rsidR="009140D4" w:rsidRDefault="009140D4" w:rsidP="009140D4">
      <w:pPr>
        <w:pStyle w:val="ListParagraph"/>
        <w:numPr>
          <w:ilvl w:val="0"/>
          <w:numId w:val="3"/>
        </w:numPr>
        <w:ind w:right="-766"/>
        <w:rPr>
          <w:sz w:val="28"/>
          <w:szCs w:val="28"/>
        </w:rPr>
      </w:pPr>
      <w:r>
        <w:rPr>
          <w:sz w:val="28"/>
          <w:szCs w:val="28"/>
        </w:rPr>
        <w:t xml:space="preserve"> Package the wine, and</w:t>
      </w:r>
    </w:p>
    <w:p w14:paraId="64273A58" w14:textId="77777777" w:rsidR="009140D4" w:rsidRDefault="009140D4" w:rsidP="009140D4">
      <w:pPr>
        <w:pStyle w:val="ListParagraph"/>
        <w:numPr>
          <w:ilvl w:val="0"/>
          <w:numId w:val="3"/>
        </w:numPr>
        <w:ind w:right="-766"/>
        <w:rPr>
          <w:sz w:val="28"/>
          <w:szCs w:val="28"/>
        </w:rPr>
      </w:pPr>
      <w:r>
        <w:rPr>
          <w:sz w:val="28"/>
          <w:szCs w:val="28"/>
        </w:rPr>
        <w:t xml:space="preserve"> Sell the product.</w:t>
      </w:r>
    </w:p>
    <w:p w14:paraId="4FF6361B" w14:textId="77777777" w:rsidR="009140D4" w:rsidRDefault="009140D4" w:rsidP="009140D4">
      <w:pPr>
        <w:ind w:right="-766"/>
        <w:rPr>
          <w:sz w:val="28"/>
          <w:szCs w:val="28"/>
        </w:rPr>
      </w:pPr>
      <w:r>
        <w:rPr>
          <w:sz w:val="28"/>
          <w:szCs w:val="28"/>
        </w:rPr>
        <w:t xml:space="preserve"> </w:t>
      </w:r>
      <w:r w:rsidR="00925408">
        <w:rPr>
          <w:sz w:val="28"/>
          <w:szCs w:val="28"/>
        </w:rPr>
        <w:t xml:space="preserve">        </w:t>
      </w:r>
      <w:r>
        <w:rPr>
          <w:sz w:val="28"/>
          <w:szCs w:val="28"/>
        </w:rPr>
        <w:t xml:space="preserve">It should be immaterial for taxation purposes whether the winemaker is the </w:t>
      </w:r>
      <w:r w:rsidR="00925408">
        <w:rPr>
          <w:sz w:val="28"/>
          <w:szCs w:val="28"/>
        </w:rPr>
        <w:t xml:space="preserve">         </w:t>
      </w:r>
      <w:r>
        <w:rPr>
          <w:sz w:val="28"/>
          <w:szCs w:val="28"/>
        </w:rPr>
        <w:t xml:space="preserve">owner, their </w:t>
      </w:r>
      <w:r w:rsidR="00925408">
        <w:rPr>
          <w:sz w:val="28"/>
          <w:szCs w:val="28"/>
        </w:rPr>
        <w:t>employee or an outside contracto</w:t>
      </w:r>
      <w:r>
        <w:rPr>
          <w:sz w:val="28"/>
          <w:szCs w:val="28"/>
        </w:rPr>
        <w:t>r</w:t>
      </w:r>
      <w:r w:rsidR="00925408">
        <w:rPr>
          <w:sz w:val="28"/>
          <w:szCs w:val="28"/>
        </w:rPr>
        <w:t>. Good winemakers are at a premium and should be able to market their skills as widely as they wish. Requiring small producers to make their own wine on site will simply add to the pool of cheap poor quality wine and damage the industry.</w:t>
      </w:r>
    </w:p>
    <w:p w14:paraId="3386987B" w14:textId="77777777" w:rsidR="00925408" w:rsidRDefault="00925408" w:rsidP="009140D4">
      <w:pPr>
        <w:ind w:right="-766"/>
        <w:rPr>
          <w:sz w:val="28"/>
          <w:szCs w:val="28"/>
        </w:rPr>
      </w:pPr>
    </w:p>
    <w:p w14:paraId="4D946506" w14:textId="77777777" w:rsidR="00925408" w:rsidRDefault="00925408" w:rsidP="009140D4">
      <w:pPr>
        <w:ind w:right="-766"/>
        <w:rPr>
          <w:sz w:val="28"/>
          <w:szCs w:val="28"/>
        </w:rPr>
      </w:pPr>
      <w:r>
        <w:rPr>
          <w:sz w:val="28"/>
          <w:szCs w:val="28"/>
        </w:rPr>
        <w:t>Brian Ede</w:t>
      </w:r>
    </w:p>
    <w:p w14:paraId="50F475D0" w14:textId="77777777" w:rsidR="00925408" w:rsidRPr="009140D4" w:rsidRDefault="00925408" w:rsidP="009140D4">
      <w:pPr>
        <w:ind w:right="-766"/>
        <w:rPr>
          <w:sz w:val="28"/>
          <w:szCs w:val="28"/>
        </w:rPr>
      </w:pPr>
      <w:r>
        <w:rPr>
          <w:sz w:val="28"/>
          <w:szCs w:val="28"/>
        </w:rPr>
        <w:t>Hillbrook Wines</w:t>
      </w:r>
    </w:p>
    <w:sectPr w:rsidR="00925408" w:rsidRPr="009140D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42688"/>
    <w:multiLevelType w:val="hybridMultilevel"/>
    <w:tmpl w:val="30DA8FC8"/>
    <w:lvl w:ilvl="0" w:tplc="DE9C8FC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416043D5"/>
    <w:multiLevelType w:val="hybridMultilevel"/>
    <w:tmpl w:val="CE40EA26"/>
    <w:lvl w:ilvl="0" w:tplc="53A0923E">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64DB6B47"/>
    <w:multiLevelType w:val="hybridMultilevel"/>
    <w:tmpl w:val="9D3EED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DCA"/>
    <w:rsid w:val="00137386"/>
    <w:rsid w:val="002D4DCA"/>
    <w:rsid w:val="00402907"/>
    <w:rsid w:val="00842697"/>
    <w:rsid w:val="009140D4"/>
    <w:rsid w:val="00925408"/>
    <w:rsid w:val="00D1670E"/>
    <w:rsid w:val="00E876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877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D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D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20" ma:contentTypeDescription="" ma:contentTypeScope="" ma:versionID="4ea1c2a100b88cc44c3d081cc68a3d10">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1b67c6b69fd679cf117ef6e133ae9a7"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2016RG-284-124</_dlc_DocId>
    <_dlc_DocIdUrl xmlns="9f7bc583-7cbe-45b9-a2bd-8bbb6543b37e">
      <Url>http://tweb/sites/rg/iitd/alcoh/_layouts/15/DocIdRedir.aspx?ID=2016RG-284-124</Url>
      <Description>2016RG-284-124</Description>
    </_dlc_DocIdUrl>
  </documentManagement>
</p:properties>
</file>

<file path=customXml/itemProps1.xml><?xml version="1.0" encoding="utf-8"?>
<ds:datastoreItem xmlns:ds="http://schemas.openxmlformats.org/officeDocument/2006/customXml" ds:itemID="{D7451EC8-8222-4AF0-8996-09CFD07A82A0}"/>
</file>

<file path=customXml/itemProps2.xml><?xml version="1.0" encoding="utf-8"?>
<ds:datastoreItem xmlns:ds="http://schemas.openxmlformats.org/officeDocument/2006/customXml" ds:itemID="{A616AC9D-7215-43DB-BE54-FF4378B2B0C5}"/>
</file>

<file path=customXml/itemProps3.xml><?xml version="1.0" encoding="utf-8"?>
<ds:datastoreItem xmlns:ds="http://schemas.openxmlformats.org/officeDocument/2006/customXml" ds:itemID="{A7D53F9F-6FCE-46A2-ABD0-E2E9DD955731}"/>
</file>

<file path=customXml/itemProps4.xml><?xml version="1.0" encoding="utf-8"?>
<ds:datastoreItem xmlns:ds="http://schemas.openxmlformats.org/officeDocument/2006/customXml" ds:itemID="{AB93954C-744D-43B1-8F22-9A5387757424}"/>
</file>

<file path=customXml/itemProps5.xml><?xml version="1.0" encoding="utf-8"?>
<ds:datastoreItem xmlns:ds="http://schemas.openxmlformats.org/officeDocument/2006/customXml" ds:itemID="{94EF34F0-BC2F-48A4-9072-832A025EFB00}"/>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1124</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Ede</dc:creator>
  <cp:lastModifiedBy>O'Rourke, L-J</cp:lastModifiedBy>
  <cp:revision>2</cp:revision>
  <dcterms:created xsi:type="dcterms:W3CDTF">2016-10-09T23:46:00Z</dcterms:created>
  <dcterms:modified xsi:type="dcterms:W3CDTF">2016-10-09T23:46:00Z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0x01010036BB8DE7EC542E42A8B2E98CC20CB697006EB1C14DA0C7374FB82BEB1356139AEA</vt:lpwstr>
  </property>
  <property fmtid="{D5CDD505-2E9C-101B-9397-08002B2CF9AE}" pid="3" name="TSYRecordClass">
    <vt:lpwstr>59;#TSY RA-9278 - Destroy 30 years after action completed|c086dcfc-5e12-4afb-9fc8-394791410cc9</vt:lpwstr>
  </property>
  <property fmtid="{D5CDD505-2E9C-101B-9397-08002B2CF9AE}" pid="4" name="_dlc_DocIdItemGuid">
    <vt:lpwstr>d82fd4aa-761c-446e-b650-2546de1f9151</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{c2d4a7b0-fa13-4609-ab45-f59c0e0e1a69}</vt:lpwstr>
  </property>
  <property fmtid="{D5CDD505-2E9C-101B-9397-08002B2CF9AE}" pid="8" name="RecordPoint_ActiveItemUniqueId">
    <vt:lpwstr>{d82fd4aa-761c-446e-b650-2546de1f9151}</vt:lpwstr>
  </property>
  <property fmtid="{D5CDD505-2E9C-101B-9397-08002B2CF9AE}" pid="9" name="RecordPoint_ActiveItemWebId">
    <vt:lpwstr>{321685ce-0414-4cb5-ba5e-9e54c6ae1071}</vt:lpwstr>
  </property>
  <property fmtid="{D5CDD505-2E9C-101B-9397-08002B2CF9AE}" pid="10" name="RecordPoint_RecordNumberSubmitted">
    <vt:lpwstr>R0001119836</vt:lpwstr>
  </property>
  <property fmtid="{D5CDD505-2E9C-101B-9397-08002B2CF9AE}" pid="11" name="RecordPoint_SubmissionCompleted">
    <vt:lpwstr>2016-10-10T10:59:22.6901240+11:00</vt:lpwstr>
  </property>
</Properties>
</file>